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172A"/>
          <w:sz w:val="44"/>
          <w:szCs w:val="44"/>
        </w:rPr>
        <w:t xml:space="preserve">SHIJO.AI</w:t>
      </w:r>
    </w:p>
    <w:p>
      <w:pPr>
        <w:spacing w:after="50"/>
      </w:pPr>
      <w:r>
        <w:rPr>
          <w:color w:val="6B7280"/>
          <w:sz w:val="28"/>
          <w:szCs w:val="28"/>
        </w:rPr>
        <w:t xml:space="preserve">Feature, Pricing &amp; Conversion Review</w:t>
      </w:r>
    </w:p>
    <w:p>
      <w:pPr>
        <w:spacing w:after="400"/>
      </w:pPr>
      <w:r>
        <w:rPr>
          <w:i/>
          <w:iCs/>
          <w:color w:val="6B7280"/>
          <w:sz w:val="20"/>
          <w:szCs w:val="20"/>
        </w:rPr>
        <w:t xml:space="preserve">Prepared for review — July 19, 2026</w:t>
      </w:r>
    </w:p>
    <w:p>
      <w:pPr>
        <w:spacing w:after="150"/>
      </w:pPr>
      <w:r>
        <w:t xml:space="preserve">This document lays out what is actually built and live on shijo.ai today: the 12 AI tools, the pricing tiers that gate them, and every upgrade CTA currently on the site. It also proposes new upgrade copy for review, and flags a few decisions that are still open. Everything below reflects the current state of the codebase and live site as of this week's testing pass, not the original product plan — where the two differ, this document describes what is actually running in production.</w:t>
      </w:r>
    </w:p>
    <w:p>
      <w:pPr>
        <w:pStyle w:val="Heading1"/>
        <w:spacing w:after="200" w:before="400"/>
      </w:pPr>
      <w:r>
        <w:t xml:space="preserve">1. What SHIJO.AI does</w:t>
      </w:r>
    </w:p>
    <w:p>
      <w:pPr>
        <w:spacing w:after="150"/>
      </w:pPr>
      <w:r>
        <w:t xml:space="preserve">SHIJO.AI is a suite of 12 AI-powered marketing tools, organized into 4 categories — Social Media, SEO, Ads &amp; Copy, and Email. Each tool is a focused, single-purpose generator (e.g. write ad headlines, write an SEO meta description) rather than a general-purpose chat assistant. A registered user picks a tool, fills in a short form, and gets back ready-to-use marketing copy in seconds.</w:t>
      </w:r>
    </w:p>
    <w:p>
      <w:pPr>
        <w:pStyle w:val="Heading2"/>
        <w:spacing w:after="150" w:before="300"/>
      </w:pPr>
      <w:r>
        <w:t xml:space="preserve">The 12 tools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1000"/>
        <w:gridCol w:w="4400"/>
      </w:tblGrid>
      <w:tr>
        <w:trPr>
          <w:tblHeader/>
        </w:trPr>
        <w:tc>
          <w:tcPr>
            <w:tcW w:type="dxa" w:w="24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0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0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Model</w:t>
            </w:r>
          </w:p>
        </w:tc>
        <w:tc>
          <w:tcPr>
            <w:tcW w:type="dxa" w:w="44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Post Caption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Free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Scroll-stopping captions with hooks, CTAs, hashtags for any platform.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SEO Meta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Free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title tag + meta description variations optimized for CTR.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Keyword Research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Primary, long-tail, question &amp; local keywords with intent analysis.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SEO Content Brief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content brief: title, outline, secondary keywords, E-E-A-T signals.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FAQ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structured FAQs optimized for featured snippets.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Overview Optimizer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Optimize content for Google AI Overviews, ChatGPT, Perplexity.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 Copy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Ads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ad variations: PAS, story-based, testimonial, direct offer.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 Headline A/B Tester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Ads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 headline variations across 5 proven strategies.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Audience Targeting Profiles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Ads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detailed personas with demographics &amp; platform targeting.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Landing Page Copy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Ads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landing page: hero, benefits, social proof, FAQ, CTA.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Email Sequence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Multi-email sequence with subject lines, preview text, timing.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Newsletter Generator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Pro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Sonnet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newsletter issue: subject, opening, content, tips, P.S.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Every tool has one true required field (the topic/keyword/product) — everything else is optional and falls back to a sensible default if left blank. This was a real bug earlier this week (every field was being forced as required); it's now fixed and confirmed working across all 12 tools.</w:t>
      </w:r>
    </w:p>
    <w:p>
      <w:pPr>
        <w:pStyle w:val="Heading1"/>
        <w:spacing w:after="200" w:before="400"/>
      </w:pPr>
      <w:r>
        <w:t xml:space="preserve">2. Pricing &amp; plans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1600"/>
        <w:gridCol w:w="1500"/>
      </w:tblGrid>
      <w:tr>
        <w:trPr>
          <w:tblHeader/>
        </w:trPr>
        <w:tc>
          <w:tcPr>
            <w:tcW w:type="dxa" w:w="18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 access</w:t>
            </w:r>
          </w:p>
        </w:tc>
        <w:tc>
          <w:tcPr>
            <w:tcW w:type="dxa" w:w="16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Generations</w:t>
            </w:r>
          </w:p>
        </w:tc>
        <w:tc>
          <w:tcPr>
            <w:tcW w:type="dxa" w:w="15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model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tools (Post Caption, SEO Meta)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day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 (fast model) only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$29/mo ($278/yr)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12 tools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/ month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 — Haiku or Sonnet per tool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$99/mo ($950/yr)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12 tools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 — Haiku or Sonnet per tool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Billing runs through Stripe in live mode (confirmed — checkout sessions use the cs_live_ prefix). Both Pro and Enterprise offer a monthly or annual price, with the annual price working out to a 20% discount over paying monthly.</w:t>
      </w:r>
    </w:p>
    <w:p>
      <w:pPr>
        <w:spacing w:after="150"/>
      </w:pPr>
      <w:r>
        <w:t xml:space="preserve">One nuance worth knowing: Free-plan users are always forced onto the Haiku model (faster, cheaper) regardless of what a given tool is configured to use — this is intentional cost control, not a bug. Paid users get whichever model each tool is actually configured for (some tools use Sonnet for higher-quality output, some use Haiku because the task is simple).</w:t>
      </w:r>
    </w:p>
    <w:p>
      <w:pPr>
        <w:pStyle w:val="Heading1"/>
        <w:spacing w:after="200" w:before="400"/>
      </w:pPr>
      <w:r>
        <w:t xml:space="preserve">3. Free vs. paid — what's actually gated, and where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 access: Free users can only open Post Caption Generator and SEO Meta Generator. The other 10 show a locked state in the UI, and — confirmed via direct API testing, not just hiding the button — the server independently rejects any attempt to call a locked tool directly (403), so this isn't a cosmetic-only restriction.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Generation limits: Free is 3/day, resets on a rolling daily clock. Pro/Enterprise are monthly (200 or unlimited). The daily counter for Free resets at UTC midnight — for anyone outside UTC that's a different clock time than their own local midnight, so the dashboard now shows a live countdown ("Resets in Xh Ym") instead of a flat "Resets at midnight," so it's accurate no matter where the visitor 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tier: covered above — Free is always Haiku; paid plans get the tool's real configured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else (dashboard, account settings, data export, contact/support) is available to every registered user regardless of plan — none of that is paywalled.</w:t>
      </w:r>
    </w:p>
    <w:p>
      <w:pPr>
        <w:pStyle w:val="Heading1"/>
        <w:spacing w:after="200" w:before="400"/>
      </w:pPr>
      <w:r>
        <w:t xml:space="preserve">4. Upgrade CTAs currently live on the 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home: a persistent sidebar card ("Upgrade to Pro — Unlock all 12 tools &amp; 200 gens/month for $29/mo") plus a full-width banner at the bottom of the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Tools list page: locked tools show a badge with their true tier so a Free user can see what they're missing, plus a banner to view plans.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Inside every free tool, after a successful generation: a new CTA was added this week (post-generation, so it doesn't interrupt someone mid-task) — "You just saw what Shijo.ai can do. Imagine it across all 12 tools." linking to Billing.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Usage meter: shows "X of Y used today/month" with an inline "Upgrade to Pro for 200/month" link once a Free user is getting close to or has hit their limit.</w:t>
      </w:r>
    </w:p>
    <w:p>
      <w:pPr>
        <w:spacing w:after="150"/>
      </w:pPr>
      <w:r>
        <w:t xml:space="preserve">New this session: the dashboard bell icon (top right) was previously fully decorative — it had a permanent "unread" dot and did nothing when clicked. It's now a working panel with quick product tips and a "Request a feature" box that lands directly in the same admin ticket queue as the Contact form, tagged as a feature request.</w:t>
      </w:r>
    </w:p>
    <w:p>
      <w:pPr>
        <w:pStyle w:val="Heading1"/>
        <w:spacing w:after="200" w:before="400"/>
      </w:pPr>
      <w:r>
        <w:t xml:space="preserve">5. Proposed new upgrade CTA copy — for review</w:t>
      </w:r>
    </w:p>
    <w:p>
      <w:pPr>
        <w:spacing w:after="150"/>
      </w:pPr>
      <w:r>
        <w:t xml:space="preserve">You asked for something catchier than the current, fairly plain "$29/mo" framing — the kind of "cheaper than a cup of coffee" line competitors use (confirmed as a real pattern: Monarch Money uses "less than two cups of coffee per month," and per-day cost-framing is a common conversion tactic across SaaS pricing pages). At $29/mo, that works out to almost exactly $1/day, which is a strong, honest anchor point. Options below, none implemented yet — pick one (or mix) and it can go into the CTA locations listed in section 4.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00"/>
      </w:tblGrid>
      <w:tr>
        <w:trPr>
          <w:tblHeader/>
        </w:trPr>
        <w:tc>
          <w:tcPr>
            <w:tcW w:type="dxa" w:w="20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42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38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Cost-anchor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Less than $1 a day for 200 AI generations a month.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Reframes $29/mo as a trivial daily cost — the classic "cheaper than a coffee" pattern (used by Monarch Money and others).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Cost-anchor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Skip one coffee a month. Unlock all 12 AI tools instead.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pattern, more concrete trade-off — asks for one small, specific sacrifice.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ROI framing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good ad headline pays for itself. Pro gives you dozens more.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Ties the price to value produced, not just quantity of generations.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ROI framing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gets you a taste. Pro gets you the whole toolkit — 12 tools, 200 gens/month, $29.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Plain, confident comparison — no gimmick, just the facts stacked clearly.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Quantified benefit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3/day → 200/month. 2 tools → all 12. For $29.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Leads with the before/after numbers — good for users who already hit the free limit.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Loss-aversion (use sparingly)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You've used all 3 free generations today. Upgrade now so tomorrow isn't the only option.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show this once the daily limit is actually hit — otherwise it reads as manipulative.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Recommendation: lead with the cost-anchor or ROI framing lines for the always-visible CTAs (sidebar, banner), and reserve the loss-aversion line specifically for the moment someone actually hits their daily limit — using it everywhere else risks feeling pushy given this traffic is coming from paid ads and first impressions matter.</w:t>
      </w:r>
    </w:p>
    <w:p>
      <w:pPr>
        <w:pStyle w:val="Heading1"/>
        <w:spacing w:after="200" w:before="400"/>
      </w:pPr>
      <w:r>
        <w:t xml:space="preserve">6. Current state — confirmed via this week's testing</w:t>
      </w:r>
    </w:p>
    <w:p>
      <w:pPr>
        <w:spacing w:after="150"/>
      </w:pPr>
      <w:r>
        <w:t xml:space="preserve">A full positive/negative test pass was run against live production this week (43 test cases, 40 clean — see docs/testing/2026-07-19-full-test-report.md for the full breakdown). In short: all 12 tools generate correctly, quota and tool-access gating is enforced server-side (not just hidden in the UI), Stripe checkout reaches real live-mode sessions, and a full 32-table database schema audit found no drift between the code and the live database. Three low-risk gaps were found in the registration endpoint (no server-side password-confirmation or email-format check) — flagged for your decision, not yet fixed.</w:t>
      </w:r>
    </w:p>
    <w:p>
      <w:pPr>
        <w:pStyle w:val="Heading1"/>
        <w:spacing w:after="200" w:before="400"/>
      </w:pPr>
      <w:r>
        <w:t xml:space="preserve">7. Open decisions for you to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 (or edit) one of the CTA lines in section 5 to roll out across the site.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whether the two registration-endpoint gaps (section 6) are worth a small fix.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whether to also add a visual/graphic treatment to the upgrade CTAs (icon-based banner, matching the existing purple/blue gradient style, is the quickest option — a custom illustration would need a separate design pass).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whether the daily-quota reset should stay UTC-anchored (simplest, what's live now) or be converted to each user's local timezone (more accurate per-user, but requires storing a timezone on the account).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2026-07-19T16:14:48.237Z</dcterms:created>
  <dcterms:modified xsi:type="dcterms:W3CDTF">2026-07-19T16:14:48.242Z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