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8"/>
          <w:sz w:val="40"/>
          <w:szCs w:val="40"/>
        </w:rPr>
        <w:t xml:space="preserve">SHIJO.AI</w:t>
      </w:r>
    </w:p>
    <w:p>
      <w:pPr>
        <w:spacing w:after="40"/>
        <w:jc w:val="center"/>
      </w:pPr>
      <w:r>
        <w:rPr>
          <w:rFonts w:ascii="Arial" w:cs="Arial" w:eastAsia="Arial" w:hAnsi="Arial"/>
          <w:color w:val="1F4E78"/>
          <w:sz w:val="26"/>
          <w:szCs w:val="26"/>
        </w:rPr>
        <w:t xml:space="preserve">Business &amp; Feature Value Brief</w:t>
      </w:r>
    </w:p>
    <w:p>
      <w:pPr>
        <w:spacing w:after="400"/>
        <w:jc w:val="center"/>
      </w:pPr>
      <w:r>
        <w:rPr>
          <w:rFonts w:ascii="Arial" w:cs="Arial" w:eastAsia="Arial" w:hAnsi="Arial"/>
          <w:i/>
          <w:iCs/>
          <w:color w:val="555555"/>
          <w:sz w:val="18"/>
          <w:szCs w:val="18"/>
        </w:rPr>
        <w:t xml:space="preserve">Prepared for Srikanth  |  July 19, 2026  |  New feature opportunities identified from Acquire.com market research. Business and product rationale only — technical implementation and infrastructure are tracked in a separate engineering handoff.</w:t>
      </w:r>
    </w:p>
    <w:p>
      <w:pPr>
        <w:pStyle w:val="Heading1"/>
        <w:spacing w:after="160" w:before="320"/>
      </w:pPr>
      <w:r>
        <w:t xml:space="preserve">1. Purpose &amp; Scope</w:t>
      </w:r>
    </w:p>
    <w:p>
      <w:pPr>
        <w:spacing w:after="160"/>
      </w:pPr>
      <w:r>
        <w:rPr>
          <w:rFonts w:ascii="Arial" w:cs="Arial" w:eastAsia="Arial" w:hAnsi="Arial"/>
          <w:sz w:val="22"/>
          <w:szCs w:val="22"/>
        </w:rPr>
        <w:t xml:space="preserve">This brief identifies specific product features that could add revenue and retention value to SHIJO.AI, based on direct comparison against real SaaS digital-marketing businesses listed for sale on Acquire.com. It deliberately excludes security, infrastructure, and implementation detail — those items are tracked separately for the engineering workstream. Everything here is a business/product recommendation for review, not a build spec.</w:t>
      </w:r>
    </w:p>
    <w:p>
      <w:pPr>
        <w:pStyle w:val="Heading1"/>
        <w:spacing w:after="160" w:before="320"/>
      </w:pPr>
      <w:r>
        <w:t xml:space="preserve">2. SHIJO.AI Today (confirmed live, July 19, 2026)</w:t>
      </w:r>
    </w:p>
    <w:p>
      <w:pPr>
        <w:pStyle w:val="ListParagraph"/>
        <w:numPr>
          <w:ilvl w:val="0"/>
          <w:numId w:val="2"/>
        </w:numPr>
        <w:spacing w:after="80"/>
      </w:pPr>
      <w:r>
        <w:rPr>
          <w:rFonts w:ascii="Arial" w:cs="Arial" w:eastAsia="Arial" w:hAnsi="Arial"/>
          <w:sz w:val="22"/>
          <w:szCs w:val="22"/>
        </w:rPr>
        <w:t xml:space="preserve">12 tools across 4 categories: Social (1), SEO (5), Ads &amp; Copy (4), Email (2).</w:t>
      </w:r>
    </w:p>
    <w:p>
      <w:pPr>
        <w:pStyle w:val="ListParagraph"/>
        <w:numPr>
          <w:ilvl w:val="0"/>
          <w:numId w:val="2"/>
        </w:numPr>
        <w:spacing w:after="80"/>
      </w:pPr>
      <w:r>
        <w:rPr>
          <w:rFonts w:ascii="Arial" w:cs="Arial" w:eastAsia="Arial" w:hAnsi="Arial"/>
          <w:sz w:val="22"/>
          <w:szCs w:val="22"/>
        </w:rPr>
        <w:t xml:space="preserve">Three tiers: Free (2 tools, 3 gens/day), Pro $29/mo or $278/yr, Enterprise $99/mo or $950/yr (unlimited, fair use).</w:t>
      </w:r>
    </w:p>
    <w:p>
      <w:pPr>
        <w:pStyle w:val="ListParagraph"/>
        <w:numPr>
          <w:ilvl w:val="0"/>
          <w:numId w:val="2"/>
        </w:numPr>
        <w:spacing w:after="80"/>
      </w:pPr>
      <w:r>
        <w:rPr>
          <w:rFonts w:ascii="Arial" w:cs="Arial" w:eastAsia="Arial" w:hAnsi="Arial"/>
          <w:sz w:val="22"/>
          <w:szCs w:val="22"/>
        </w:rPr>
        <w:t xml:space="preserve">Four segments marketed on the homepage: Enterprise Marketing Teams, Digital Marketing Agencies, SaaS &amp; Tech Companies, Ecommerce Brands.</w:t>
      </w:r>
    </w:p>
    <w:p>
      <w:pPr>
        <w:pStyle w:val="Heading1"/>
        <w:spacing w:after="160" w:before="320"/>
      </w:pPr>
      <w:r>
        <w:t xml:space="preserve">3. Method</w:t>
      </w:r>
    </w:p>
    <w:p>
      <w:pPr>
        <w:spacing w:after="160"/>
      </w:pPr>
      <w:r>
        <w:rPr>
          <w:rFonts w:ascii="Arial" w:cs="Arial" w:eastAsia="Arial" w:hAnsi="Arial"/>
          <w:sz w:val="22"/>
          <w:szCs w:val="22"/>
        </w:rPr>
        <w:t xml:space="preserve">Two Acquire.com “browse all listings” exports were parsed into 1,014 unique company listings. 61 of those were SaaS businesses specifically in the digital marketing space. The comps cited below are drawn from that set of 61, using each listing's own reported TTM (trailing-twelve-month) revenue, profit, and asking price.</w:t>
      </w:r>
    </w:p>
    <w:p>
      <w:pPr>
        <w:pStyle w:val="Heading1"/>
        <w:spacing w:after="160" w:before="320"/>
      </w:pPr>
      <w:r>
        <w:t xml:space="preserve">4. Recommended Features, Ranked by Evidence Strength</w:t>
      </w:r>
    </w:p>
    <w:p>
      <w:pPr>
        <w:pStyle w:val="Heading2"/>
        <w:spacing w:after="100" w:before="220"/>
      </w:pPr>
      <w:r>
        <w:t xml:space="preserve">4.1 White-label / reseller packaging for agencies — strongest pattern in the dataset</w:t>
      </w:r>
    </w:p>
    <w:p>
      <w:pPr>
        <w:spacing w:after="160"/>
      </w:pPr>
      <w:r>
        <w:rPr>
          <w:rFonts w:ascii="Arial" w:cs="Arial" w:eastAsia="Arial" w:hAnsi="Arial"/>
          <w:sz w:val="22"/>
          <w:szCs w:val="22"/>
        </w:rPr>
        <w:t xml:space="preserve">Shijo's homepage already pitches “Digital Marketing Agencies” as a segment, but there is currently no reseller or rebranding mechanic behind that pitch — an agency customer gets the same account as anyone else. White-labeling is the most repeated profitable pattern found, and it shows up across unrelated product categories too (not just marketing tools), suggesting it's a durable monetization mechanic rather than a niche coincidence.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1500"/>
        <w:gridCol w:w="1500"/>
      </w:tblGrid>
      <w:tr>
        <w:trPr>
          <w:tblHeader/>
        </w:trPr>
        <w:tc>
          <w:tcPr>
            <w:tcW w:type="dxa" w:w="44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Comparable business</w:t>
            </w:r>
          </w:p>
        </w:tc>
        <w:tc>
          <w:tcPr>
            <w:tcW w:type="dxa" w:w="15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TTM Revenue</w:t>
            </w:r>
          </w:p>
        </w:tc>
        <w:tc>
          <w:tcPr>
            <w:tcW w:type="dxa" w:w="15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TTM Profit</w:t>
            </w:r>
          </w:p>
        </w:tc>
        <w:tc>
          <w:tcPr>
            <w:tcW w:type="dxa" w:w="15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Margin</w:t>
            </w:r>
          </w:p>
        </w:tc>
      </w:tr>
      <w:tr>
        <w:tc>
          <w:tcPr>
            <w:tcW w:type="dxa" w:w="44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All-in-One White-Label Agency SaaS — 5,000+ Customers</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$676k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$112k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17%</w:t>
            </w:r>
          </w:p>
        </w:tc>
      </w:tr>
      <w:tr>
        <w:tc>
          <w:tcPr>
            <w:tcW w:type="dxa" w:w="44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White-Label Email Marketing SaaS — 90% Retention, Franchise-Ready</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$400k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$100k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25%</w:t>
            </w:r>
          </w:p>
        </w:tc>
      </w:tr>
      <w:tr>
        <w:tc>
          <w:tcPr>
            <w:tcW w:type="dxa" w:w="44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White label agency — content &amp; fulfillment services for other agencies</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$21k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$16k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76%</w:t>
            </w:r>
          </w:p>
        </w:tc>
      </w:tr>
    </w:tbl>
    <w:p>
      <w:pPr>
        <w:spacing w:before="200"/>
      </w:pPr>
    </w:p>
    <w:p>
      <w:pPr>
        <w:spacing w:after="160"/>
      </w:pPr>
      <w:r>
        <w:rPr>
          <w:rFonts w:ascii="Arial" w:cs="Arial" w:eastAsia="Arial" w:hAnsi="Arial"/>
          <w:sz w:val="22"/>
          <w:szCs w:val="22"/>
        </w:rPr>
        <w:t xml:space="preserve">Business fit: a rebrandable version of Shijo's existing 12 tools — agency logo, agency domain, agency-branded client reports — turns the existing agency segment into a premium-priced tier instead of a marketing line with nothing behind it.</w:t>
      </w:r>
    </w:p>
    <w:p>
      <w:pPr>
        <w:pStyle w:val="Heading2"/>
        <w:spacing w:after="100" w:before="220"/>
      </w:pPr>
      <w:r>
        <w:t xml:space="preserve">4.2 Local SEO / Google Business Profile tools</w:t>
      </w:r>
    </w:p>
    <w:p>
      <w:pPr>
        <w:spacing w:after="160"/>
      </w:pPr>
      <w:r>
        <w:rPr>
          <w:rFonts w:ascii="Arial" w:cs="Arial" w:eastAsia="Arial" w:hAnsi="Arial"/>
          <w:sz w:val="22"/>
          <w:szCs w:val="22"/>
        </w:rPr>
        <w:t xml:space="preserve">Shijo's current SEO tools (Keyword Research, Content Brief, Meta Generator) are generic — none are location-based. Local and multi-location businesses are a distinct, high-margin niche the comps show clearly, and one Shijo doesn't currently name as a segment anywhere on its homepage.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1500"/>
        <w:gridCol w:w="1500"/>
      </w:tblGrid>
      <w:tr>
        <w:trPr>
          <w:tblHeader/>
        </w:trPr>
        <w:tc>
          <w:tcPr>
            <w:tcW w:type="dxa" w:w="44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Comparable business</w:t>
            </w:r>
          </w:p>
        </w:tc>
        <w:tc>
          <w:tcPr>
            <w:tcW w:type="dxa" w:w="15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TTM Revenue</w:t>
            </w:r>
          </w:p>
        </w:tc>
        <w:tc>
          <w:tcPr>
            <w:tcW w:type="dxa" w:w="15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TTM Profit</w:t>
            </w:r>
          </w:p>
        </w:tc>
        <w:tc>
          <w:tcPr>
            <w:tcW w:type="dxa" w:w="15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Margin</w:t>
            </w:r>
          </w:p>
        </w:tc>
      </w:tr>
      <w:tr>
        <w:tc>
          <w:tcPr>
            <w:tcW w:type="dxa" w:w="44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AI-powered local SEO platform — helps businesses rank higher &amp; generate customers</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$431k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$338k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78%</w:t>
            </w:r>
          </w:p>
        </w:tc>
      </w:tr>
      <w:tr>
        <w:tc>
          <w:tcPr>
            <w:tcW w:type="dxa" w:w="44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Recurring Web Design &amp; GBP SEO Agency — 86% Margin, &lt;8 hrs/week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$47k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$40k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85%</w:t>
            </w:r>
          </w:p>
        </w:tc>
      </w:tr>
    </w:tbl>
    <w:p>
      <w:pPr>
        <w:spacing w:before="200"/>
      </w:pPr>
    </w:p>
    <w:p>
      <w:pPr>
        <w:spacing w:after="160"/>
      </w:pPr>
      <w:r>
        <w:rPr>
          <w:rFonts w:ascii="Arial" w:cs="Arial" w:eastAsia="Arial" w:hAnsi="Arial"/>
          <w:sz w:val="22"/>
          <w:szCs w:val="22"/>
        </w:rPr>
        <w:t xml:space="preserve">Business fit: local/multi-location brands are a clean fifth target segment, and the margin profile here is the highest of any category researched — a strong candidate for a focused tool or plan add-on rather than a broad rebuild.</w:t>
      </w:r>
    </w:p>
    <w:p>
      <w:pPr>
        <w:pStyle w:val="Heading2"/>
        <w:spacing w:after="100" w:before="220"/>
      </w:pPr>
      <w:r>
        <w:t xml:space="preserve">4.3 AI visibility / brand-mention tracking</w:t>
      </w:r>
    </w:p>
    <w:p>
      <w:pPr>
        <w:spacing w:after="160"/>
      </w:pPr>
      <w:r>
        <w:rPr>
          <w:rFonts w:ascii="Arial" w:cs="Arial" w:eastAsia="Arial" w:hAnsi="Arial"/>
          <w:sz w:val="22"/>
          <w:szCs w:val="22"/>
        </w:rPr>
        <w:t xml:space="preserve">Shijo already has an “AI Overview Optimizer” tool, but it's a one-time content pass, not something a customer checks regularly. The money in this category is in ongoing tracking, not a single optimization run.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1500"/>
        <w:gridCol w:w="1500"/>
      </w:tblGrid>
      <w:tr>
        <w:trPr>
          <w:tblHeader/>
        </w:trPr>
        <w:tc>
          <w:tcPr>
            <w:tcW w:type="dxa" w:w="44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Comparable business</w:t>
            </w:r>
          </w:p>
        </w:tc>
        <w:tc>
          <w:tcPr>
            <w:tcW w:type="dxa" w:w="15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TTM Revenue</w:t>
            </w:r>
          </w:p>
        </w:tc>
        <w:tc>
          <w:tcPr>
            <w:tcW w:type="dxa" w:w="15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TTM Profit</w:t>
            </w:r>
          </w:p>
        </w:tc>
        <w:tc>
          <w:tcPr>
            <w:tcW w:type="dxa" w:w="15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Margin</w:t>
            </w:r>
          </w:p>
        </w:tc>
      </w:tr>
      <w:tr>
        <w:tc>
          <w:tcPr>
            <w:tcW w:type="dxa" w:w="44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All-in-One AI SEO/GEO Platform — AI visibility, Planning, Writing, Optimization</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$581k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$260k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45%</w:t>
            </w:r>
          </w:p>
        </w:tc>
      </w:tr>
      <w:tr>
        <w:tc>
          <w:tcPr>
            <w:tcW w:type="dxa" w:w="44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AI Visibility &amp; GEO Analytics Platform for Brands and Agencies</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$16k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$10k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63%</w:t>
            </w:r>
          </w:p>
        </w:tc>
      </w:tr>
      <w:tr>
        <w:tc>
          <w:tcPr>
            <w:tcW w:type="dxa" w:w="44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AI Brand Mentions B2B SaaS for ChatGPT, Claude &amp; Gemini — 500+ Users, 30% Growth</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$2k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$2k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100%</w:t>
            </w:r>
          </w:p>
        </w:tc>
      </w:tr>
    </w:tbl>
    <w:p>
      <w:pPr>
        <w:spacing w:before="200"/>
      </w:pPr>
    </w:p>
    <w:p>
      <w:pPr>
        <w:spacing w:after="160"/>
      </w:pPr>
      <w:r>
        <w:rPr>
          <w:rFonts w:ascii="Arial" w:cs="Arial" w:eastAsia="Arial" w:hAnsi="Arial"/>
          <w:sz w:val="22"/>
          <w:szCs w:val="22"/>
        </w:rPr>
        <w:t xml:space="preserve">Business fit: the most natural expansion of a tool Shijo has already built the positioning around — a recurring “check your AI visibility” habit is a stronger retention driver than a one-off generator, and it upgrades an existing tool rather than adding a new category.</w:t>
      </w:r>
    </w:p>
    <w:p>
      <w:pPr>
        <w:pStyle w:val="Heading2"/>
        <w:spacing w:after="100" w:before="220"/>
      </w:pPr>
      <w:r>
        <w:t xml:space="preserve">4.4 Marketing reporting / client dashboards</w:t>
      </w:r>
    </w:p>
    <w:p>
      <w:pPr>
        <w:spacing w:after="160"/>
      </w:pPr>
      <w:r>
        <w:rPr>
          <w:rFonts w:ascii="Arial" w:cs="Arial" w:eastAsia="Arial" w:hAnsi="Arial"/>
          <w:sz w:val="22"/>
          <w:szCs w:val="22"/>
        </w:rPr>
        <w:t xml:space="preserve">This pairs naturally with the white-label idea in Section 4.1 — agencies that resell Shijo's tools need something to hand their own clients showing results, not just the generation tools themselves.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1500"/>
        <w:gridCol w:w="1500"/>
      </w:tblGrid>
      <w:tr>
        <w:trPr>
          <w:tblHeader/>
        </w:trPr>
        <w:tc>
          <w:tcPr>
            <w:tcW w:type="dxa" w:w="44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Comparable business</w:t>
            </w:r>
          </w:p>
        </w:tc>
        <w:tc>
          <w:tcPr>
            <w:tcW w:type="dxa" w:w="15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TTM Revenue</w:t>
            </w:r>
          </w:p>
        </w:tc>
        <w:tc>
          <w:tcPr>
            <w:tcW w:type="dxa" w:w="15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TTM Profit</w:t>
            </w:r>
          </w:p>
        </w:tc>
        <w:tc>
          <w:tcPr>
            <w:tcW w:type="dxa" w:w="15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Margin</w:t>
            </w:r>
          </w:p>
        </w:tc>
      </w:tr>
      <w:tr>
        <w:tc>
          <w:tcPr>
            <w:tcW w:type="dxa" w:w="44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Centralized, Real-Time Marketing Reporting Without a Tech Team</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$980k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$350k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36%</w:t>
            </w:r>
          </w:p>
        </w:tc>
      </w:tr>
    </w:tbl>
    <w:p>
      <w:pPr>
        <w:spacing w:before="200"/>
      </w:pPr>
    </w:p>
    <w:p>
      <w:pPr>
        <w:spacing w:after="160"/>
      </w:pPr>
      <w:r>
        <w:rPr>
          <w:rFonts w:ascii="Arial" w:cs="Arial" w:eastAsia="Arial" w:hAnsi="Arial"/>
          <w:sz w:val="22"/>
          <w:szCs w:val="22"/>
        </w:rPr>
        <w:t xml:space="preserve">Business fit: one of the largest single revenue comparables found in the entire research set — a strong signal that reporting/visibility into results, not just content generation, is something buyers pay well for.</w:t>
      </w:r>
    </w:p>
    <w:p>
      <w:pPr>
        <w:pStyle w:val="Heading2"/>
        <w:spacing w:after="100" w:before="220"/>
      </w:pPr>
      <w:r>
        <w:t xml:space="preserve">4.5 Competitor / ad intelligence</w:t>
      </w:r>
    </w:p>
    <w:p>
      <w:pPr>
        <w:spacing w:after="160"/>
      </w:pPr>
      <w:r>
        <w:rPr>
          <w:rFonts w:ascii="Arial" w:cs="Arial" w:eastAsia="Arial" w:hAnsi="Arial"/>
          <w:sz w:val="22"/>
          <w:szCs w:val="22"/>
        </w:rPr>
        <w:t xml:space="preserve">Slots directly next to Shijo's existing Ads &amp; Copy tools (Ad Copy Generator, Ad Headline A/B Tester). Instead of only generating new ad copy, show what's already working for competitors first, then generate against it.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1500"/>
        <w:gridCol w:w="1500"/>
      </w:tblGrid>
      <w:tr>
        <w:trPr>
          <w:tblHeader/>
        </w:trPr>
        <w:tc>
          <w:tcPr>
            <w:tcW w:type="dxa" w:w="44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Comparable business</w:t>
            </w:r>
          </w:p>
        </w:tc>
        <w:tc>
          <w:tcPr>
            <w:tcW w:type="dxa" w:w="15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TTM Revenue</w:t>
            </w:r>
          </w:p>
        </w:tc>
        <w:tc>
          <w:tcPr>
            <w:tcW w:type="dxa" w:w="15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TTM Profit</w:t>
            </w:r>
          </w:p>
        </w:tc>
        <w:tc>
          <w:tcPr>
            <w:tcW w:type="dxa" w:w="15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Margin</w:t>
            </w:r>
          </w:p>
        </w:tc>
      </w:tr>
      <w:tr>
        <w:tc>
          <w:tcPr>
            <w:tcW w:type="dxa" w:w="44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Ad intelligence platform for ecommerce competitor research and creative analysis</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$43k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$40k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93%</w:t>
            </w:r>
          </w:p>
        </w:tc>
      </w:tr>
      <w:tr>
        <w:tc>
          <w:tcPr>
            <w:tcW w:type="dxa" w:w="44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SaaS for dropshippers/ecommerce to find winning products with ad intelligence</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$64k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$54k</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84%</w:t>
            </w:r>
          </w:p>
        </w:tc>
      </w:tr>
    </w:tbl>
    <w:p>
      <w:pPr>
        <w:spacing w:before="200"/>
      </w:pPr>
    </w:p>
    <w:p>
      <w:pPr>
        <w:spacing w:after="160"/>
      </w:pPr>
      <w:r>
        <w:rPr>
          <w:rFonts w:ascii="Arial" w:cs="Arial" w:eastAsia="Arial" w:hAnsi="Arial"/>
          <w:sz w:val="22"/>
          <w:szCs w:val="22"/>
        </w:rPr>
        <w:t xml:space="preserve">Business fit: smaller revenue than the other comps, but the highest margins found in the research — low operating cost relative to price, and a direct complement to the Ecommerce Brands segment Shijo already markets to.</w:t>
      </w:r>
    </w:p>
    <w:p>
      <w:pPr>
        <w:pStyle w:val="Heading2"/>
        <w:spacing w:after="100" w:before="220"/>
      </w:pPr>
      <w:r>
        <w:t xml:space="preserve">4.6 Review &amp; reputation management — pairing add-on, not a standalone priority</w:t>
      </w:r>
    </w:p>
    <w:p>
      <w:pPr>
        <w:spacing w:after="160"/>
      </w:pPr>
      <w:r>
        <w:rPr>
          <w:rFonts w:ascii="Arial" w:cs="Arial" w:eastAsia="Arial" w:hAnsi="Arial"/>
          <w:sz w:val="22"/>
          <w:szCs w:val="22"/>
        </w:rPr>
        <w:t xml:space="preserve">One comparable found — “AI review replies that match your tone, improving SEO and boosting customer trust” — was pre-revenue at the time of listing (asking price $12k, no reported revenue or profit), so this is not backed by proven traction the way the items above are. It's included because it pairs naturally with Section 4.2: local businesses care about Google and Yelp reviews, and this is a small, low-cost add-on to a local SEO offering rather than a feature worth prioritizing on its own.</w:t>
      </w:r>
    </w:p>
    <w:p>
      <w:pPr>
        <w:pStyle w:val="Heading1"/>
        <w:spacing w:after="160" w:before="320"/>
      </w:pPr>
      <w:r>
        <w:t xml:space="preserve">5. Prioritization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1500"/>
      </w:tblGrid>
      <w:tr>
        <w:trPr>
          <w:tblHeader/>
        </w:trPr>
        <w:tc>
          <w:tcPr>
            <w:tcW w:type="dxa" w:w="26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Feature</w:t>
            </w:r>
          </w:p>
        </w:tc>
        <w:tc>
          <w:tcPr>
            <w:tcW w:type="dxa" w:w="26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Evidence Strength</w:t>
            </w:r>
          </w:p>
        </w:tc>
        <w:tc>
          <w:tcPr>
            <w:tcW w:type="dxa" w:w="26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Fit with Current Product</w:t>
            </w:r>
          </w:p>
        </w:tc>
        <w:tc>
          <w:tcPr>
            <w:tcW w:type="dxa" w:w="1500"/>
            <w:shd w:fill="1F4E78" w:val="clear"/>
            <w:tcMar>
              <w:top w:type="dxa" w:w="80"/>
              <w:left w:type="dxa" w:w="100"/>
              <w:bottom w:type="dxa" w:w="80"/>
              <w:right w:type="dxa" w:w="100"/>
            </w:tcMar>
          </w:tcPr>
          <w:p>
            <w:pPr>
              <w:jc w:val="left"/>
            </w:pPr>
            <w:r>
              <w:rPr>
                <w:rFonts w:ascii="Arial" w:cs="Arial" w:eastAsia="Arial" w:hAnsi="Arial"/>
                <w:b/>
                <w:bCs/>
                <w:color w:val="FFFFFF"/>
                <w:sz w:val="20"/>
                <w:szCs w:val="20"/>
              </w:rPr>
              <w:t xml:space="preserve">Suggested Priority</w:t>
            </w:r>
          </w:p>
        </w:tc>
      </w:tr>
      <w:tr>
        <w:tc>
          <w:tcPr>
            <w:tcW w:type="dxa" w:w="26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White-label / reseller packaging</w:t>
            </w:r>
          </w:p>
        </w:tc>
        <w:tc>
          <w:tcPr>
            <w:tcW w:type="dxa" w:w="26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Strongest — repeated pattern across categories, up to 5,000+ customers</w:t>
            </w:r>
          </w:p>
        </w:tc>
        <w:tc>
          <w:tcPr>
            <w:tcW w:type="dxa" w:w="26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Monetizes the Agencies segment already marketed but not yet built for</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1</w:t>
            </w:r>
          </w:p>
        </w:tc>
      </w:tr>
      <w:tr>
        <w:tc>
          <w:tcPr>
            <w:tcW w:type="dxa" w:w="26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Local SEO / GBP tools</w:t>
            </w:r>
          </w:p>
        </w:tc>
        <w:tc>
          <w:tcPr>
            <w:tcW w:type="dxa" w:w="26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Strong — highest margins researched (78–85%)</w:t>
            </w:r>
          </w:p>
        </w:tc>
        <w:tc>
          <w:tcPr>
            <w:tcW w:type="dxa" w:w="26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New segment; extends existing SEO category</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2</w:t>
            </w:r>
          </w:p>
        </w:tc>
      </w:tr>
      <w:tr>
        <w:tc>
          <w:tcPr>
            <w:tcW w:type="dxa" w:w="26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AI visibility / brand-mention tracking</w:t>
            </w:r>
          </w:p>
        </w:tc>
        <w:tc>
          <w:tcPr>
            <w:tcW w:type="dxa" w:w="26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Strong — $581k rev comp at 45% margin</w:t>
            </w:r>
          </w:p>
        </w:tc>
        <w:tc>
          <w:tcPr>
            <w:tcW w:type="dxa" w:w="26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Direct upgrade to the existing AI Overview Optimizer tool</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3</w:t>
            </w:r>
          </w:p>
        </w:tc>
      </w:tr>
      <w:tr>
        <w:tc>
          <w:tcPr>
            <w:tcW w:type="dxa" w:w="26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Marketing reporting / client dashboards</w:t>
            </w:r>
          </w:p>
        </w:tc>
        <w:tc>
          <w:tcPr>
            <w:tcW w:type="dxa" w:w="26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Strong — $980k rev comp, largest single comp found</w:t>
            </w:r>
          </w:p>
        </w:tc>
        <w:tc>
          <w:tcPr>
            <w:tcW w:type="dxa" w:w="26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Pairs with white-label; gives agencies something to hand clients</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4</w:t>
            </w:r>
          </w:p>
        </w:tc>
      </w:tr>
      <w:tr>
        <w:tc>
          <w:tcPr>
            <w:tcW w:type="dxa" w:w="26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Competitor / ad intelligence</w:t>
            </w:r>
          </w:p>
        </w:tc>
        <w:tc>
          <w:tcPr>
            <w:tcW w:type="dxa" w:w="26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Moderate revenue, highest margins (84–93%)</w:t>
            </w:r>
          </w:p>
        </w:tc>
        <w:tc>
          <w:tcPr>
            <w:tcW w:type="dxa" w:w="26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Extends existing Ads &amp; Copy category</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5</w:t>
            </w:r>
          </w:p>
        </w:tc>
      </w:tr>
      <w:tr>
        <w:tc>
          <w:tcPr>
            <w:tcW w:type="dxa" w:w="26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Review &amp; reputation management</w:t>
            </w:r>
          </w:p>
        </w:tc>
        <w:tc>
          <w:tcPr>
            <w:tcW w:type="dxa" w:w="26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Weak — pre-revenue comp only</w:t>
            </w:r>
          </w:p>
        </w:tc>
        <w:tc>
          <w:tcPr>
            <w:tcW w:type="dxa" w:w="26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Pairs with local SEO as a small add-on</w:t>
            </w:r>
          </w:p>
        </w:tc>
        <w:tc>
          <w:tcPr>
            <w:tcW w:type="dxa" w:w="1500"/>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6 (pairing only)</w:t>
            </w:r>
          </w:p>
        </w:tc>
      </w:tr>
    </w:tbl>
    <w:p>
      <w:pPr>
        <w:pStyle w:val="Heading1"/>
        <w:spacing w:after="160" w:before="320"/>
      </w:pPr>
      <w:r>
        <w:t xml:space="preserve">6. Next Steps</w:t>
      </w:r>
    </w:p>
    <w:p>
      <w:pPr>
        <w:pStyle w:val="ListParagraph"/>
        <w:numPr>
          <w:ilvl w:val="0"/>
          <w:numId w:val="2"/>
        </w:numPr>
        <w:spacing w:after="80"/>
      </w:pPr>
      <w:r>
        <w:rPr>
          <w:rFonts w:ascii="Arial" w:cs="Arial" w:eastAsia="Arial" w:hAnsi="Arial"/>
          <w:sz w:val="22"/>
          <w:szCs w:val="22"/>
        </w:rPr>
        <w:t xml:space="preserve">Decide which feature(s) to scope first — recommend starting with white-label packaging (Section 4.1) given it has the strongest and most repeated evidence.</w:t>
      </w:r>
    </w:p>
    <w:p>
      <w:pPr>
        <w:pStyle w:val="ListParagraph"/>
        <w:numPr>
          <w:ilvl w:val="0"/>
          <w:numId w:val="2"/>
        </w:numPr>
        <w:spacing w:after="80"/>
      </w:pPr>
      <w:r>
        <w:rPr>
          <w:rFonts w:ascii="Arial" w:cs="Arial" w:eastAsia="Arial" w:hAnsi="Arial"/>
          <w:sz w:val="22"/>
          <w:szCs w:val="22"/>
        </w:rPr>
        <w:t xml:space="preserve">Decide how each feature should be positioned commercially: a new pricing tier, an Enterprise-only add-on, or a separate paid module.</w:t>
      </w:r>
    </w:p>
    <w:p>
      <w:pPr>
        <w:pStyle w:val="ListParagraph"/>
        <w:numPr>
          <w:ilvl w:val="0"/>
          <w:numId w:val="2"/>
        </w:numPr>
        <w:spacing w:after="80"/>
      </w:pPr>
      <w:r>
        <w:rPr>
          <w:rFonts w:ascii="Arial" w:cs="Arial" w:eastAsia="Arial" w:hAnsi="Arial"/>
          <w:sz w:val="22"/>
          <w:szCs w:val="22"/>
        </w:rPr>
        <w:t xml:space="preserve">Once a feature is chosen, implementation scoping (data model, APIs, UI) is a separate technical workstream, not covered in this brief.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2026-07-19T16:58:02.866Z</dcterms:created>
  <dcterms:modified xsi:type="dcterms:W3CDTF">2026-07-19T16:58:02.874Z</dcterms:modified>
</cp:coreProperties>
</file>

<file path=docProps/custom.xml><?xml version="1.0" encoding="utf-8"?>
<Properties xmlns="http://schemas.openxmlformats.org/officeDocument/2006/custom-properties" xmlns:vt="http://schemas.openxmlformats.org/officeDocument/2006/docPropsVTypes"/>
</file>