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C2626"/>
          <w:sz w:val="32"/>
          <w:szCs w:val="32"/>
        </w:rPr>
        <w:t xml:space="preserve">SHIJO.AI</w:t>
      </w:r>
    </w:p>
    <w:p>
      <w:pPr>
        <w:spacing w:after="40"/>
      </w:pPr>
      <w:r>
        <w:rPr>
          <w:b/>
          <w:bCs/>
          <w:sz w:val="26"/>
          <w:szCs w:val="26"/>
        </w:rPr>
        <w:t xml:space="preserve">AI Visibility / GEO Tracking — Technical Scoping</w:t>
      </w:r>
    </w:p>
    <w:p>
      <w:pPr>
        <w:spacing w:after="240"/>
      </w:pPr>
      <w:r>
        <w:rPr>
          <w:i/>
          <w:iCs/>
          <w:color w:val="666666"/>
          <w:sz w:val="20"/>
          <w:szCs w:val="20"/>
        </w:rPr>
        <w:t xml:space="preserve">Prepared for review — July 19, 2026</w:t>
      </w:r>
    </w:p>
    <w:p>
      <w:pPr>
        <w:spacing w:after="120"/>
      </w:pPr>
      <w:r>
        <w:t xml:space="preserve">This scopes the feature Sri picked from the business feature brief cross-check (Section 4, item 4.3): AI visibility / brand-mention tracking. Everything below is checked directly against the current codebase and database schema, not assumed. Nothing here is built or wired up yet — this is the plan to review before any code gets written.</w:t>
      </w:r>
    </w:p>
    <w:p>
      <w:pPr>
        <w:pStyle w:val="Heading1"/>
        <w:spacing w:after="150" w:before="300"/>
      </w:pPr>
      <w:r>
        <w:t xml:space="preserve">1. What already exists today</w:t>
      </w:r>
    </w:p>
    <w:p>
      <w:pPr>
        <w:spacing w:after="120"/>
      </w:pPr>
      <w:r>
        <w:t xml:space="preserve">Two tables sit in db/schema.ts, fully defined, with indexes, but referenced nowhere else in the codebase except the generic GDPR data-export route (which just lists every user-owned table). No API route, no UI page, no insert statement touches either table today.</w:t>
      </w:r>
    </w:p>
    <w:p>
      <w:pPr>
        <w:pStyle w:val="Heading2"/>
        <w:spacing w:after="120" w:before="240"/>
      </w:pPr>
      <w:r>
        <w:t xml:space="preserve">ai_visibility table</w:t>
      </w:r>
    </w:p>
    <w:p>
      <w:pPr>
        <w:spacing w:after="120"/>
      </w:pPr>
      <w:r>
        <w:t xml:space="preserve">Fields: id, userId, query, brandName, model, mentioned (boolean), position (integer), sentiment, context, frequency, improvementSuggestions (jsonb), scannedAt, createdAt. Indexed on (userId, scannedAt) and (brandName, model) — this is a schema built for exactly what visibility tracking needs: was the brand mentioned, where, in what tone, how often, tracked over time per user.</w:t>
      </w:r>
    </w:p>
    <w:p>
      <w:pPr>
        <w:pStyle w:val="Heading2"/>
        <w:spacing w:after="120" w:before="240"/>
      </w:pPr>
      <w:r>
        <w:t xml:space="preserve">ai_simulations table</w:t>
      </w:r>
    </w:p>
    <w:p>
      <w:pPr>
        <w:spacing w:after="120"/>
      </w:pPr>
      <w:r>
        <w:t xml:space="preserve">Fields: id, userId, query, model, response (text), sources (jsonb), brandMentioned (boolean), competitorAnalysis (jsonb), createdAt. This is a log of a single simulated query/response pair against a given model — the raw material the ai_visibility row would be summarized from.</w:t>
      </w:r>
    </w:p>
    <w:p>
      <w:pPr>
        <w:pStyle w:val="Heading2"/>
        <w:spacing w:after="120" w:before="240"/>
      </w:pPr>
      <w:r>
        <w:t xml:space="preserve">user_quotas columns</w:t>
      </w:r>
    </w:p>
    <w:p>
      <w:pPr>
        <w:spacing w:after="120"/>
      </w:pPr>
      <w:r>
        <w:t xml:space="preserve">aiVisibilityScansUsed / aiVisibilityScansQuota and aiSimulatorUsed / aiSimulatorQuota already exist on the user_quotas table, both defaulting to 0. Checked lib/stripe/products.ts directly: none of the three plans (Free/Pro/Enterprise) currently set a value for these — they would need to be added to the plan config before this could be gated by tier, the same way dailyGenerations/monthlyGenerations already are.</w:t>
      </w:r>
    </w:p>
    <w:p>
      <w:pPr>
        <w:pStyle w:val="Heading2"/>
        <w:spacing w:after="120" w:before="240"/>
      </w:pPr>
      <w:r>
        <w:t xml:space="preserve">The AI Overview Optimizer tool (closest existing relative)</w:t>
      </w:r>
    </w:p>
    <w:p>
      <w:pPr>
        <w:spacing w:after="120"/>
      </w:pPr>
      <w:r>
        <w:t xml:space="preserve">Registry entry ai-overview-optimizer (Pro-gated, Sonnet). Checked lib/tools/prompts.ts directly: it is a single-shot analysis prompt — paste a URL/content plus a target query, get back a readiness score, structural feedback, and rewrite suggestions. Nothing is persisted; there is no query run against an actual AI engine, no result saved, no history. This is a one-time content audit, not a tracking feature — it does not touch ai_visibility or ai_simulations at all today.</w:t>
      </w:r>
    </w:p>
    <w:p>
      <w:pPr>
        <w:pStyle w:val="Heading1"/>
        <w:spacing w:after="150" w:before="300"/>
      </w:pPr>
      <w:r>
        <w:t xml:space="preserve">2. What "AI visibility tracking" would actually mean, and the real decision underneath it</w:t>
      </w:r>
    </w:p>
    <w:p>
      <w:pPr>
        <w:spacing w:after="120"/>
      </w:pPr>
      <w:r>
        <w:t xml:space="preserve">The GEO research brief and the feature-brief cross-check both use "AI visibility tracking" as if it is one thing. It is not — there are two materially different ways to build this, and they have very different cost, accuracy, and credibility profiles. This is the single most important open decision in this document.</w:t>
      </w:r>
    </w:p>
    <w:p>
      <w:pPr>
        <w:pStyle w:val="Heading2"/>
        <w:spacing w:after="120" w:before="240"/>
      </w:pPr>
      <w:r>
        <w:t xml:space="preserve">Option A — Claude-only simulation</w:t>
      </w:r>
    </w:p>
    <w:p>
      <w:pPr>
        <w:spacing w:after="120"/>
      </w:pPr>
      <w:r>
        <w:t xml:space="preserve">Ask Claude to simulate how it (and, via prompting, how it believes ChatGPT/Perplexity/Google AI Overviews) would answer a given query, and whether the brand gets mentioned. This only requires the ANTHROPIC_API_KEY already in place — no new vendor accounts, fastest to ship.</w:t>
      </w:r>
    </w:p>
    <w:p>
      <w:pPr>
        <w:spacing w:after="120"/>
      </w:pPr>
      <w:r>
        <w:rPr>
          <w:b/>
          <w:bCs/>
        </w:rPr>
        <w:t xml:space="preserve">Real limitation: </w:t>
      </w:r>
      <w:r>
        <w:t xml:space="preserve">this measures how Claude reasons about the query, not what ChatGPT, Perplexity, or Google AI Overviews actually say. Confirmed via grep: this codebase has no OpenAI, Perplexity, SerpApi, or DataForSEO integration anywhere today — only ANTHROPIC_API_KEY exists in .env.local. Marketing this as tracking visibility "in ChatGPT, Perplexity, and Google AI Overviews" while only ever querying Claude would repeat the exact fabricated-capability mistake flagged earlier in this project (the removed homepage metadata claim, the unbuilt trust badges) — the dashboard/marketing copy would need to say "AI-simulated visibility" or name Claude's own assessment specifically, not claim cross-engine measurement it isn't doing.</w:t>
      </w:r>
    </w:p>
    <w:p>
      <w:pPr>
        <w:pStyle w:val="Heading2"/>
        <w:spacing w:after="120" w:before="240"/>
      </w:pPr>
      <w:r>
        <w:t xml:space="preserve">Option B — real multi-engine tracking</w:t>
      </w:r>
    </w:p>
    <w:p>
      <w:pPr>
        <w:spacing w:after="120"/>
      </w:pPr>
      <w:r>
        <w:t xml:space="preserve">Actually query ChatGPT (OpenAI API), Perplexity (Perplexity API), and approximate Google AI Overviews (no public API exists for this — would need a third-party SERP data provider like SerpApi or DataForSEO that captures AI Overview content specifically). This is what the GEO market research and the brief's comps are actually describing, and what would justify the "AI visibility" / GEO naming discussed in the feature-brief doc.</w:t>
      </w:r>
    </w:p>
    <w:p>
      <w:pPr>
        <w:spacing w:after="120"/>
      </w:pPr>
      <w:r>
        <w:rPr>
          <w:b/>
          <w:bCs/>
        </w:rPr>
        <w:t xml:space="preserve">Real cost: </w:t>
      </w:r>
      <w:r>
        <w:t xml:space="preserve">three new vendor accounts/API keys, each with their own per-query pricing, on top of the existing Anthropic spend. None of this exists in the project today — this is genuinely new integration work and new recurring cost, not just new code.</w:t>
      </w:r>
    </w:p>
    <w:p>
      <w:pPr>
        <w:spacing w:after="120"/>
      </w:pPr>
      <w:r>
        <w:rPr>
          <w:b/>
          <w:bCs/>
        </w:rPr>
        <w:t xml:space="preserve">Recommendation: </w:t>
      </w:r>
      <w:r>
        <w:t xml:space="preserve">build Option A first, but label it honestly in the UI as an AI-simulated check rather than implying live cross-engine monitoring, and treat Option B as a distinct, later phase once Option A's usage validates demand. This keeps the fastest path to shipping something real without repeating a fabricated-claim mistake — but it is Sri's call, not a default to build against silently.</w:t>
      </w:r>
    </w:p>
    <w:p>
      <w:pPr>
        <w:pStyle w:val="Heading1"/>
        <w:spacing w:after="150" w:before="300"/>
      </w:pPr>
      <w:r>
        <w:t xml:space="preserve">3. Data model additions needed</w:t>
      </w:r>
    </w:p>
    <w:p>
      <w:pPr>
        <w:spacing w:after="120"/>
      </w:pPr>
      <w:r>
        <w:t xml:space="preserve">The existing two tables cover a single scan/simulation event well, but neither models the two concepts "tracking" implies: a saved list of things being tracked, and scheduled re-checks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6200"/>
      </w:tblGrid>
      <w:tr>
        <w:tc>
          <w:tcPr>
            <w:tcW w:type="dxa" w:w="3160"/>
            <w:shd w:fill="DC2626" w:val="clear"/>
            <w:tcMar>
              <w:top w:type="dxa" w:w="80"/>
              <w:left w:type="dxa" w:w="100"/>
              <w:bottom w:type="dxa" w:w="80"/>
              <w:right w:type="dxa" w:w="100"/>
            </w:tcMar>
          </w:tcPr>
          <w:p>
            <w:r>
              <w:rPr>
                <w:b/>
                <w:bCs/>
                <w:color w:val="FFFFFF"/>
                <w:sz w:val="19"/>
                <w:szCs w:val="19"/>
              </w:rPr>
              <w:t xml:space="preserve">Addition</w:t>
            </w:r>
          </w:p>
        </w:tc>
        <w:tc>
          <w:tcPr>
            <w:tcW w:type="dxa" w:w="6200"/>
            <w:shd w:fill="DC2626" w:val="clear"/>
            <w:tcMar>
              <w:top w:type="dxa" w:w="80"/>
              <w:left w:type="dxa" w:w="100"/>
              <w:bottom w:type="dxa" w:w="80"/>
              <w:right w:type="dxa" w:w="100"/>
            </w:tcMar>
          </w:tcPr>
          <w:p>
            <w:r>
              <w:rPr>
                <w:b/>
                <w:bCs/>
                <w:color w:val="FFFFFF"/>
                <w:sz w:val="19"/>
                <w:szCs w:val="19"/>
              </w:rPr>
              <w:t xml:space="preserve">Purpose</w:t>
            </w:r>
          </w:p>
        </w:tc>
      </w:tr>
      <w:tr>
        <w:tc>
          <w:tcPr>
            <w:tcW w:type="dxa" w:w="3160"/>
            <w:tcMar>
              <w:top w:type="dxa" w:w="80"/>
              <w:left w:type="dxa" w:w="100"/>
              <w:bottom w:type="dxa" w:w="80"/>
              <w:right w:type="dxa" w:w="100"/>
            </w:tcMar>
          </w:tcPr>
          <w:p>
            <w:r>
              <w:rPr>
                <w:b w:val="false"/>
                <w:bCs w:val="false"/>
                <w:sz w:val="19"/>
                <w:szCs w:val="19"/>
              </w:rPr>
              <w:t xml:space="preserve">tracked_queries table (new)</w:t>
            </w:r>
          </w:p>
        </w:tc>
        <w:tc>
          <w:tcPr>
            <w:tcW w:type="dxa" w:w="6200"/>
            <w:tcMar>
              <w:top w:type="dxa" w:w="80"/>
              <w:left w:type="dxa" w:w="100"/>
              <w:bottom w:type="dxa" w:w="80"/>
              <w:right w:type="dxa" w:w="100"/>
            </w:tcMar>
          </w:tcPr>
          <w:p>
            <w:r>
              <w:rPr>
                <w:b w:val="false"/>
                <w:bCs w:val="false"/>
                <w:sz w:val="19"/>
                <w:szCs w:val="19"/>
              </w:rPr>
              <w:t xml:space="preserve">userId, brandName, query text, competitors (jsonb), createdAt, isActive — the saved list of query+brand combinations a user wants monitored on an ongoing basis. Neither existing table has a concept of "this is a standing thing to check again," only one-off scan/simulation rows.</w:t>
            </w:r>
          </w:p>
        </w:tc>
      </w:tr>
      <w:tr>
        <w:tc>
          <w:tcPr>
            <w:tcW w:type="dxa" w:w="3160"/>
            <w:tcMar>
              <w:top w:type="dxa" w:w="80"/>
              <w:left w:type="dxa" w:w="100"/>
              <w:bottom w:type="dxa" w:w="80"/>
              <w:right w:type="dxa" w:w="100"/>
            </w:tcMar>
          </w:tcPr>
          <w:p>
            <w:r>
              <w:rPr>
                <w:b w:val="false"/>
                <w:bCs w:val="false"/>
                <w:sz w:val="19"/>
                <w:szCs w:val="19"/>
              </w:rPr>
              <w:t xml:space="preserve">ai_visibility.trackedQueryId (new FK, nullable)</w:t>
            </w:r>
          </w:p>
        </w:tc>
        <w:tc>
          <w:tcPr>
            <w:tcW w:type="dxa" w:w="6200"/>
            <w:tcMar>
              <w:top w:type="dxa" w:w="80"/>
              <w:left w:type="dxa" w:w="100"/>
              <w:bottom w:type="dxa" w:w="80"/>
              <w:right w:type="dxa" w:w="100"/>
            </w:tcMar>
          </w:tcPr>
          <w:p>
            <w:r>
              <w:rPr>
                <w:b w:val="false"/>
                <w:bCs w:val="false"/>
                <w:sz w:val="19"/>
                <w:szCs w:val="19"/>
              </w:rPr>
              <w:t xml:space="preserve">Links a scan back to the tracked_queries row it came from, so history can be grouped and charted per tracked item rather than as a flat list of one-off scans.</w:t>
            </w:r>
          </w:p>
        </w:tc>
      </w:tr>
      <w:tr>
        <w:tc>
          <w:tcPr>
            <w:tcW w:type="dxa" w:w="3160"/>
            <w:tcMar>
              <w:top w:type="dxa" w:w="80"/>
              <w:left w:type="dxa" w:w="100"/>
              <w:bottom w:type="dxa" w:w="80"/>
              <w:right w:type="dxa" w:w="100"/>
            </w:tcMar>
          </w:tcPr>
          <w:p>
            <w:r>
              <w:rPr>
                <w:b w:val="false"/>
                <w:bCs w:val="false"/>
                <w:sz w:val="19"/>
                <w:szCs w:val="19"/>
              </w:rPr>
              <w:t xml:space="preserve">Scheduling mechanism</w:t>
            </w:r>
          </w:p>
        </w:tc>
        <w:tc>
          <w:tcPr>
            <w:tcW w:type="dxa" w:w="6200"/>
            <w:tcMar>
              <w:top w:type="dxa" w:w="80"/>
              <w:left w:type="dxa" w:w="100"/>
              <w:bottom w:type="dxa" w:w="80"/>
              <w:right w:type="dxa" w:w="100"/>
            </w:tcMar>
          </w:tcPr>
          <w:p>
            <w:r>
              <w:rPr>
                <w:b w:val="false"/>
                <w:bCs w:val="false"/>
                <w:sz w:val="19"/>
                <w:szCs w:val="19"/>
              </w:rPr>
              <w:t xml:space="preserve">A cron-triggered route (Vercel Cron or an external scheduler) that re-runs each active tracked_queries row on an interval (e.g. weekly) and inserts a new ai_visibility row per run — this does not exist anywhere in the codebase today; nothing in this project currently runs on a schedule.</w:t>
            </w:r>
          </w:p>
        </w:tc>
      </w:tr>
    </w:tbl>
    <w:p>
      <w:pPr>
        <w:pStyle w:val="Heading1"/>
        <w:spacing w:after="150" w:before="300"/>
      </w:pPr>
      <w:r>
        <w:t xml:space="preserve">4. API routes needed (none exist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DC2626" w:val="clear"/>
            <w:tcMar>
              <w:top w:type="dxa" w:w="80"/>
              <w:left w:type="dxa" w:w="100"/>
              <w:bottom w:type="dxa" w:w="80"/>
              <w:right w:type="dxa" w:w="100"/>
            </w:tcMar>
          </w:tcPr>
          <w:p>
            <w:r>
              <w:rPr>
                <w:b/>
                <w:bCs/>
                <w:color w:val="FFFFFF"/>
                <w:sz w:val="19"/>
                <w:szCs w:val="19"/>
              </w:rPr>
              <w:t xml:space="preserve">Route</w:t>
            </w:r>
          </w:p>
        </w:tc>
        <w:tc>
          <w:tcPr>
            <w:tcW w:type="dxa" w:w="6060"/>
            <w:shd w:fill="DC2626" w:val="clear"/>
            <w:tcMar>
              <w:top w:type="dxa" w:w="80"/>
              <w:left w:type="dxa" w:w="100"/>
              <w:bottom w:type="dxa" w:w="80"/>
              <w:right w:type="dxa" w:w="100"/>
            </w:tcMar>
          </w:tcPr>
          <w:p>
            <w:r>
              <w:rPr>
                <w:b/>
                <w:bCs/>
                <w:color w:val="FFFFFF"/>
                <w:sz w:val="19"/>
                <w:szCs w:val="19"/>
              </w:rPr>
              <w:t xml:space="preserve">Purpose</w:t>
            </w:r>
          </w:p>
        </w:tc>
      </w:tr>
      <w:tr>
        <w:tc>
          <w:tcPr>
            <w:tcW w:type="dxa" w:w="3300"/>
            <w:tcMar>
              <w:top w:type="dxa" w:w="80"/>
              <w:left w:type="dxa" w:w="100"/>
              <w:bottom w:type="dxa" w:w="80"/>
              <w:right w:type="dxa" w:w="100"/>
            </w:tcMar>
          </w:tcPr>
          <w:p>
            <w:r>
              <w:rPr>
                <w:b w:val="false"/>
                <w:bCs w:val="false"/>
                <w:sz w:val="19"/>
                <w:szCs w:val="19"/>
              </w:rPr>
              <w:t xml:space="preserve">POST /api/ai-visibility/track</w:t>
            </w:r>
          </w:p>
        </w:tc>
        <w:tc>
          <w:tcPr>
            <w:tcW w:type="dxa" w:w="6060"/>
            <w:tcMar>
              <w:top w:type="dxa" w:w="80"/>
              <w:left w:type="dxa" w:w="100"/>
              <w:bottom w:type="dxa" w:w="80"/>
              <w:right w:type="dxa" w:w="100"/>
            </w:tcMar>
          </w:tcPr>
          <w:p>
            <w:r>
              <w:rPr>
                <w:b w:val="false"/>
                <w:bCs w:val="false"/>
                <w:sz w:val="19"/>
                <w:szCs w:val="19"/>
              </w:rPr>
              <w:t xml:space="preserve">Create a tracked_queries row (brand + query + competitors). Enforces aiVisibilityScansQuota.</w:t>
            </w:r>
          </w:p>
        </w:tc>
      </w:tr>
      <w:tr>
        <w:tc>
          <w:tcPr>
            <w:tcW w:type="dxa" w:w="3300"/>
            <w:tcMar>
              <w:top w:type="dxa" w:w="80"/>
              <w:left w:type="dxa" w:w="100"/>
              <w:bottom w:type="dxa" w:w="80"/>
              <w:right w:type="dxa" w:w="100"/>
            </w:tcMar>
          </w:tcPr>
          <w:p>
            <w:r>
              <w:rPr>
                <w:b w:val="false"/>
                <w:bCs w:val="false"/>
                <w:sz w:val="19"/>
                <w:szCs w:val="19"/>
              </w:rPr>
              <w:t xml:space="preserve">GET /api/ai-visibility/track</w:t>
            </w:r>
          </w:p>
        </w:tc>
        <w:tc>
          <w:tcPr>
            <w:tcW w:type="dxa" w:w="6060"/>
            <w:tcMar>
              <w:top w:type="dxa" w:w="80"/>
              <w:left w:type="dxa" w:w="100"/>
              <w:bottom w:type="dxa" w:w="80"/>
              <w:right w:type="dxa" w:w="100"/>
            </w:tcMar>
          </w:tcPr>
          <w:p>
            <w:r>
              <w:rPr>
                <w:b w:val="false"/>
                <w:bCs w:val="false"/>
                <w:sz w:val="19"/>
                <w:szCs w:val="19"/>
              </w:rPr>
              <w:t xml:space="preserve">List the user's tracked queries with their latest scan result.</w:t>
            </w:r>
          </w:p>
        </w:tc>
      </w:tr>
      <w:tr>
        <w:tc>
          <w:tcPr>
            <w:tcW w:type="dxa" w:w="3300"/>
            <w:tcMar>
              <w:top w:type="dxa" w:w="80"/>
              <w:left w:type="dxa" w:w="100"/>
              <w:bottom w:type="dxa" w:w="80"/>
              <w:right w:type="dxa" w:w="100"/>
            </w:tcMar>
          </w:tcPr>
          <w:p>
            <w:r>
              <w:rPr>
                <w:b w:val="false"/>
                <w:bCs w:val="false"/>
                <w:sz w:val="19"/>
                <w:szCs w:val="19"/>
              </w:rPr>
              <w:t xml:space="preserve">DELETE /api/ai-visibility/track/[id]</w:t>
            </w:r>
          </w:p>
        </w:tc>
        <w:tc>
          <w:tcPr>
            <w:tcW w:type="dxa" w:w="6060"/>
            <w:tcMar>
              <w:top w:type="dxa" w:w="80"/>
              <w:left w:type="dxa" w:w="100"/>
              <w:bottom w:type="dxa" w:w="80"/>
              <w:right w:type="dxa" w:w="100"/>
            </w:tcMar>
          </w:tcPr>
          <w:p>
            <w:r>
              <w:rPr>
                <w:b w:val="false"/>
                <w:bCs w:val="false"/>
                <w:sz w:val="19"/>
                <w:szCs w:val="19"/>
              </w:rPr>
              <w:t xml:space="preserve">Stop tracking a query.</w:t>
            </w:r>
          </w:p>
        </w:tc>
      </w:tr>
      <w:tr>
        <w:tc>
          <w:tcPr>
            <w:tcW w:type="dxa" w:w="3300"/>
            <w:tcMar>
              <w:top w:type="dxa" w:w="80"/>
              <w:left w:type="dxa" w:w="100"/>
              <w:bottom w:type="dxa" w:w="80"/>
              <w:right w:type="dxa" w:w="100"/>
            </w:tcMar>
          </w:tcPr>
          <w:p>
            <w:r>
              <w:rPr>
                <w:b w:val="false"/>
                <w:bCs w:val="false"/>
                <w:sz w:val="19"/>
                <w:szCs w:val="19"/>
              </w:rPr>
              <w:t xml:space="preserve">POST /api/ai-visibility/scan/[id]</w:t>
            </w:r>
          </w:p>
        </w:tc>
        <w:tc>
          <w:tcPr>
            <w:tcW w:type="dxa" w:w="6060"/>
            <w:tcMar>
              <w:top w:type="dxa" w:w="80"/>
              <w:left w:type="dxa" w:w="100"/>
              <w:bottom w:type="dxa" w:w="80"/>
              <w:right w:type="dxa" w:w="100"/>
            </w:tcMar>
          </w:tcPr>
          <w:p>
            <w:r>
              <w:rPr>
                <w:b w:val="false"/>
                <w:bCs w:val="false"/>
                <w:sz w:val="19"/>
                <w:szCs w:val="19"/>
              </w:rPr>
              <w:t xml:space="preserve">Run one on-demand scan for a tracked query right now (calls the AI simulation, inserts ai_visibility + ai_simulations rows, decrements quota).</w:t>
            </w:r>
          </w:p>
        </w:tc>
      </w:tr>
      <w:tr>
        <w:tc>
          <w:tcPr>
            <w:tcW w:type="dxa" w:w="3300"/>
            <w:tcMar>
              <w:top w:type="dxa" w:w="80"/>
              <w:left w:type="dxa" w:w="100"/>
              <w:bottom w:type="dxa" w:w="80"/>
              <w:right w:type="dxa" w:w="100"/>
            </w:tcMar>
          </w:tcPr>
          <w:p>
            <w:r>
              <w:rPr>
                <w:b w:val="false"/>
                <w:bCs w:val="false"/>
                <w:sz w:val="19"/>
                <w:szCs w:val="19"/>
              </w:rPr>
              <w:t xml:space="preserve">GET /api/ai-visibility/[id]/history</w:t>
            </w:r>
          </w:p>
        </w:tc>
        <w:tc>
          <w:tcPr>
            <w:tcW w:type="dxa" w:w="6060"/>
            <w:tcMar>
              <w:top w:type="dxa" w:w="80"/>
              <w:left w:type="dxa" w:w="100"/>
              <w:bottom w:type="dxa" w:w="80"/>
              <w:right w:type="dxa" w:w="100"/>
            </w:tcMar>
          </w:tcPr>
          <w:p>
            <w:r>
              <w:rPr>
                <w:b w:val="false"/>
                <w:bCs w:val="false"/>
                <w:sz w:val="19"/>
                <w:szCs w:val="19"/>
              </w:rPr>
              <w:t xml:space="preserve">Return the time series of ai_visibility rows for one tracked query, for the trend chart.</w:t>
            </w:r>
          </w:p>
        </w:tc>
      </w:tr>
      <w:tr>
        <w:tc>
          <w:tcPr>
            <w:tcW w:type="dxa" w:w="3300"/>
            <w:tcMar>
              <w:top w:type="dxa" w:w="80"/>
              <w:left w:type="dxa" w:w="100"/>
              <w:bottom w:type="dxa" w:w="80"/>
              <w:right w:type="dxa" w:w="100"/>
            </w:tcMar>
          </w:tcPr>
          <w:p>
            <w:r>
              <w:rPr>
                <w:b w:val="false"/>
                <w:bCs w:val="false"/>
                <w:sz w:val="19"/>
                <w:szCs w:val="19"/>
              </w:rPr>
              <w:t xml:space="preserve">POST /api/cron/ai-visibility-scan</w:t>
            </w:r>
          </w:p>
        </w:tc>
        <w:tc>
          <w:tcPr>
            <w:tcW w:type="dxa" w:w="6060"/>
            <w:tcMar>
              <w:top w:type="dxa" w:w="80"/>
              <w:left w:type="dxa" w:w="100"/>
              <w:bottom w:type="dxa" w:w="80"/>
              <w:right w:type="dxa" w:w="100"/>
            </w:tcMar>
          </w:tcPr>
          <w:p>
            <w:r>
              <w:rPr>
                <w:b w:val="false"/>
                <w:bCs w:val="false"/>
                <w:sz w:val="19"/>
                <w:szCs w:val="19"/>
              </w:rPr>
              <w:t xml:space="preserve">Scheduled job: iterate active tracked_queries rows due for a re-check, run the scan for each, respecting quota. Needs its own error handling since it runs unattended.</w:t>
            </w:r>
          </w:p>
        </w:tc>
      </w:tr>
    </w:tbl>
    <w:p>
      <w:pPr>
        <w:pStyle w:val="Heading1"/>
        <w:spacing w:after="150" w:before="300"/>
      </w:pPr>
      <w:r>
        <w:t xml:space="preserve">5. UI needed (none exists today)</w:t>
      </w:r>
    </w:p>
    <w:p>
      <w:pPr>
        <w:pStyle w:val="ListParagraph"/>
        <w:numPr>
          <w:ilvl w:val="0"/>
          <w:numId w:val="1"/>
        </w:numPr>
        <w:spacing w:after="80"/>
      </w:pPr>
      <w:r>
        <w:t xml:space="preserve">A new dashboard page (e.g. /dashboard/ai-visibility) — the Keywords/Content/Analytics pages currently show "coming soon" placeholders with links out to related tools; this would replace one of those placeholders with a real page for the first time.</w:t>
      </w:r>
    </w:p>
    <w:p>
      <w:pPr>
        <w:pStyle w:val="ListParagraph"/>
        <w:numPr>
          <w:ilvl w:val="0"/>
          <w:numId w:val="1"/>
        </w:numPr>
        <w:spacing w:after="80"/>
      </w:pPr>
      <w:r>
        <w:t xml:space="preserve">Add-tracked-query form (brand, query, competitors).</w:t>
      </w:r>
    </w:p>
    <w:p>
      <w:pPr>
        <w:pStyle w:val="ListParagraph"/>
        <w:numPr>
          <w:ilvl w:val="0"/>
          <w:numId w:val="1"/>
        </w:numPr>
        <w:spacing w:after="80"/>
      </w:pPr>
      <w:r>
        <w:t xml:space="preserve">A list/table of tracked queries showing latest mentioned/position/sentiment per query.</w:t>
      </w:r>
    </w:p>
    <w:p>
      <w:pPr>
        <w:pStyle w:val="ListParagraph"/>
        <w:numPr>
          <w:ilvl w:val="0"/>
          <w:numId w:val="1"/>
        </w:numPr>
        <w:spacing w:after="80"/>
      </w:pPr>
      <w:r>
        <w:t xml:space="preserve">A per-query detail view with the history chart (mentioned vs. not, position over time, sentiment trend) — this is the actual "tracking" experience, not just a single score.</w:t>
      </w:r>
    </w:p>
    <w:p>
      <w:pPr>
        <w:pStyle w:val="ListParagraph"/>
        <w:numPr>
          <w:ilvl w:val="0"/>
          <w:numId w:val="1"/>
        </w:numPr>
        <w:spacing w:after="80"/>
      </w:pPr>
      <w:r>
        <w:t xml:space="preserve">Quota display, consistent with the existing UsageMeter pattern already used for daily/monthly generations.</w:t>
      </w:r>
    </w:p>
    <w:p>
      <w:pPr>
        <w:pStyle w:val="Heading1"/>
        <w:spacing w:after="150" w:before="300"/>
      </w:pPr>
      <w:r>
        <w:t xml:space="preserve">6. Rough effort read</w:t>
      </w:r>
    </w:p>
    <w:p>
      <w:pPr>
        <w:spacing w:after="120"/>
      </w:pPr>
      <w:r>
        <w:t xml:space="preserve">This is a same-shape build to the existing keyword-research pipeline that was also scaffolded and never finished (per the schema-drift audit: keyword_intents/keyword_opportunities have columns with no insert statements either) — worth knowing this project has an existing pattern of scaffolding data models further ahead than the UI/API layer. Concretely: 1 new table + 1 new column, 6 new API routes, 1 new cron route, 1 new dashboard page with 3 real UI states (empty/list/detail), and quota wiring into 3 existing plan configs. This is meaningfully bigger than any single one of the 12 existing tools (which are one form + one prompt each) but smaller than a full white-label rebuild — no new auth model, no new tenant concept, reuses the existing session/quota/plan patterns throughout.</w:t>
      </w:r>
    </w:p>
    <w:p>
      <w:pPr>
        <w:pStyle w:val="Heading1"/>
        <w:spacing w:after="150" w:before="300"/>
      </w:pPr>
      <w:r>
        <w:t xml:space="preserve">7. Open decisions for Sri</w:t>
      </w:r>
    </w:p>
    <w:p>
      <w:pPr>
        <w:pStyle w:val="ListParagraph"/>
        <w:numPr>
          <w:ilvl w:val="0"/>
          <w:numId w:val="1"/>
        </w:numPr>
        <w:spacing w:after="80"/>
      </w:pPr>
      <w:r>
        <w:t xml:space="preserve">Option A (Claude-simulated, ships faster, must be labeled honestly) vs. Option B (real multi-engine, needs new OpenAI/Perplexity/SERP-data vendor accounts and cost) — Section 2.</w:t>
      </w:r>
    </w:p>
    <w:p>
      <w:pPr>
        <w:pStyle w:val="ListParagraph"/>
        <w:numPr>
          <w:ilvl w:val="0"/>
          <w:numId w:val="1"/>
        </w:numPr>
        <w:spacing w:after="80"/>
      </w:pPr>
      <w:r>
        <w:t xml:space="preserve">Scan cadence for tracked queries — weekly is assumed above as a placeholder, not decided.</w:t>
      </w:r>
    </w:p>
    <w:p>
      <w:pPr>
        <w:pStyle w:val="ListParagraph"/>
        <w:numPr>
          <w:ilvl w:val="0"/>
          <w:numId w:val="1"/>
        </w:numPr>
        <w:spacing w:after="80"/>
      </w:pPr>
      <w:r>
        <w:t xml:space="preserve">Whether aiVisibilityScansQuota values differ by plan (e.g. Free: 0, Pro: some number, Enterprise: higher) — currently unset for all three plans in lib/stripe/products.ts.</w:t>
      </w:r>
    </w:p>
    <w:p>
      <w:pPr>
        <w:pStyle w:val="ListParagraph"/>
        <w:numPr>
          <w:ilvl w:val="0"/>
          <w:numId w:val="1"/>
        </w:numPr>
        <w:spacing w:after="80"/>
      </w:pPr>
      <w:r>
        <w:t xml:space="preserve">Whether to rename/reposition "AI Overview Optimizer" toward the GEO/AI-visibility language once this ships, per the feature-brief cross-check's Section 2 recommendation to hold the rename until real tracking exists.</w:t>
      </w:r>
    </w:p>
    <w:p>
      <w:pPr>
        <w:pStyle w:val="ListParagraph"/>
        <w:numPr>
          <w:ilvl w:val="0"/>
          <w:numId w:val="1"/>
        </w:numPr>
        <w:spacing w:after="80"/>
      </w:pPr>
      <w:r>
        <w:t xml:space="preserve">Whether this replaces one of the dashboard's "coming soon" placeholders (Keywords/Content/Analytics) or ships as a new nav item — affects both nav structure and how "not yet built" honesty is maintained for the other two placeholders in the meantime.</w:t>
      </w:r>
    </w:p>
    <w:p>
      <w:pPr>
        <w:pStyle w:val="ListParagraph"/>
        <w:numPr>
          <w:ilvl w:val="0"/>
          <w:numId w:val="1"/>
        </w:numPr>
        <w:spacing w:after="80"/>
      </w:pPr>
      <w:r>
        <w:t xml:space="preserve">How AI-visibility tracking is packaged/priced — bundled free into Pro/Enterprise (matches the existing quota columns, cheapest to build), a paid upsell on top of a subscription, or Sri’s separate one-time + “done-for-you” product line (Section 9). Explicitly deferred by Sri until the Option A vs. B build decision is made.</w:t>
      </w:r>
    </w:p>
    <w:p>
      <w:pPr>
        <w:pStyle w:val="Heading1"/>
        <w:spacing w:after="150" w:before="300"/>
      </w:pPr>
      <w:r>
        <w:t xml:space="preserve">8. What this looks like in practice — a concrete example</w:t>
      </w:r>
    </w:p>
    <w:p>
      <w:pPr>
        <w:spacing w:after="120"/>
      </w:pPr>
      <w:r>
        <w:t xml:space="preserve">Take a mid-size CRM SaaS company — the same category the AI Overview Optimizer tool already uses as its own placeholder example ("Best CRM software for startups"). Today, a buyer shopping for a CRM increasingly asks ChatGPT or Perplexity directly ("what’s the best CRM for a 10-person sales team") or sees a Google AI Overview answer the question before any links even appear, instead of scrolling ten blue links. The AI reads a handful of sources and picks 2-7 to synthesize into one answer, and either names that CRM company or doesn’t.</w:t>
      </w:r>
    </w:p>
    <w:p>
      <w:pPr>
        <w:spacing w:after="120"/>
      </w:pPr>
      <w:r>
        <w:t xml:space="preserve">The problem for that company: Google Search Console shows clicks and impressions from traditional search, but nothing about whether ChatGPT mentioned them yesterday, whether Perplexity named a competitor instead, or whether their brand’s sentiment in Google’s AI Overview skews positive or critical (AI Overviews specifically skew more critical than ChatGPT, per the GEO research brief). The only way to know today is to manually ask each AI the same question repeatedly and take notes by hand — which nobody does consistently.</w:t>
      </w:r>
    </w:p>
    <w:p>
      <w:pPr>
        <w:spacing w:after="120"/>
      </w:pPr>
      <w:r>
        <w:t xml:space="preserve">That is the gap this feature fills: the company sets up a handful of queries it cares about ("best CRM for startups," "[competitor] alternatives," "CRM with the best free plan"), and gets back, per query, per AI engine — was the brand mentioned, where in the answer, what tone, how often — tracked over time so it reads as a trend, not a one-off snapshot. If a competitor starts showing up in ChatGPT’s answer and this company doesn’t, that is a signal to fix their content, the same way a keyword-rank drop is a signal in classic SEO.</w:t>
      </w:r>
    </w:p>
    <w:p>
      <w:pPr>
        <w:spacing w:after="120"/>
      </w:pPr>
      <w:r>
        <w:t xml:space="preserve">The businesses actually searching for a tool like this are the same ones already buying SHIJO’s SEO tools: marketing teams and agencies at SaaS companies, and e-commerce/DTC brands — anyone whose buyers now research by asking an AI a question instead of clicking search results.</w:t>
      </w:r>
    </w:p>
    <w:p>
      <w:pPr>
        <w:pStyle w:val="Heading2"/>
        <w:spacing w:after="120" w:before="240"/>
      </w:pPr>
      <w:r>
        <w:t xml:space="preserve">Is this something a user comes back to check, or a one-time report?</w:t>
      </w:r>
    </w:p>
    <w:p>
      <w:pPr>
        <w:spacing w:after="120"/>
      </w:pPr>
      <w:r>
        <w:t xml:space="preserve">By design, recurring — this is the entire point of Section 3’s tracked_queries table and scheduled re-scan route. A user sets up a query once, and the product re-checks it on a schedule (weekly, placeholder) and keeps a history per query, which is what makes the per-query detail view (Section 5) worth opening more than once. This is a deliberately different shape from the existing AI Overview Optimizer tool, which is a single-shot audit with no memory — open it, get an answer, done. A tracking feature only earns repeat visits if it actually tracks; a one-time score would not.</w:t>
      </w:r>
    </w:p>
    <w:p>
      <w:pPr>
        <w:pStyle w:val="Heading1"/>
        <w:spacing w:after="150" w:before="300"/>
      </w:pPr>
      <w:r>
        <w:t xml:space="preserve">9. Business model idea from Sri — recurring engagement + a paid "done-for-you" layer (not yet decided)</w:t>
      </w:r>
    </w:p>
    <w:p>
      <w:pPr>
        <w:spacing w:after="120"/>
      </w:pPr>
      <w:r>
        <w:t xml:space="preserve">Sri raised a real comparison worth recording: he used Attracta.com to submit his site and bought their upsell product, then later found the service had gone stale/outdated — the exact trap a tracking feature should avoid. The instinct behind this feature (recurring value that pulls users back to the product, not a one-time report they open once and forget) is the right one, and lines up with the retention gap the current AI Overview Optimizer has — it is used once per audit, not something a user has a reason to reopen.</w:t>
      </w:r>
    </w:p>
    <w:p>
      <w:pPr>
        <w:spacing w:after="120"/>
      </w:pPr>
      <w:r>
        <w:t xml:space="preserve">Sri’s idea, in his own framing: once real tracking exists, sell it two ways — a one-time product (e.g. a single deep audit/report) and a recurring "done-for-you" service where SHIJO (or its team) actively works a customer’s AI visibility on their behalf, not just reports on it. He was explicit that the shape of the "done-for-you" offering is not defined yet — recorded here as a real direction to scope later, not a decided plan. Two honesty notes for whoever scopes it: (1) a "done-for-you" service implies a human/managed-service layer on top of the software, which is a different kind of commitment (support staff, deliverables, SLAs) than anything SHIJO sells today — worth treating as its own business decision, not a checkbox on this feature; (2) whatever ships must keep working over time the way Attracta’s upsell reportedly didn’t — the recurring scan/history mechanism in Sections 3-5 is what keeps this from going stale, but only if the scheduled scan job actually keeps running and someone is watching that it does.</w:t>
      </w:r>
    </w:p>
    <w:p>
      <w:pPr>
        <w:pStyle w:val="Heading1"/>
        <w:spacing w:after="150" w:before="300"/>
      </w:pPr>
      <w:r>
        <w:t xml:space="preserve">10. Naming &amp; discoverability — why "GEO" has to live in content, not just the tool’s name</w:t>
      </w:r>
    </w:p>
    <w:p>
      <w:pPr>
        <w:spacing w:after="120"/>
      </w:pPr>
      <w:r>
        <w:t xml:space="preserve">Sri’s question: the product doesn’t use the word "GEO" anywhere, so how would someone searching for that term find SHIJO.AI? Renaming the internal tool is not what controls this — what controls it is whether the site’s actual content (page titles, meta descriptions, blog posts) uses the terms people search for. A user never sees a tool’s internal name; they see page titles and body copy, and that is what both traditional SEO and GEO itself (per the research brief’s own mechanics — retrieval matches on content, not product names) key off of.</w:t>
      </w:r>
    </w:p>
    <w:p>
      <w:pPr>
        <w:spacing w:after="120"/>
      </w:pPr>
      <w:r>
        <w:rPr>
          <w:b/>
          <w:bCs/>
        </w:rPr>
        <w:t xml:space="preserve">Checked directly: </w:t>
      </w:r>
      <w:r>
        <w:t xml:space="preserve">right now, zero pages on shijo.ai use "GEO," "generative engine optimization," or "AI visibility tracking" anywhere — not by oversight, but because an earlier session deliberately scrubbed exactly these phrases from the homepage title/meta description after finding they described a tracking capability that did not exist yet (the same fabricated-claim problem flagged throughout this project). That was the right call at the time. It also means SHIJO.AI is currently invisible to anyone searching or asking an AI about "GEO tools" or "AI visibility tracking software," in either Google or an LLM’s own answer — there is no content anywhere on the site an AI could retrieve and cite for that category, regardless of what the product is capable of internally.</w:t>
      </w:r>
    </w:p>
    <w:p>
      <w:pPr>
        <w:spacing w:after="120"/>
      </w:pPr>
      <w:r>
        <w:t xml:space="preserve">The two-step unlock: (1) ship real tracking capability (Option A at minimum, honestly labeled per Section 2), then (2) publish real content that uses the market’s actual language — a landing page, blog posts, updated page titles/meta descriptions — describing the real, now-true capability. Doing step 2 before step 1 repeats the fabricated-claim mistake already fixed once; doing step 1 without step 2 means the feature exists but stays undiscoverable by search or AI-citation. This is the same GEO mechanism from the research brief applied to SHIJO’s own site: being retrievable and citable requires real content using the real terms, not just having the underlying capability.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2026-07-19T18:50:08.611Z</dcterms:created>
  <dcterms:modified xsi:type="dcterms:W3CDTF">2026-07-19T18:50:08.611Z</dcterms:modified>
</cp:coreProperties>
</file>

<file path=docProps/custom.xml><?xml version="1.0" encoding="utf-8"?>
<Properties xmlns="http://schemas.openxmlformats.org/officeDocument/2006/custom-properties" xmlns:vt="http://schemas.openxmlformats.org/officeDocument/2006/docPropsVTypes"/>
</file>