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5C8" w:rsidRDefault="00A555C8" w:rsidP="00A555C8">
      <w:pPr>
        <w:pStyle w:val="a4"/>
        <w:jc w:val="center"/>
        <w:rPr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80004" r:id="rId5"/>
        </w:object>
      </w:r>
    </w:p>
    <w:p w:rsidR="00A555C8" w:rsidRDefault="00A555C8" w:rsidP="00A555C8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</w:rPr>
        <w:t>ШИРОКІВСЬКА СІЛЬСЬКА РАДА</w:t>
      </w:r>
    </w:p>
    <w:p w:rsidR="00A555C8" w:rsidRDefault="00A555C8" w:rsidP="00A555C8">
      <w:pPr>
        <w:pStyle w:val="a4"/>
        <w:jc w:val="center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ЗАПОРІЗЬКОГО РАЙОНУ ЗАПОРІЗЬКОЇ ОБЛАСТІ</w:t>
      </w:r>
    </w:p>
    <w:p w:rsidR="00A555C8" w:rsidRDefault="00A555C8" w:rsidP="00A555C8">
      <w:pPr>
        <w:pStyle w:val="a4"/>
        <w:jc w:val="center"/>
        <w:rPr>
          <w:rFonts w:eastAsia="Times New Roman"/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A555C8" w:rsidRDefault="00A555C8" w:rsidP="00A555C8">
      <w:pPr>
        <w:pStyle w:val="a4"/>
        <w:jc w:val="center"/>
        <w:rPr>
          <w:sz w:val="28"/>
          <w:szCs w:val="28"/>
        </w:rPr>
      </w:pPr>
    </w:p>
    <w:p w:rsidR="00A555C8" w:rsidRDefault="00A555C8" w:rsidP="00A555C8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</w:rPr>
        <w:t>РІШЕННЯ</w:t>
      </w:r>
    </w:p>
    <w:p w:rsidR="00A555C8" w:rsidRDefault="00A555C8" w:rsidP="00A555C8">
      <w:pPr>
        <w:pStyle w:val="a4"/>
        <w:jc w:val="center"/>
        <w:rPr>
          <w:sz w:val="28"/>
          <w:szCs w:val="28"/>
        </w:rPr>
      </w:pPr>
    </w:p>
    <w:p w:rsidR="00A555C8" w:rsidRDefault="00954653" w:rsidP="00A555C8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15</w:t>
      </w:r>
      <w:r w:rsidR="00A555C8">
        <w:rPr>
          <w:sz w:val="28"/>
          <w:szCs w:val="28"/>
          <w:lang w:val="uk-UA"/>
        </w:rPr>
        <w:t xml:space="preserve">.10.2024 року </w:t>
      </w:r>
      <w:r w:rsidR="00A555C8">
        <w:rPr>
          <w:sz w:val="28"/>
          <w:szCs w:val="28"/>
        </w:rPr>
        <w:t xml:space="preserve">                  </w:t>
      </w:r>
      <w:r w:rsidR="00A555C8">
        <w:rPr>
          <w:sz w:val="28"/>
          <w:szCs w:val="28"/>
          <w:lang w:val="uk-UA"/>
        </w:rPr>
        <w:t xml:space="preserve">   </w:t>
      </w:r>
      <w:r w:rsidR="00A555C8">
        <w:rPr>
          <w:sz w:val="28"/>
          <w:szCs w:val="28"/>
        </w:rPr>
        <w:t xml:space="preserve">       м.</w:t>
      </w:r>
      <w:r w:rsidR="00A555C8">
        <w:rPr>
          <w:sz w:val="28"/>
          <w:szCs w:val="28"/>
          <w:lang w:val="uk-UA"/>
        </w:rPr>
        <w:t xml:space="preserve"> </w:t>
      </w:r>
      <w:r w:rsidR="00A555C8">
        <w:rPr>
          <w:sz w:val="28"/>
          <w:szCs w:val="28"/>
        </w:rPr>
        <w:t>Запор</w:t>
      </w:r>
      <w:r w:rsidR="00A555C8">
        <w:rPr>
          <w:sz w:val="28"/>
          <w:szCs w:val="28"/>
          <w:lang w:val="uk-UA"/>
        </w:rPr>
        <w:t>і</w:t>
      </w:r>
      <w:proofErr w:type="spellStart"/>
      <w:r w:rsidR="00A555C8">
        <w:rPr>
          <w:sz w:val="28"/>
          <w:szCs w:val="28"/>
        </w:rPr>
        <w:t>жжя</w:t>
      </w:r>
      <w:proofErr w:type="spellEnd"/>
      <w:r w:rsidR="00A555C8">
        <w:rPr>
          <w:sz w:val="28"/>
          <w:szCs w:val="28"/>
        </w:rPr>
        <w:t xml:space="preserve">                             </w:t>
      </w:r>
      <w:r w:rsidR="00A555C8">
        <w:rPr>
          <w:sz w:val="28"/>
          <w:szCs w:val="28"/>
          <w:lang w:val="uk-UA"/>
        </w:rPr>
        <w:t xml:space="preserve">      </w:t>
      </w:r>
      <w:r w:rsidR="00A555C8">
        <w:rPr>
          <w:sz w:val="28"/>
          <w:szCs w:val="28"/>
        </w:rPr>
        <w:t xml:space="preserve">        №</w:t>
      </w:r>
      <w:r w:rsidR="00A555C8">
        <w:rPr>
          <w:sz w:val="28"/>
          <w:szCs w:val="28"/>
          <w:lang w:val="uk-UA"/>
        </w:rPr>
        <w:t xml:space="preserve"> 331    </w:t>
      </w:r>
    </w:p>
    <w:p w:rsidR="0043144E" w:rsidRDefault="0043144E" w:rsidP="00A555C8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розподіл субвенції</w:t>
      </w: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 внесення змін до бюджетних</w:t>
      </w: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призначень на 2024 рік</w:t>
      </w: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доповненнями), на підставі розпорядження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голови Запорізької обласної державної адміністрації, начальника обласної військової адміністрації від 14.10.2024 № 831 «Про перерозподіл видатків обласного бюджету» та довідки про зміни до помісячного розпису спеціального фонду бюджету (за винятком власних надходжень бюджетних установ та відповідних видатків) на 2024 рік № 2159 від 14.10.2024 року, розпорядження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селищної військової адміністрації Мелітопольського району Запорізької області від 11.10.2024 № 176 «Про внесення змін та доповнень до розпорядження начальника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селищної військової адміністрації від 19.12.2023 № 137 «Про місцевий бюджет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селищної територіальної громади на 2024 рік (0853300000)» та довідки про зміни до помісячного розпису асигнувань загального фонду (за винятком надання кредитів з бюджету) на 2024 рік № 152 від 14.10.2024, довідки про зміни до помісячного розпису спеціального фонду (за винятком власних надходжень бюджетних установ та відповідних видатків) на 2024 рік № 153 14.10.2024, 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 </w:t>
      </w: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ВИРІШИВ: 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спеціального фонду (бюджету розвитку) бюджету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41053900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«Інші субвенції з місцевого бюджету»  у вересні 2024  року на  суму 2 235 499 грн.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спеціального фонду (бюджет розвитку) місцевого бюджету по </w:t>
      </w:r>
      <w:bookmarkStart w:id="0" w:name="_Hlk158980105"/>
      <w:r>
        <w:rPr>
          <w:rFonts w:ascii="Times New Roman" w:hAnsi="Times New Roman"/>
          <w:bCs/>
          <w:sz w:val="28"/>
          <w:szCs w:val="28"/>
          <w:lang w:val="uk-UA"/>
        </w:rPr>
        <w:t>КПКВК 0117330</w:t>
      </w:r>
      <w:r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Будівництво інших об’єктів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комунальної власності» по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КЕКВ 3142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Реконструкція та реставрація інших об’єктів»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у вересні 2024 року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суму 2 235 499 грн, зокрема по об’єктам: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- 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Володимирівського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ліцею «Успіх» за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адресою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Володимирівське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, вул. Космічна, 2а – 1 126 695 грн;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- 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Лукашівської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гімназії «Мрія» за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адресою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Лукашеве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, вул. Молодіжна, 1в – 1 108 804 грн.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Збільшити доходну частину загального фонду місцевого бюджету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>41053900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Інші субвенції з місцевого бюджету</w:t>
      </w:r>
      <w:r>
        <w:rPr>
          <w:rFonts w:ascii="Times New Roman" w:hAnsi="Times New Roman"/>
          <w:sz w:val="28"/>
          <w:szCs w:val="28"/>
          <w:lang w:val="uk-UA"/>
        </w:rPr>
        <w:t>» у жовтні 2024 року на суму 1 641 270 грн.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65366972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4. Збільшити видаткову частину загального фонду місцевого бюджету по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0111021</w:t>
      </w:r>
      <w:r>
        <w:rPr>
          <w:rFonts w:ascii="Times New Roman" w:hAnsi="Times New Roman"/>
          <w:sz w:val="28"/>
          <w:szCs w:val="28"/>
          <w:lang w:val="uk-UA"/>
        </w:rPr>
        <w:t xml:space="preserve"> «Надання загальної середньої освіти закладами загальної середньої освіти за рахунок коштів місцевого бюджету» по КЕКВ 2240 «Оплата послуг (крім комунальних)» у жовтні 2024 року на загальну суму 644 900 грн (у тому числі: видатки з благоустрою населених пунктів  (поточний ремонт спортивного майданчика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Відраднівської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філії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с-ще Відрадне, вул. Перемоги, 2 Запорізького району Запорізької області) – 84 300 грн, поточний ремонт футбольного майданчика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гімназії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с. Широке, вул. Центральна, 6 Запорізького району Запорізької області – 147 000 грн); експлуатаційні послуги, пов’язані з утриманням будинків і споруд та прибудинкових територій (поточний ремонт покрівлі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с.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Молодіжна, 1 Запорізького району Запорізької області – 191 000 грн, поточний ремонт покрівлі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Відраднівської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філії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с-ще Відрадне, вул. Набережна, 4Б Запорізького району Запорізької області – 99 600 грн, поточний ремонт покрівлі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с.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 Молодіжна, 63 Запорізького району Запорізької області – 123 000 грн)).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Збільшити видаткову частину загального фонду місцевого бюджету по </w:t>
      </w:r>
      <w:r>
        <w:rPr>
          <w:rFonts w:ascii="Times New Roman" w:hAnsi="Times New Roman"/>
          <w:sz w:val="28"/>
          <w:szCs w:val="28"/>
          <w:lang w:val="uk-UA"/>
        </w:rPr>
        <w:t>КПКВК 0116030 «Організація благоустрою населених пунктів»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по КЕКВ 2240 «Оплата послуг (крім комунальних)» у жовтні 2024 року на суму 996 370 грн (видатки з благоустрою населених пунктів).</w:t>
      </w:r>
    </w:p>
    <w:bookmarkEnd w:id="1"/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6. Збільшити доходну частину спеціального фонду (бюджет розвитку) місцевого бюджету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>41053900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Інші субвенції з місцевого бюджету</w:t>
      </w:r>
      <w:r>
        <w:rPr>
          <w:rFonts w:ascii="Times New Roman" w:hAnsi="Times New Roman"/>
          <w:sz w:val="28"/>
          <w:szCs w:val="28"/>
          <w:lang w:val="uk-UA"/>
        </w:rPr>
        <w:t>» у жовтні 2024 року на суму 1 000 000 грн.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7. Збільшити видаткову частину спеціального фонду (бюджет розвитку) місцевого бюджету по </w:t>
      </w:r>
      <w:bookmarkStart w:id="2" w:name="_Hlk158980204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КПКВК 0118240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 xml:space="preserve"> 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Заходи та роботи з територіальної оборони» </w:t>
      </w:r>
      <w:bookmarkStart w:id="3" w:name="_Hlk158980237"/>
      <w:bookmarkEnd w:id="2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по </w:t>
      </w:r>
      <w:r>
        <w:rPr>
          <w:rFonts w:ascii="Times New Roman" w:hAnsi="Times New Roman"/>
          <w:bCs/>
          <w:sz w:val="28"/>
          <w:szCs w:val="28"/>
          <w:lang w:val="uk-UA"/>
        </w:rPr>
        <w:t>КЕКВ 3110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4" w:name="_Hlk151547601"/>
      <w:r>
        <w:rPr>
          <w:rFonts w:ascii="Times New Roman" w:hAnsi="Times New Roman"/>
          <w:sz w:val="28"/>
          <w:szCs w:val="28"/>
          <w:lang w:val="uk-UA"/>
        </w:rPr>
        <w:t xml:space="preserve">«Придбання обладнання та предметів довгострокового користування» </w:t>
      </w:r>
      <w:bookmarkEnd w:id="3"/>
      <w:bookmarkEnd w:id="4"/>
      <w:r>
        <w:rPr>
          <w:rFonts w:ascii="Times New Roman" w:hAnsi="Times New Roman"/>
          <w:sz w:val="28"/>
          <w:szCs w:val="28"/>
          <w:lang w:val="uk-UA"/>
        </w:rPr>
        <w:t xml:space="preserve">у жовтні 2024 року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суму 1 000 000 грн (матеріально-технічне забезпечення підрозділів військових частин Збройних Сил України).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8. Здійснити перерозподіл асигнувань місцевого бюджету по                      КПКВК 0114081 «Інші заклади та заходи в галузі культури і мистецтва», а саме: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>- зменшити бюджетні асигнування загального фонду по КЕКВ 2210 «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Предмети, матеріали, обладнання та інвентар» у жовтні 2024 року на суму 39 100 грн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(придбання та виготовлення інформаційних меморіальних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табличок для вшанування пам'яті загиблих військовослужбовців);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збільшити бюджетні асигнування спеціального фонду (бюджет розвитку)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3110</w:t>
      </w:r>
      <w:r>
        <w:rPr>
          <w:rFonts w:ascii="Times New Roman" w:hAnsi="Times New Roman"/>
          <w:sz w:val="28"/>
          <w:szCs w:val="28"/>
          <w:lang w:val="uk-UA"/>
        </w:rPr>
        <w:t xml:space="preserve"> «Придбання обладнання та предметів довгострокового користування»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у жовтні 2024 року на суму 39 100 грн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(придбання та виготовлення інформаційних меморіальних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табличок для вшанування пам'яті загиблих військовослужбовців).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9. Здійснити перерозподіл асигнувань місцевого бюджету по                 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0116030 «Організація благоустрою населених пунктів»,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а саме: 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- зменшити бюджетні асигнування загального фонду по КЕКВ 2210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«Предмети, матеріали, обладнання та інвентар» у жовтні 2024 року на суму 99 950 грн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(придбання та виготовлення інформаційних меморіальних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табличок для вшанування пам'яті загиблих військовослужбовців);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збільшити бюджетні асигнування спеціального фонду (бюджет розвитку)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3110</w:t>
      </w:r>
      <w:r>
        <w:rPr>
          <w:rFonts w:ascii="Times New Roman" w:hAnsi="Times New Roman"/>
          <w:sz w:val="28"/>
          <w:szCs w:val="28"/>
          <w:lang w:val="uk-UA"/>
        </w:rPr>
        <w:t xml:space="preserve"> «Придбання обладнання та предметів довгострокового користування»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у жовтні 2024 року на суму 99 950 грн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(придбання та виготовлення інформаційних меморіальних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табличок для вшанування пам'яті загиблих військовослужбовців).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10. Здійснити перерозподіл асигнувань місцевого бюджету по                   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1616030 «Організація благоустрою населених пунктів»,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а саме: </w:t>
      </w:r>
    </w:p>
    <w:p w:rsidR="00023C1C" w:rsidRDefault="00023C1C" w:rsidP="00023C1C">
      <w:pPr>
        <w:spacing w:after="0" w:line="240" w:lineRule="auto"/>
        <w:ind w:firstLine="14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- зменшити бюджетні асигнування загального фонду по КЕКВ 2210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«Предмети, матеріали, обладнання та інвентар» у жовтні 2024 року на суму 99 950 грн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(придбання та виготовлення інформаційних меморіальних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табличок для вшанування пам'яті загиблих військовослужбовців);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збільшити бюджетні асигнування спеціального фонду (бюджет розвитку)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3110</w:t>
      </w:r>
      <w:r>
        <w:rPr>
          <w:rFonts w:ascii="Times New Roman" w:hAnsi="Times New Roman"/>
          <w:sz w:val="28"/>
          <w:szCs w:val="28"/>
          <w:lang w:val="uk-UA"/>
        </w:rPr>
        <w:t xml:space="preserve"> «Придбання обладнання та предметів довгострокового користування»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у жовтні 2024 року на суму 99 950 грн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(придбання та виготовлення інформаційних меморіальних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табличок для вшанування пам'яті загиблих військовослужбовців).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11. Здійснити передачу із загального фонду до спеціального фонду (бюджет розвитку) в сумі 239 000 грн.</w:t>
      </w:r>
    </w:p>
    <w:bookmarkEnd w:id="0"/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12. Здійснити перерозподіл видатків загального фонду місцевого бюджету по </w:t>
      </w: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КПКВК 0113241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«Забезпечення діяльності інших закладів у сфері соціального захисту та соціального забезпечення», а саме: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- зменшити бюджетні асигнування по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КЕКВ 2240 «Оплата послуг (крім комунальних)» у червні 2024 року на суму 99 900 грн (оплата послуг з ремонту та технічного обслуговування електрообладнання та електричних мереж); 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 збільшити бюджетні асигнування по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ЕКВ 2210 «Предмети, матеріали, обладнання та інвентар» у червні 2024 року на суму 99 900 грн (придбання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пально-мастильних матеріалів).</w:t>
      </w:r>
    </w:p>
    <w:p w:rsidR="00023C1C" w:rsidRDefault="00023C1C" w:rsidP="00023C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023C1C" w:rsidRDefault="00023C1C" w:rsidP="00023C1C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14.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023C1C" w:rsidRDefault="00023C1C" w:rsidP="00023C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</w:t>
      </w:r>
    </w:p>
    <w:p w:rsidR="00023C1C" w:rsidRDefault="00023C1C" w:rsidP="00023C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 сільського голови                                      Дмитро СВІРКІН</w:t>
      </w:r>
    </w:p>
    <w:p w:rsidR="00023C1C" w:rsidRDefault="00023C1C" w:rsidP="00023C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</w:t>
      </w:r>
    </w:p>
    <w:p w:rsidR="00023C1C" w:rsidRDefault="00023C1C" w:rsidP="00023C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23C1C" w:rsidRDefault="00023C1C" w:rsidP="00023C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023C1C" w:rsidP="00023C1C">
      <w:pPr>
        <w:pStyle w:val="a4"/>
        <w:jc w:val="both"/>
        <w:rPr>
          <w:sz w:val="28"/>
          <w:szCs w:val="28"/>
          <w:lang w:val="uk-UA"/>
        </w:rPr>
      </w:pPr>
    </w:p>
    <w:p w:rsidR="00023C1C" w:rsidRDefault="00307EDC" w:rsidP="00023C1C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5" w:name="_GoBack"/>
      <w:bookmarkEnd w:id="5"/>
    </w:p>
    <w:p w:rsidR="008066B9" w:rsidRPr="00A555C8" w:rsidRDefault="008066B9" w:rsidP="0043144E">
      <w:pPr>
        <w:rPr>
          <w:lang w:val="uk-UA"/>
        </w:rPr>
      </w:pPr>
    </w:p>
    <w:sectPr w:rsidR="008066B9" w:rsidRPr="00A555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CD0"/>
    <w:rsid w:val="00023C1C"/>
    <w:rsid w:val="00143CD0"/>
    <w:rsid w:val="00307EDC"/>
    <w:rsid w:val="0043144E"/>
    <w:rsid w:val="008066B9"/>
    <w:rsid w:val="00954653"/>
    <w:rsid w:val="00A5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B3F4D-86DD-464C-8691-431239A7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44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A555C8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A555C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List Paragraph"/>
    <w:basedOn w:val="a"/>
    <w:uiPriority w:val="99"/>
    <w:qFormat/>
    <w:rsid w:val="00023C1C"/>
    <w:pPr>
      <w:spacing w:after="0" w:line="240" w:lineRule="auto"/>
      <w:ind w:left="720"/>
      <w:contextualSpacing/>
    </w:pPr>
    <w:rPr>
      <w:rFonts w:ascii="Calibri" w:eastAsia="MS ??" w:hAnsi="Calibri" w:cs="Times New Roman"/>
      <w:sz w:val="24"/>
      <w:szCs w:val="24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023C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23C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2024-11-15T09:07:00Z</cp:lastPrinted>
  <dcterms:created xsi:type="dcterms:W3CDTF">2024-10-15T10:43:00Z</dcterms:created>
  <dcterms:modified xsi:type="dcterms:W3CDTF">2025-01-20T10:07:00Z</dcterms:modified>
</cp:coreProperties>
</file>