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BF4" w:rsidRDefault="00180BF4" w:rsidP="00180B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1915614" r:id="rId5"/>
        </w:object>
      </w:r>
    </w:p>
    <w:p w:rsidR="00180BF4" w:rsidRDefault="00180BF4" w:rsidP="00180BF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80BF4" w:rsidRDefault="00180BF4" w:rsidP="00180BF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80BF4" w:rsidRDefault="00180BF4" w:rsidP="00180BF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80BF4" w:rsidRDefault="00180BF4" w:rsidP="00180B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80BF4" w:rsidRDefault="00180BF4" w:rsidP="00180B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80BF4" w:rsidRDefault="00180BF4" w:rsidP="00180BF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80BF4" w:rsidRDefault="00180BF4" w:rsidP="00180BF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 № 29</w:t>
      </w:r>
    </w:p>
    <w:p w:rsidR="00A81A7E" w:rsidRPr="00A81A7E" w:rsidRDefault="00A81A7E" w:rsidP="00A81A7E">
      <w:pPr>
        <w:rPr>
          <w:rFonts w:ascii="Times New Roman" w:hAnsi="Times New Roman"/>
          <w:sz w:val="16"/>
          <w:szCs w:val="16"/>
          <w:lang w:val="uk-UA" w:eastAsia="zh-CN"/>
        </w:rPr>
      </w:pPr>
    </w:p>
    <w:p w:rsidR="00A81A7E" w:rsidRDefault="00A81A7E" w:rsidP="00A81A7E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Про </w:t>
      </w:r>
      <w:r>
        <w:rPr>
          <w:rFonts w:ascii="Times New Roman" w:hAnsi="Times New Roman"/>
          <w:sz w:val="28"/>
          <w:szCs w:val="28"/>
          <w:lang w:val="uk-UA"/>
        </w:rPr>
        <w:t xml:space="preserve">  затвердження заходів до </w:t>
      </w:r>
      <w:r>
        <w:rPr>
          <w:rFonts w:ascii="Times New Roman" w:hAnsi="Times New Roman"/>
          <w:sz w:val="28"/>
          <w:szCs w:val="28"/>
        </w:rPr>
        <w:t xml:space="preserve">Програми соціально - економічного та культурного розвитку Широківської сільської  ради Запорізького району Запорізької області  </w:t>
      </w:r>
      <w:r>
        <w:rPr>
          <w:rFonts w:ascii="Times New Roman" w:hAnsi="Times New Roman"/>
          <w:sz w:val="28"/>
          <w:szCs w:val="28"/>
          <w:lang w:val="uk-UA"/>
        </w:rPr>
        <w:t xml:space="preserve"> на 2025 рік  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27, 42, 59 Закону України «Про місцеве самоврядування в Україні»,  беручи до уваги  пропозиції першого заступника сільського голови Широківської сільської ради Свіркіна Д. , заступників сільського голови з питань діяльності виконавчих органів Широківської сільської ради Бондара О., Ставицької О., Юдіної М. про  затвердження заходів до  Програми соціально - економічного та культурного розвитку Широківської сільської  ради Запорізького району Запорізької області   на 2025 рік,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  заходи до Програми соціально - економічного та культурного розвитку Широківської сільської  ради Запорізького району Запорізької області   на 2025 рік.   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Рекомендувати подати   заходи до  </w:t>
      </w:r>
      <w:r>
        <w:rPr>
          <w:rFonts w:ascii="Times New Roman" w:hAnsi="Times New Roman"/>
          <w:sz w:val="28"/>
          <w:szCs w:val="28"/>
        </w:rPr>
        <w:t xml:space="preserve">Програми соціально - економічного та культурного розвитку Широківської сільської  ради Запорізького району Запорізької області  </w:t>
      </w:r>
      <w:r>
        <w:rPr>
          <w:rFonts w:ascii="Times New Roman" w:hAnsi="Times New Roman"/>
          <w:sz w:val="28"/>
          <w:szCs w:val="28"/>
          <w:lang w:val="uk-UA"/>
        </w:rPr>
        <w:t xml:space="preserve"> на 2025 рік   на затвердження сесії ради.  </w:t>
      </w:r>
    </w:p>
    <w:p w:rsidR="00A81A7E" w:rsidRDefault="00A81A7E" w:rsidP="00A81A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 цього рішення покласти на  першого заступника сільського голови Широківської сільської ради Свіркіна Д. , заступників сільського голови з питань діяльності виконавчих органів Широківської сільської ради Бондара О., Ставицької О., Юдіної М.  </w:t>
      </w:r>
    </w:p>
    <w:p w:rsidR="00A81A7E" w:rsidRDefault="00A81A7E" w:rsidP="00A81A7E">
      <w:pPr>
        <w:ind w:left="720"/>
        <w:jc w:val="both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</w:t>
      </w:r>
    </w:p>
    <w:p w:rsidR="00A81A7E" w:rsidRDefault="00A81A7E" w:rsidP="00A81A7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A81A7E" w:rsidRDefault="00A81A7E" w:rsidP="00A81A7E">
      <w:pPr>
        <w:rPr>
          <w:rFonts w:ascii="Times New Roman" w:hAnsi="Times New Roman"/>
          <w:sz w:val="28"/>
          <w:szCs w:val="28"/>
        </w:rPr>
      </w:pPr>
    </w:p>
    <w:p w:rsidR="00A81A7E" w:rsidRDefault="00A81A7E" w:rsidP="00A81A7E">
      <w:pPr>
        <w:rPr>
          <w:rFonts w:ascii="Times New Roman" w:hAnsi="Times New Roman"/>
          <w:sz w:val="28"/>
          <w:szCs w:val="28"/>
          <w:lang w:val="uk-UA"/>
        </w:rPr>
      </w:pPr>
    </w:p>
    <w:p w:rsidR="00001D5A" w:rsidRDefault="00001D5A">
      <w:pPr>
        <w:rPr>
          <w:lang w:val="uk-UA"/>
        </w:rPr>
      </w:pPr>
    </w:p>
    <w:p w:rsidR="004F3ADE" w:rsidRDefault="004F3ADE">
      <w:pPr>
        <w:rPr>
          <w:lang w:val="uk-UA"/>
        </w:rPr>
      </w:pP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Заходи</w:t>
      </w: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з соціально-економічного та культурного розвитку </w:t>
      </w: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Широківської сільської ради</w:t>
      </w: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Запорізького району Запорізької області</w:t>
      </w: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на 2025 рік</w:t>
      </w:r>
    </w:p>
    <w:p w:rsidR="004F3ADE" w:rsidRDefault="004F3ADE" w:rsidP="004F3ADE">
      <w:pPr>
        <w:pStyle w:val="a3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У сфері містобудування, архітектури, житлово-комунального господарства  та благоустрою  </w:t>
      </w:r>
    </w:p>
    <w:p w:rsidR="004F3ADE" w:rsidRDefault="004F3ADE" w:rsidP="004F3ADE">
      <w:pPr>
        <w:pStyle w:val="a3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  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92"/>
        <w:gridCol w:w="3006"/>
        <w:gridCol w:w="1539"/>
        <w:gridCol w:w="1753"/>
        <w:gridCol w:w="2255"/>
      </w:tblGrid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Реконструкція дороги за адресою:вул.Будівельників село Володимирівське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99 703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138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дорожньо-транспртної інфрастуктури у належний технічний стан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Велопішохідна доріжка з освітленням вул.Будівельників село Володимирівське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34 056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732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дорожньо-транспртної інфрастуктури у належний технічний стан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Капітальний ремонт найпростішого укриття (підвального приміщення) у будівлі Лукашівської гімназії "Мрія" Широківської сільської ради за адресою: Запорізька область, Запорізький район, село Лукашеве, вул.Молодіжна, 1В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6 003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185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Забезпечення безпечного середовища для освітнього процесу на території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Реконструкція (термомодернізація) будівлі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вул.Молодіжна, 1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45 705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311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об’єктів комунальної форми власності у відповідність до сучасних стандартів у сфері енергоефективності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Капітальний ремонт приміщення спортивного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залу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вул.Молодіжна, 1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6 697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270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Забезпечення належних умов для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освітнього процесу та розвитку фізичної культури і спорту на території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Нове будівництво місцевої автоматизованої системи централізованого оповіщення та інформування мешканців населених пунктів Широківської сільської ради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12 234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313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Забезпечення роботи системи оповіщення для передбачення надзвичайних ситуацій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Реконструкція водопровідних мереж з піідключенням абонентів с.Лукашеве Запорізького району Запорізької область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97 831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854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Забезпечення населення якісною послугою питного водопостачання 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Капітальний ремонт зовнішніх стін хірургічного корпусу літера 3,3' з термомодернізацією та благоустрій прилеглої території по вул.Лікарняній, 18 в м.Запоріжжя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15 604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231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Приведення у відповідність закладу охорони здоров’я до сучасних стандартів надання послуг високої якості у сфері медицини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Реконструкція внутрішніх приміщень та інженерних мереж будівлі літера З,З’ по вул. Лікарняній, 18 в м. Запоріжжя"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92 540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475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закладу охорони здоров’я до сучасних стандартів надання послуг високої якості у сфері медицини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Будівництво зовнішніх мереж водовідведення багатоквартирного житлового будинку №4 по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вул. Набережній в селищі Відрадне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6 452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538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Приведення у відповідність каналізаційного господарства житлового фонду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до сучасних екологічних норм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Будівництво зовнішніх мереж водовідведення багатоквартирного житлового будинку №3 по вул. Набережній в селищі Відрадне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3 582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350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каналізаційного господарства житлового фонду до сучасних екологічних норм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Будівництво зовнішніх мереж водовідведення багатоквартирного житлового будинку №1 по вул. Перемоги в селищі Відрадне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3 179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616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каналізаційного господарства житлового фонду до сучасних екологічних норм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Будівництво зовнішніх мереж водовідведення багатоквартирних житлових будинків №13 та №15 по вул. </w:t>
            </w:r>
            <w:r>
              <w:rPr>
                <w:rFonts w:ascii="Times New Roman" w:hAnsi="Times New Roman"/>
                <w:sz w:val="24"/>
                <w:szCs w:val="24"/>
              </w:rPr>
              <w:t>Перемоги в селищі Відрадне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4 580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354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каналізаційного господарства житлового фонду до сучасних екологічних норм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Будівництво зовнішніх мереж водовідведення багатоквартирних житлових будинків №1 та №2 по вул. </w:t>
            </w:r>
            <w:r>
              <w:rPr>
                <w:rFonts w:ascii="Times New Roman" w:hAnsi="Times New Roman"/>
                <w:sz w:val="24"/>
                <w:szCs w:val="24"/>
              </w:rPr>
              <w:t>Набережній в селищі Відрадне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4 454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831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каналізаційного господарства житлового фонду до сучасних екологічних норм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Реконструкція приміщень та інженерних мереж будівлі літ.Б КНП "Клініка "Сімейний лікар" Широківської сільської ради Запорізького району Запорізької області за адресою: м.Запоріжжя, вул.Лікарняна,18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17 433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035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Приведення у відповідність закладу охорони здоров’я до сучасних стандартів надання послуг високої якості у сфері медицини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Капітальний ремонт зовнішньої каналізаційної мережі на території КНП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"Клініка "Сімейний лікар" у зв'язку з аварійним станом за адресою: м.Запоріжжя, вул.Лікарняна, 18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3 676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036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Приведення у відповідність закладу охорони здоров’я до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сучасних стандартів надання послуг високої якості у сфері медицини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Нове будівництво моніторингового центру системи відеоспостереження "Безпечна громада" за адресою: вул.Молодіжна с.Петропіль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5 793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610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Забезпечення безпечних умов на території та зниження рівня злочинності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Нове будівництво системи відеоспостереження за адресою: с.Володимирівське Запорізького району Запорізької області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2025-2027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5 799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037 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Забезпечення безпечних умов на території та зниження рівня злочинності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</w:tbl>
    <w:p w:rsidR="004F3ADE" w:rsidRDefault="004F3ADE" w:rsidP="004F3ADE">
      <w:pPr>
        <w:pStyle w:val="a3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освіти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850"/>
        <w:gridCol w:w="2548"/>
        <w:gridCol w:w="1779"/>
        <w:gridCol w:w="2176"/>
        <w:gridCol w:w="1992"/>
      </w:tblGrid>
      <w:tr w:rsidR="004F3ADE" w:rsidTr="004F3AD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Організація харчування учнів початкових класів та пільгових категорій 5-11 класів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2025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110 тис.грн.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Організація харчування дітей з огляду на принципи здорового харчування, приведення енергетичної цінності раціону, до Норм фізіологічних потреб дітей в основних харчових речовинах і енергії.</w:t>
            </w:r>
          </w:p>
        </w:tc>
      </w:tr>
      <w:tr w:rsidR="004F3ADE" w:rsidTr="004F3AD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Придбання 2 шкільних автобусів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2025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Софінансування - 700 тис.грн.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Забезпечення територіальної доступності до отримання освітніх послуг</w:t>
            </w:r>
          </w:p>
        </w:tc>
      </w:tr>
      <w:tr w:rsidR="004F3ADE" w:rsidTr="004F3AD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3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Заходи на виконання вимог наказу МОН від 07.08.2025 № 1112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 вересня 2025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Організація освітнього процесу в умовах воєнного стану, створення безпечного освітнього середовища, </w:t>
            </w:r>
          </w:p>
        </w:tc>
      </w:tr>
    </w:tbl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 медицини</w:t>
      </w:r>
    </w:p>
    <w:p w:rsidR="004F3ADE" w:rsidRDefault="004F3ADE" w:rsidP="004F3ADE">
      <w:pPr>
        <w:pStyle w:val="a3"/>
        <w:ind w:left="144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59"/>
        <w:gridCol w:w="3001"/>
        <w:gridCol w:w="1858"/>
        <w:gridCol w:w="1864"/>
        <w:gridCol w:w="1863"/>
      </w:tblGrid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Програми розвитку та підтримки КНП «Клініка «Сімейний лікар» Широківської с/р ЗР ЗО на 2022-2026 роки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2025 рік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450 000,00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Забезпечення потреб жителів громади (за медико-соціальними показаннями) у виробах медичного призначення та медикаментів</w:t>
            </w:r>
          </w:p>
        </w:tc>
      </w:tr>
    </w:tbl>
    <w:p w:rsidR="004F3ADE" w:rsidRDefault="004F3ADE" w:rsidP="004F3ADE">
      <w:pPr>
        <w:pStyle w:val="a3"/>
        <w:ind w:left="1440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36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36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культури, молоді, спорту, туризму</w:t>
      </w:r>
    </w:p>
    <w:p w:rsidR="004F3ADE" w:rsidRDefault="004F3ADE" w:rsidP="004F3ADE">
      <w:pPr>
        <w:pStyle w:val="a3"/>
        <w:ind w:left="36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18"/>
        <w:gridCol w:w="2855"/>
        <w:gridCol w:w="1407"/>
        <w:gridCol w:w="1452"/>
        <w:gridCol w:w="3402"/>
      </w:tblGrid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bookmarkStart w:id="0" w:name="_Hlk190679109"/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</w:t>
            </w:r>
          </w:p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з\п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Заходи з забезпечення функціонування закладів культури (центри дозвілля, бібліотеки)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протягом року 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забезпечення функціонування закладів культури (центри дозвілля, бібліотеки) – підтримка стану приміщень, оновлення матеріально-технічної бази установ, підвищення професійних компетенцій працівників, проведення інформаційно-просвітницьких, масових заходів, гурткова робота тощо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Заходи з популяризації української мови та читання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протягом року 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Проведення інформаційно-просвітницьких заходів щодо популяризації української мови, читання, організація бібліотечної, музейної діяльності, екскурсій тощо. Оновлення книжкового фонду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lastRenderedPageBreak/>
              <w:t>3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Підвищення рівня компетентностей молоді, у тому числі громадянських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року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Проведення заходів з правової, економічної, політичної грамотності, молодіжного лідерства, цілеутворення, волонтерства тощо. Організація днів відкритих дверей, Дня Дублера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4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Молодіжний фестиваль «ШОК-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FEST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»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серпень 2025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Організація ІІ-го Молодіжного фестивалю «ШОК-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FEST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» під гаслом «Разом з молоддю для молоді». Локації (спортивна, водні активності, зона майстер-класів, «квартирник», молодіжна платформа тощо)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Реалізація Молодіжних проєктів та ініціатив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року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Реалізація Молодіжних проєктів та ініціатив в рамках Програми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DOBRE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, ЮНІСЕФ (Медіапростір, Молодіжний центр тощо)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6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Заходи з національно-патріотичного виховання молоді, розвиток юнацького руху «Байда»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протягом року 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Організація заходів з національно-патріотичного виховання молоді. Запровадження юнацького руху «Байда» для дітей від 14-17 років.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Заходи зі сприяння охороні, збереженню та використанню об’єктів історико-культурної спадщини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протягом року 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Проведення заходів зі сприяння охороні, збереженню та використанню об’єктів історико-культурної спадщини (видача Попереджень землекористувачам, проведення поточних ремонтних робіт пам’яток історії, моніторинг пам’яток, проведення роз’яснювальної, краєзнавчої роботи, оновлення музейних експозицій тощо). Створення куточків пам’яті полеглих Захисників та Захисниць України, участь у роботі робочої групи з Меморіалізації)</w:t>
            </w:r>
          </w:p>
        </w:tc>
      </w:tr>
      <w:tr w:rsidR="004F3ADE" w:rsidTr="004F3ADE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8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Заходи з розвитку туризму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року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в межах кошторису установи, грантові кошти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Проведення пошукової роботи (збір історичних довідок щодо населених пунктів та видатних постатей Широківської громади, оновлення бази даних та паспортів туристичних об’єктів тощо). Діджиталізація об’єктів історико-культурної спадщини </w:t>
            </w:r>
          </w:p>
        </w:tc>
      </w:tr>
      <w:bookmarkEnd w:id="0"/>
    </w:tbl>
    <w:p w:rsidR="004F3ADE" w:rsidRDefault="004F3ADE" w:rsidP="004F3ADE">
      <w:pPr>
        <w:pStyle w:val="a3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У сфері надання адміністративних послуг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35"/>
        <w:gridCol w:w="3018"/>
        <w:gridCol w:w="1862"/>
        <w:gridCol w:w="1866"/>
        <w:gridCol w:w="1864"/>
      </w:tblGrid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Запровадження послуг ДРАЦС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березень – травень 2025 року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 тис.грн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кількості послуг; поповнення бюджету за рахунок сплати адмін послуг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Надання паспортних послуг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червень 2025 року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195 тис.грн.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кількості послуг; поповнення бюджету за рахунок сплати адмін послуг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послуг соціального напрямку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лютий-липень 2025 року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потребує додаткового фінансування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показників роботи ЦНАП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Надання супутніх послуг ( пенсійний фонд, ДІАМ, центр зайнятості)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лютий-грудень 2025 року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Не потребує додаткового фінансування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показників роботи ЦНАП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Пошук донорів для фінансування придбання обладнання для видачі водійських посвідчень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січень – грудень 2025 року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500 тис грн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Збільшення кількості послуг; поповнення бюджету за рахунок сплати адмін послуг</w:t>
            </w:r>
          </w:p>
        </w:tc>
      </w:tr>
    </w:tbl>
    <w:p w:rsidR="004F3ADE" w:rsidRDefault="004F3ADE" w:rsidP="004F3ADE">
      <w:pPr>
        <w:pStyle w:val="a3"/>
        <w:jc w:val="both"/>
        <w:rPr>
          <w:rFonts w:ascii="Times New Roman" w:hAnsi="Times New Roman"/>
          <w:b/>
          <w:sz w:val="24"/>
          <w:szCs w:val="24"/>
          <w:lang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соціального захисту та ветеранської політики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1842"/>
        <w:gridCol w:w="1843"/>
        <w:gridCol w:w="1843"/>
      </w:tblGrid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Оздоровлення та відпочинок дітей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Планується відправити на оздоровлення та відпочинок 130 дітей Широківської громади для зміцнення здоров’я дитячого населення, створення належних умов для освітньої, 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культурно-виховної, фізкультурно-оздоровчої та спортивної роботи.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Розвиток психічного здоров’я та психосоціальної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підтримки мешканок та мешканців Широківської сільської територіальної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громади Запорізького району Запорізької області на 2025 – 2026 роки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Фінансування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потребує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Здійснення комплексу заходів, спрямованих на зміцнення психічного здоров’я та психосоціальної підтримки мешканок та мешканців Широківської сільської територіальної громади та створення системи якісних і доступних послуг із психічного здоров’я, які функціонують в єдиному міжвідомчому просторі та забезпечують відновлення психосоціального добробуту  з дотриманням прав і свобод людини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Програма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7 630,000 тис.грн.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Реалізація комплексу взаємопов’язаних завдань і заходів, що спрямовані на надання підтримки захисників та захисниць України, яка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 xml:space="preserve">сприятиме їх реінтеграції та поверненню з військової служби до мирного життя, максимальній реалізації їх трудового та підприємницького потенціалу, а також всеосяжна підтримка членів їх сімей, сімей захисників та захисниць України, які перебувають у полоні, загиблих (померлих), безвісти зниклих за особливих обставин та активізація їх участі у житті Широківської сільської територіальної громади, яка розуміє і цінує їх вклад у захист суверенітету України під час військової агресії російської федерації. 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«Назустріч людям»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на 2023 – 2025 роки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1500,378 тис. грн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підвищення рівня соціального 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захисту ветеранів праці, осіб з інвалідністю, малозабезпечених та непрацездатних громадян, дітей-сиріт та дітей, позбавлених батьківського піклування, інших категорій громадян, які перебувають у складних життєвих обставинах, надання їм різних видів адресної допомоги та компенсаційних виплат, виходячи із потреб, створення умов для надання якісних соціальних послуг за рахунок коштів місцевого бюджету.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надання підтримки внутрішньо переміщеним та/або евакуйованим особам у зв’язку з введенням воєнного стану на 2025-2027 роки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2000,00 тис. грн – кошти місцевого бюджету;</w:t>
            </w:r>
          </w:p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2000,00 тис. грн – кошти інших джерел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здійснення комплексу заходів, спрямованих на соціальну адаптацію, інтеграцію та захист ВПО, створення належних умов для тимчасового проживання ВПО, забезпечення їх харчуванням, 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товарами першої необхідності, оплатою необхідних послуг.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питання запобігання та протидії домашньому насильству та насильству за ознакою статі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Системна та комплексна реалізація ґендерної політики, яка спрямована на утвердження в соціальної справедливості та ґендерної рівності; підтримку сімей, забезпечення рівних прав та можливостей жінок і чоловіків, їх повновартісної участі у розбудові громадянського суспільства, подолання таких негативних явищ у суспільстві, як домашнє насильство, насильство за ознакою статі та торгівля людьми.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Рада Безпеки ООН 1325 «Жінки, мир, безпека» на період до 2026 року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t xml:space="preserve">Створення умов для забезпечення рівної участі жінок і чоловіків у подоланні конфліктів, встановленні миру, процесах відновлення, протидії </w:t>
            </w:r>
            <w:r>
              <w:rPr>
                <w:rFonts w:ascii="Times New Roman" w:hAnsi="Times New Roman"/>
                <w:bCs/>
                <w:sz w:val="24"/>
                <w:szCs w:val="24"/>
                <w:lang w:val="uk-UA"/>
              </w:rPr>
              <w:lastRenderedPageBreak/>
              <w:t>безпековим викликам та системної протидії насильству за ознакою статі та насильству, пов’язаному з конфліктом, а також впровадження пріоритетів відповідно до резолюції Ради Безпеки ООН «Жінки, мир, безпека».</w:t>
            </w:r>
          </w:p>
        </w:tc>
      </w:tr>
    </w:tbl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захисту та охорони прав дітей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1842"/>
        <w:gridCol w:w="1843"/>
        <w:gridCol w:w="1837"/>
      </w:tblGrid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№ з\п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widowControl w:val="0"/>
              <w:spacing w:before="120" w:after="0"/>
              <w:ind w:left="13"/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Виявлення дітей, та сімей з дітьми, які перебувають у складних життєвих обставинах, відповідного реагування та організації надання допомоги,  забезпечення моніторингу його виконання.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О</w:t>
            </w:r>
            <w:r>
              <w:rPr>
                <w:rFonts w:ascii="Times New Roman" w:eastAsia="Calibri" w:hAnsi="Times New Roman"/>
                <w:sz w:val="24"/>
                <w:szCs w:val="24"/>
                <w:lang w:val="uk-UA"/>
              </w:rPr>
              <w:t>рганізаці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я</w:t>
            </w:r>
            <w:r>
              <w:rPr>
                <w:rFonts w:ascii="Times New Roman" w:eastAsia="Calibri" w:hAnsi="Times New Roman"/>
                <w:sz w:val="24"/>
                <w:szCs w:val="24"/>
                <w:lang w:val="uk-UA"/>
              </w:rPr>
              <w:t xml:space="preserve"> соціального захисту дітей, які перебувають у складних життєвих обставинах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widowControl w:val="0"/>
              <w:spacing w:before="120" w:after="0"/>
              <w:ind w:left="13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Виявлення дітей та сімей з дітьми, які перебувають у складних життєвих обставинах або в яких існує ризик потрапляння в такі обставини, відповідного реагування та надання допомоги з метою реалізації права дитини на виховання в сім’ї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У</w:t>
            </w:r>
            <w:r>
              <w:rPr>
                <w:rFonts w:ascii="Times New Roman" w:eastAsia="Calibri" w:hAnsi="Times New Roman"/>
                <w:sz w:val="24"/>
                <w:szCs w:val="24"/>
                <w:lang w:val="uk-UA"/>
              </w:rPr>
              <w:t xml:space="preserve">сунення умов та обставин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що призвели, або можуть призвести до потрапляння в склад</w:t>
            </w:r>
            <w:r>
              <w:rPr>
                <w:rFonts w:ascii="Times New Roman" w:eastAsia="Calibri" w:hAnsi="Times New Roman"/>
                <w:sz w:val="24"/>
                <w:szCs w:val="24"/>
                <w:lang w:val="uk-UA"/>
              </w:rPr>
              <w:t>ні життєві обставини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З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абезпечення розвитку мережі сімей патронатних вихователів з метою надання дітям та їх законним представникам 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lastRenderedPageBreak/>
              <w:t>послуг, спрямованих на реінтеграцію дитини в сім’ю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Theme="minorHAnsi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lastRenderedPageBreak/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З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>більшен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ня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 кільк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ості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 патронатних вихователів з метою надання 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lastRenderedPageBreak/>
              <w:t>дітям та їх законним представникам послуг, спрямованих на реінтеграцію дитини в сім’ю.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lastRenderedPageBreak/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Н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алагодження якісної процедури добору кандидатів 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в опікуни/піклувальники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Theme="minorHAnsi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З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>більшен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ня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 влаштованих до сімейних форм виховання дітей-сиріт та дітей, позбавлених батьківського піклування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З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>абезпечення соціального супроводу опікунів/піклувальників.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eastAsiaTheme="minorHAnsi" w:hAnsi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Протягом 2025 року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  <w:lang w:val="uk-UA"/>
              </w:rPr>
              <w:t>Не потребує фінансування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333333"/>
                <w:sz w:val="24"/>
                <w:szCs w:val="24"/>
                <w:lang w:val="uk-UA"/>
              </w:rPr>
              <w:t>Збільшення</w:t>
            </w:r>
            <w:r>
              <w:rPr>
                <w:rFonts w:ascii="Times New Roman" w:eastAsia="Calibri" w:hAnsi="Times New Roman"/>
                <w:color w:val="333333"/>
                <w:sz w:val="24"/>
                <w:szCs w:val="24"/>
              </w:rPr>
              <w:t xml:space="preserve"> влаштованих до сімейних форм виховання дітей-сиріт та дітей, позбавлених батьківського піклування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4F3ADE" w:rsidRDefault="004F3ADE" w:rsidP="004F3ADE">
      <w:pPr>
        <w:pStyle w:val="a3"/>
        <w:jc w:val="both"/>
        <w:rPr>
          <w:rFonts w:ascii="Times New Roman" w:eastAsiaTheme="minorHAnsi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 земельних відносин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56"/>
        <w:gridCol w:w="2818"/>
        <w:gridCol w:w="1400"/>
        <w:gridCol w:w="1720"/>
        <w:gridCol w:w="2651"/>
      </w:tblGrid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Розроблення документації із землеустрою земель комунальної власності під полезахисними лісовими смугами, які обмежують масив земель сільськогосподарського призначення 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2025-2026 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Потребує фінансування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Виконання підпункт 6 пункту «а» частини першої статті 33 та підпункт 1 пункту «б» частини першої статті 33 Закону України «Про місцеве самоврядування в Україні»; абзац другий частини сьомої статті 37-1, пункт 24 розділу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(перехідні положення) Земельного кодексу України; статті 7, 9, 17, 18, 86 Лісового кодексу України; Правила утримання та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збереження полезахисних лісових смуг, розташованих на землях сільськогосподарського призначення, затверджені ПКМУ від 20.07.2020 № 650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lastRenderedPageBreak/>
              <w:t xml:space="preserve">2 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Проведення інвентаризації земельних ділянок комунальної власності під об’єктами комунальної власності 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2025 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Потребує фінансування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Виконання вимог Земельного кодексу України, Закону України «Про землеустрій» з метою внесення відомостей до Державного земельного кадастру </w:t>
            </w:r>
          </w:p>
        </w:tc>
      </w:tr>
      <w:tr w:rsidR="004F3ADE" w:rsidTr="004F3AD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Проведення інвентаризації земельних ділянок та віднесення їх до категорії самозалісених 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2025 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Потребує фінансування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Виконання вимог Земельного кодексу України, Лісового кодексу України, Закону України «Про землеустрій» з метою внесення відомостей до Державного земельного кадастру</w:t>
            </w:r>
          </w:p>
        </w:tc>
      </w:tr>
    </w:tbl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 У сфері інспектування, цивільного захисту та забезпечення безпечного середовища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3544"/>
        <w:gridCol w:w="1520"/>
        <w:gridCol w:w="1906"/>
        <w:gridCol w:w="1824"/>
      </w:tblGrid>
      <w:tr w:rsidR="004F3ADE" w:rsidTr="004F3ADE">
        <w:trPr>
          <w:trHeight w:hRule="exact" w:val="979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pStyle w:val="a5"/>
              <w:shd w:val="clear" w:color="auto" w:fill="auto"/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№з\</w:t>
            </w:r>
          </w:p>
          <w:p w:rsidR="004F3ADE" w:rsidRDefault="004F3ADE">
            <w:pPr>
              <w:pStyle w:val="a5"/>
              <w:shd w:val="clear" w:color="auto" w:fill="auto"/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pStyle w:val="a5"/>
              <w:shd w:val="clear" w:color="auto" w:fill="auto"/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 заходу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pStyle w:val="a5"/>
              <w:shd w:val="clear" w:color="auto" w:fill="auto"/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Терміни виконання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F3ADE" w:rsidRDefault="004F3ADE">
            <w:pPr>
              <w:pStyle w:val="a5"/>
              <w:shd w:val="clear" w:color="auto" w:fill="auto"/>
              <w:tabs>
                <w:tab w:val="left" w:pos="1531"/>
              </w:tabs>
              <w:spacing w:line="25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Потреба</w:t>
            </w:r>
            <w:r>
              <w:rPr>
                <w:sz w:val="24"/>
                <w:szCs w:val="24"/>
              </w:rPr>
              <w:tab/>
              <w:t>у</w:t>
            </w:r>
          </w:p>
          <w:p w:rsidR="004F3ADE" w:rsidRDefault="004F3ADE">
            <w:pPr>
              <w:pStyle w:val="a5"/>
              <w:shd w:val="clear" w:color="auto" w:fill="auto"/>
              <w:spacing w:line="25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фінансуванн і (грн.)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pStyle w:val="a5"/>
              <w:shd w:val="clear" w:color="auto" w:fill="auto"/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Мета заходу</w:t>
            </w:r>
          </w:p>
        </w:tc>
      </w:tr>
      <w:tr w:rsidR="004F3ADE" w:rsidTr="004F3ADE">
        <w:trPr>
          <w:trHeight w:hRule="exact" w:val="148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Планується удосконалення та коригування плану евакуації населення Широківської сільської ради у зв’язку з збройною агресією рф проти України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Забезпечення бехпечного переміщення населення в безпечні райони</w:t>
            </w:r>
          </w:p>
        </w:tc>
      </w:tr>
      <w:tr w:rsidR="004F3ADE" w:rsidTr="004F3ADE">
        <w:trPr>
          <w:trHeight w:hRule="exact" w:val="72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Обстеження фонду захисних споруд ЦЗ сільської ради</w:t>
            </w:r>
          </w:p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Протягом року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Підтримання у готовності фонду ЗС</w:t>
            </w:r>
          </w:p>
        </w:tc>
      </w:tr>
      <w:tr w:rsidR="004F3ADE" w:rsidTr="004F3ADE">
        <w:trPr>
          <w:trHeight w:hRule="exact" w:val="707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Реалізовується будівництво Безпекового центру в с.Петропіль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Оперативне реагування на НС</w:t>
            </w:r>
          </w:p>
        </w:tc>
      </w:tr>
      <w:tr w:rsidR="004F3ADE" w:rsidTr="004F3ADE">
        <w:trPr>
          <w:trHeight w:hRule="exact" w:val="987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Реалізовується проект «Нове будівництво протирадіаційного укриття Петропілького   ліцею (підземна школа)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Забезпечення безпекової складової під час навчання дітей</w:t>
            </w:r>
          </w:p>
        </w:tc>
      </w:tr>
      <w:tr w:rsidR="004F3ADE" w:rsidTr="004F3ADE">
        <w:trPr>
          <w:trHeight w:hRule="exact" w:val="14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Розроблений проект «Нове будівництво місцевої автоматизованої системи централізованого оповіщення та інформування мешканців населених пунктів Широківької сільської ради» (МАСЦО)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Оповіщення населення про загрозу виникнення НС</w:t>
            </w:r>
          </w:p>
        </w:tc>
      </w:tr>
      <w:tr w:rsidR="004F3ADE" w:rsidTr="004F3ADE">
        <w:trPr>
          <w:trHeight w:hRule="exact" w:val="731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Розроблено проект відеоспостереження (Безпечна громада)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Оперативне реагування на правопорушення та злочини </w:t>
            </w:r>
          </w:p>
        </w:tc>
      </w:tr>
      <w:tr w:rsidR="004F3ADE" w:rsidTr="004F3ADE">
        <w:trPr>
          <w:trHeight w:hRule="exact" w:val="33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3ADE" w:rsidRDefault="004F3A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 сфері  протипожежної безпеки</w:t>
      </w: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59"/>
        <w:gridCol w:w="3010"/>
        <w:gridCol w:w="1856"/>
        <w:gridCol w:w="1863"/>
        <w:gridCol w:w="1857"/>
      </w:tblGrid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№з\п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 заходу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Терміни виконання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Потреба у фінансуванні (грн.)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Мета заходу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Добудова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Безпекового центру в с.Петропіль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2025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Оперативне реагування на НС</w:t>
            </w: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Придбання 2-х пожежних автоцистерн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Працевлаштування нових співробітників в центр безпеки с. Петропіль та с. Відрадне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Професійне навчання нових працівників в учбовому закладі ДСНС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F3ADE" w:rsidTr="004F3AD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Проведення тижнів безпеки в учбових закладах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2025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ADE" w:rsidRDefault="004F3ADE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Навчання первинним заходам з пожежної безпеки</w:t>
            </w:r>
          </w:p>
        </w:tc>
      </w:tr>
    </w:tbl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eastAsia="en-US"/>
        </w:rPr>
      </w:pPr>
    </w:p>
    <w:p w:rsidR="004F3ADE" w:rsidRDefault="004F3ADE" w:rsidP="004F3ADE">
      <w:pPr>
        <w:pStyle w:val="a3"/>
        <w:ind w:left="7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4F3ADE" w:rsidRPr="00180BF4" w:rsidRDefault="004F3ADE">
      <w:pPr>
        <w:rPr>
          <w:lang w:val="uk-UA"/>
        </w:rPr>
      </w:pPr>
      <w:bookmarkStart w:id="1" w:name="_GoBack"/>
      <w:bookmarkEnd w:id="1"/>
    </w:p>
    <w:sectPr w:rsidR="004F3ADE" w:rsidRPr="00180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03B"/>
    <w:rsid w:val="00001D5A"/>
    <w:rsid w:val="00180BF4"/>
    <w:rsid w:val="004F3ADE"/>
    <w:rsid w:val="00A81A7E"/>
    <w:rsid w:val="00B4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B829E-DF3E-4B35-99D7-99C76F781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BF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1A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Другое_"/>
    <w:basedOn w:val="a0"/>
    <w:link w:val="a5"/>
    <w:locked/>
    <w:rsid w:val="004F3ADE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a5">
    <w:name w:val="Другое"/>
    <w:basedOn w:val="a"/>
    <w:link w:val="a4"/>
    <w:rsid w:val="004F3ADE"/>
    <w:pPr>
      <w:widowControl w:val="0"/>
      <w:shd w:val="clear" w:color="auto" w:fill="FFFFFF"/>
      <w:spacing w:after="0" w:line="240" w:lineRule="auto"/>
    </w:pPr>
    <w:rPr>
      <w:rFonts w:ascii="Times New Roman" w:hAnsi="Times New Roman"/>
      <w:b/>
      <w:bCs/>
      <w:sz w:val="28"/>
      <w:szCs w:val="28"/>
      <w:lang w:eastAsia="en-US"/>
    </w:rPr>
  </w:style>
  <w:style w:type="table" w:styleId="a6">
    <w:name w:val="Table Grid"/>
    <w:basedOn w:val="a1"/>
    <w:uiPriority w:val="39"/>
    <w:rsid w:val="004F3A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0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3041</Words>
  <Characters>17338</Characters>
  <Application>Microsoft Office Word</Application>
  <DocSecurity>0</DocSecurity>
  <Lines>144</Lines>
  <Paragraphs>40</Paragraphs>
  <ScaleCrop>false</ScaleCrop>
  <Company>SPecialiST RePack</Company>
  <LinksUpToDate>false</LinksUpToDate>
  <CharactersWithSpaces>20339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2025-02-05T12:11:00Z</dcterms:created>
  <dcterms:modified xsi:type="dcterms:W3CDTF">2025-02-24T13:21:00Z</dcterms:modified>
</cp:coreProperties>
</file>