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67" w:rsidRPr="00FD26CA" w:rsidRDefault="00736A67" w:rsidP="00BB19E7">
      <w:pPr>
        <w:shd w:val="clear" w:color="auto" w:fill="FFFFFF"/>
        <w:spacing w:after="0" w:line="351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b/>
          <w:color w:val="000000"/>
          <w:sz w:val="28"/>
          <w:szCs w:val="28"/>
          <w:lang w:val="uk-UA" w:eastAsia="ru-RU"/>
        </w:rPr>
      </w:pPr>
      <w:r w:rsidRPr="00FD26CA">
        <w:rPr>
          <w:rFonts w:ascii="Times New Roman" w:eastAsia="MS ??" w:hAnsi="Times New Roman" w:cs="Times New Roman"/>
          <w:color w:val="000000"/>
          <w:sz w:val="24"/>
          <w:szCs w:val="24"/>
          <w:lang w:val="uk-UA" w:eastAsia="ru-RU"/>
        </w:rPr>
        <w:object w:dxaOrig="3139" w:dyaOrig="4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2.75pt" o:ole="" fillcolor="window">
            <v:imagedata r:id="rId5" o:title=""/>
          </v:shape>
          <o:OLEObject Type="Embed" ProgID="Word.Picture.8" ShapeID="_x0000_i1025" DrawAspect="Content" ObjectID="_1664370095" r:id="rId6"/>
        </w:object>
      </w: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</w:pP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>УКРАЇНА</w:t>
      </w: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</w:pP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>ШИРОКІВСЬКА СІЛЬСЬКА РАДА</w:t>
      </w: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</w:pP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>ЗАПОРІЗЬКОГО РАЙОНУ ЗАПОРІЗЬКОЇ ОБЛАСТІ</w:t>
      </w: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>СОРОК ДЕВ</w:t>
      </w: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eastAsia="ru-RU"/>
        </w:rPr>
        <w:t>’</w:t>
      </w:r>
      <w:r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>ЯТА</w:t>
      </w: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 xml:space="preserve"> ПОЗАЧЕРГОВА</w:t>
      </w: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>СЕСІЯ СЬОМОГО СКЛИКАННЯ</w:t>
      </w: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</w:pP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</w:pPr>
      <w:r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ru-RU"/>
        </w:rPr>
        <w:t>РІШЕННЯ</w:t>
      </w:r>
    </w:p>
    <w:p w:rsidR="00FD26CA" w:rsidRPr="00FD26CA" w:rsidRDefault="00FD26CA" w:rsidP="00FD26CA">
      <w:pPr>
        <w:spacing w:after="0" w:line="240" w:lineRule="auto"/>
        <w:jc w:val="center"/>
        <w:rPr>
          <w:rFonts w:ascii="Times New Roman" w:eastAsia="MS ??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FD26CA" w:rsidRPr="00FD26CA" w:rsidRDefault="00BB19E7" w:rsidP="00FD26C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  <w:t>12 жовтня</w:t>
      </w:r>
      <w:r w:rsidR="00FD26CA"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  <w:t xml:space="preserve"> 2020 року                                        </w:t>
      </w:r>
      <w:r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  <w:t xml:space="preserve">         </w:t>
      </w:r>
      <w:r w:rsidR="00FD26CA" w:rsidRPr="00FD26CA"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№ </w:t>
      </w:r>
      <w:r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  <w:t>7</w:t>
      </w:r>
    </w:p>
    <w:p w:rsidR="00736A67" w:rsidRPr="00BB19E7" w:rsidRDefault="00BB19E7" w:rsidP="00BB19E7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MS ??" w:hAnsi="Times New Roman" w:cs="Times New Roman"/>
          <w:color w:val="000000"/>
          <w:sz w:val="28"/>
          <w:szCs w:val="28"/>
          <w:lang w:val="uk-UA" w:eastAsia="uk-UA"/>
        </w:rPr>
        <w:t>м. Запоріжжя</w:t>
      </w:r>
    </w:p>
    <w:p w:rsidR="00D3174F" w:rsidRPr="00BB19E7" w:rsidRDefault="00D3174F" w:rsidP="00BB19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Про затвердження Програми у сфері надання </w:t>
      </w:r>
      <w:r w:rsidR="00584CCD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первинної правової </w:t>
      </w:r>
      <w:r w:rsidR="00736A67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допомоги</w:t>
      </w:r>
      <w:r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505E63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населенню Широківської </w:t>
      </w:r>
      <w:r w:rsidR="00736A67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об’єднаної</w:t>
      </w:r>
      <w:r w:rsidR="00505E63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736A67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сільської</w:t>
      </w:r>
      <w:r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територіальної громади </w:t>
      </w:r>
      <w:r w:rsidR="00736A67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Запорізького</w:t>
      </w:r>
      <w:r w:rsidR="00505E63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району Запорізької області</w:t>
      </w:r>
    </w:p>
    <w:p w:rsidR="00FD26CA" w:rsidRPr="00BB19E7" w:rsidRDefault="00FD26CA" w:rsidP="00BB19E7">
      <w:pPr>
        <w:shd w:val="clear" w:color="auto" w:fill="FFFFFF"/>
        <w:spacing w:after="0" w:line="351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 до ст. ст. 3, 22, 59 Конституції України, п. 22 ст. 26, ст. 38-1 Закону України «Про місцеве самоврядування в Україні», ст. ст. 3, 8, 9, ч. 7 ст. 12 Закону України «Про безоплатну правову допомогу», враховуючи потребу населення </w:t>
      </w:r>
      <w:r w:rsidR="00736A67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Широківської об’єднаної сільської територіальної громади Запорізького району Запорізької області</w:t>
      </w:r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забезпечені можливості реалізації конституційного права на правову допомогу та забезпечені доступу до неї, підвищення рівня правової освіти жителів громади, з метою надання їм у повному обсязі гарантованої державою безоплатної первинної правової допомоги</w:t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Широківська</w:t>
      </w:r>
      <w:proofErr w:type="spellEnd"/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сільська рада Запорізького району Запорізької області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3174F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ВИРІШИЛА:</w:t>
      </w:r>
    </w:p>
    <w:p w:rsidR="00BB19E7" w:rsidRPr="00BB19E7" w:rsidRDefault="00BB19E7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3174F" w:rsidRPr="00BB19E7" w:rsidRDefault="00D3174F" w:rsidP="00BB19E7">
      <w:pPr>
        <w:shd w:val="clear" w:color="auto" w:fill="FFFFFF"/>
        <w:spacing w:after="0" w:line="351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 Затвердити Програму </w:t>
      </w:r>
      <w:r w:rsidR="00736A67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надання первинної правової допомоги населенню Широківської об’єднаної сільської територіальної громади Запорізького району Запорізької області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додається.</w:t>
      </w:r>
    </w:p>
    <w:p w:rsidR="00D3174F" w:rsidRPr="00BB19E7" w:rsidRDefault="00D3174F" w:rsidP="00BB19E7">
      <w:pPr>
        <w:shd w:val="clear" w:color="auto" w:fill="FFFFFF"/>
        <w:spacing w:after="0" w:line="351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 Контроль за виконанням цього рішення покласти на постійну комісію з питань законності, правопорядку, депутатської етики, регламенту та регуляторної політики </w:t>
      </w:r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Широківської сільської ради Запорізького району Запорізької області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174F" w:rsidRPr="00BB19E7" w:rsidRDefault="00D3174F" w:rsidP="00BB19E7">
      <w:pPr>
        <w:shd w:val="clear" w:color="auto" w:fill="FFFFFF"/>
        <w:spacing w:after="0" w:line="351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B19E7" w:rsidRDefault="00BB19E7" w:rsidP="00BB19E7">
      <w:pPr>
        <w:shd w:val="clear" w:color="auto" w:fill="FFFFFF"/>
        <w:spacing w:after="0" w:line="351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B19E7" w:rsidRPr="00BB19E7" w:rsidRDefault="00BB19E7" w:rsidP="00BB19E7">
      <w:pPr>
        <w:shd w:val="clear" w:color="auto" w:fill="FFFFFF"/>
        <w:spacing w:after="0" w:line="351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3174F" w:rsidRPr="00BB19E7" w:rsidRDefault="00736A67" w:rsidP="00BB19E7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Сільський </w:t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голова                                                                              Д.КОРОТЕНКО</w:t>
      </w:r>
    </w:p>
    <w:p w:rsidR="00FD26CA" w:rsidRPr="00FD26CA" w:rsidRDefault="00FD26CA" w:rsidP="00D3174F">
      <w:pPr>
        <w:shd w:val="clear" w:color="auto" w:fill="FFFFFF"/>
        <w:spacing w:after="0" w:line="351" w:lineRule="atLeast"/>
        <w:ind w:firstLine="15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26CA" w:rsidRPr="00FD26CA" w:rsidRDefault="00FD26CA" w:rsidP="00D3174F">
      <w:pPr>
        <w:shd w:val="clear" w:color="auto" w:fill="FFFFFF"/>
        <w:spacing w:after="0" w:line="351" w:lineRule="atLeast"/>
        <w:ind w:firstLine="15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3174F" w:rsidRPr="00BB19E7" w:rsidRDefault="00D3174F" w:rsidP="00BB19E7">
      <w:pPr>
        <w:shd w:val="clear" w:color="auto" w:fill="FFFFFF"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</w:t>
      </w:r>
    </w:p>
    <w:p w:rsidR="00D3174F" w:rsidRPr="00BB19E7" w:rsidRDefault="00D3174F" w:rsidP="00BB19E7">
      <w:pPr>
        <w:shd w:val="clear" w:color="auto" w:fill="FFFFFF"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рішення </w:t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сорок дев’ятої позачергової сесії сьомого скликання </w:t>
      </w:r>
      <w:proofErr w:type="spellStart"/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Широківської</w:t>
      </w:r>
      <w:proofErr w:type="spellEnd"/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сільської ради Запорізького району Запорізької області</w:t>
      </w:r>
    </w:p>
    <w:p w:rsidR="00D3174F" w:rsidRPr="00BB19E7" w:rsidRDefault="00BB19E7" w:rsidP="00BB19E7">
      <w:pPr>
        <w:shd w:val="clear" w:color="auto" w:fill="FFFFFF"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12</w:t>
      </w:r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="00736A67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2020</w:t>
      </w:r>
      <w:r w:rsidR="00D3174F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р. </w:t>
      </w:r>
      <w:r w:rsidR="00D3174F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№ 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bookmarkStart w:id="0" w:name="_GoBack"/>
      <w:bookmarkEnd w:id="0"/>
    </w:p>
    <w:p w:rsidR="00D3174F" w:rsidRPr="00BB19E7" w:rsidRDefault="00D3174F" w:rsidP="00BB19E7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ПРОГРАМА</w:t>
      </w:r>
    </w:p>
    <w:p w:rsidR="00D3174F" w:rsidRPr="00BB19E7" w:rsidRDefault="00736A67" w:rsidP="00D3174F">
      <w:pPr>
        <w:shd w:val="clear" w:color="auto" w:fill="FFFFFF"/>
        <w:spacing w:after="0" w:line="351" w:lineRule="atLeast"/>
        <w:ind w:firstLine="15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надання первинної правової допомоги населенню Широківської об’єднаної сільської територіальної громади Запорізького району Запорізької області</w:t>
      </w:r>
      <w:r w:rsidR="00D3174F"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br w:type="textWrapping" w:clear="all"/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     Обґрунтування необхідності розроблення і виконання Програми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Міжнародний пакт про громадянські та політичні права, Конвенція про захист прав людини і основоположних свобод, Конвенція про статус біженців, Конвенція про правову допомогу та правові відносини у цивільних, сімейних та кримінальних справах та інші міжнародні акти передбачають обов’язок держави забезпечити безоплатну та ефективну правову допомогу особам, які її потребують, і встановити мінімальні вимоги до надання такої допомоги.</w:t>
      </w:r>
    </w:p>
    <w:p w:rsidR="00736A67" w:rsidRPr="00BB19E7" w:rsidRDefault="00523D50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19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Законом України «Про безоплатну правову допомогу» визначено, що правова допомога - надання правових послуг, спрямованих на забезпечення реалізації прав і свобод людини і громадянина, захисту цих прав і свобод, їх відновлення у разі порушення.</w:t>
      </w:r>
    </w:p>
    <w:p w:rsidR="00821DF1" w:rsidRPr="00BB19E7" w:rsidRDefault="00821DF1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Право на безоплатну правову допомогу - гарантована </w:t>
      </w:r>
      <w:hyperlink r:id="rId7" w:tgtFrame="_blank" w:history="1">
        <w:r w:rsidRPr="00BB19E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Конституцією України</w:t>
        </w:r>
      </w:hyperlink>
      <w:r w:rsidRPr="00BB19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можливість громадянина України, іноземця, особи без громадянства, у тому числі біженця чи особи, яка потребує додаткового захисту, отримати в повному обсязі безоплатну первинну правову допомогу, а також можливість певної категорії осіб отримати безоплатну вторинну правову допомогу у випадках, передбачених цим Законом.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Програма </w:t>
      </w:r>
      <w:r w:rsidR="00821DF1" w:rsidRPr="00BB19E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надання первинної правової допомоги населенню Широківської об’єднаної сільської територіальної громади Запорізького району Запорізької області</w:t>
      </w:r>
      <w:r w:rsidR="00821DF1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передбачає створення рівних можливостей для доступу </w:t>
      </w:r>
      <w:r w:rsidR="00821DF1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мешканців громади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</w:t>
      </w:r>
      <w:r w:rsidR="00821DF1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безоплатної первинної правової допомоги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left="225" w:firstLine="3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     Мета програми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 цієї Програми є розроблення та здійснення комплексу заходів правового, організаційного та економічного характеру, спрямованих на забезпечення доступу до безоплатної правової допомоги осіб, які мають на неї конституційне право і потребують такої допомоги.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left="225" w:firstLine="3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3.     Основні завдання Програми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завданнями Програми є: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забезпечити можливість реалізації конституційного права на правову допомогу;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 забезпечити доступ до правової допомоги, підвищити рівень правової освіти жителів громади;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 надати жителям громади у повному обсязі гарантовану державою безоплатну первинну правову допомогу.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left="225" w:firstLine="3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     Строки виконання програми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Початок дії Програми – 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листопад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2020 року, закінчення – 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листопад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202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року.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left="225" w:firstLine="3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     Ресурсне забезпечення Програми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Фінансування Програми здійснюється за рахунок коштів 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місцевого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бюджету 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Широківської сільської ради Запорізького району Запорізької області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межах бюджетних асигнувань на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відповідний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бюджетний рік та інших джерел, не заборонених чинним законодавством.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     Виконавець Програми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Виконавцем програми є 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юридичний відділ Широківської сільської ради Запорізьк</w:t>
      </w:r>
      <w:r w:rsidR="005A399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ого району Запорізької області. Висвітлення виконання заходів програми здійснює </w:t>
      </w:r>
      <w:r w:rsidR="005A3994" w:rsidRPr="00BB19E7">
        <w:rPr>
          <w:rFonts w:ascii="Times New Roman" w:eastAsia="MS ??" w:hAnsi="Times New Roman" w:cs="Times New Roman"/>
          <w:sz w:val="28"/>
          <w:szCs w:val="28"/>
          <w:lang w:val="uk-UA" w:eastAsia="ru-RU"/>
        </w:rPr>
        <w:t>відділ з питань внутрішньої та інформаційної політики</w:t>
      </w:r>
      <w:r w:rsidR="005A399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Широківської сільської ради Запорізького району Запорізької області.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     Очікувані кінцеві результати Програми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Виконання Програми дасть змогу: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   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надання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безоплатної первинної правової допомоги та </w:t>
      </w:r>
      <w:r w:rsidR="00985955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створити належні умови для надання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надання безоплатної вторинної правової допомоги;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    забезпечити належний доступ до якісної безоплатної правової допомоги кожному члену громади, який її потребує шляхом формування мережі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надання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первинної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безоплатної правової допомоги, дистанційних пунктів, мобільн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ого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офісу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3)    автоматизувати процеси організації надання безоплатної правової допомоги, забезпечити оперативний обмін інформацією між суб’єктами надання безоплатної правової допомоги,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юридичним відділом, комунальними установами громади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старостами, виконавчими органами сільської ради,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узагальнити та </w:t>
      </w:r>
      <w:proofErr w:type="spellStart"/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візуалізувати</w:t>
      </w:r>
      <w:proofErr w:type="spellEnd"/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статистичну інформацію з можливістю її оперативного оброблення та аналізу;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4)    забезпечити якість надання безоплатної правової допомоги на високому рівні у результаті підвищення професійного рівня юристів органів місцевого само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врядування, працівників центру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впровадження механізмів управління якістю в системі безоплатної правової допомоги.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8.     Основні заходи із забезпечення виконання Програми: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    забезпечення дієвості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правової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рубрики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правових консультацій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засобах масової інформації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(газеті)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офіційному веб-сайті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Широківської сільської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ради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Запорізького району Запорізької області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    організація і проведення семінарів, тренінгів, круглих столів; </w:t>
      </w:r>
      <w:r w:rsidR="005C7540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проведення </w:t>
      </w:r>
      <w:r w:rsidR="00FD26CA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правових заходів в школах громади;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зустрічі з організаціями з питань формування та функціонування системи безоплатної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первинної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правової допомоги;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3)    організація і проведення тематичних семінарів, тренінгів, тренінгів для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працівників виконавчих органів </w:t>
      </w:r>
      <w:r w:rsidR="005A399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сільської ради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 w:rsidR="005A399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підпорядкованих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організацій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залучених до надання безоплатної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первинної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правової допомоги;</w:t>
      </w:r>
    </w:p>
    <w:p w:rsidR="00D3174F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4)    підготовка та поширення методичних рекомендацій, витягів з нормативних актів щодо функціонування системи безоплатної 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первинної </w:t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правової допомоги;</w:t>
      </w:r>
    </w:p>
    <w:p w:rsidR="00804FE4" w:rsidRPr="00BB19E7" w:rsidRDefault="00D3174F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5)    виготовлення інформаційних матеріалів правового характеру для розповсюдження серед населення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804FE4" w:rsidRPr="00BB19E7" w:rsidRDefault="00804FE4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6) проведення правових консультації на території </w:t>
      </w:r>
      <w:proofErr w:type="spellStart"/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</w:t>
      </w:r>
      <w:proofErr w:type="spellEnd"/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селищ громади;</w:t>
      </w:r>
    </w:p>
    <w:p w:rsidR="00804FE4" w:rsidRPr="00BB19E7" w:rsidRDefault="00804FE4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7) робота «гарячої правової лінії» в громаді;</w:t>
      </w:r>
    </w:p>
    <w:p w:rsidR="00D3174F" w:rsidRPr="00BB19E7" w:rsidRDefault="00FD26CA" w:rsidP="00D3174F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="00804FE4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впровадження співробітництва з іншими громадами для розвинення території діяльності програми з можливістю створення єдиного проекту</w:t>
      </w:r>
      <w:r w:rsidR="00D3174F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174F" w:rsidRPr="00BB19E7" w:rsidRDefault="00D3174F" w:rsidP="00FD26CA">
      <w:pPr>
        <w:shd w:val="clear" w:color="auto" w:fill="FFFFFF"/>
        <w:spacing w:after="0" w:line="351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Напрямки діяльності та заходи Програми на 2020 рік</w:t>
      </w:r>
    </w:p>
    <w:tbl>
      <w:tblPr>
        <w:tblW w:w="9867" w:type="dxa"/>
        <w:tblCellSpacing w:w="0" w:type="dxa"/>
        <w:tblBorders>
          <w:top w:val="single" w:sz="6" w:space="0" w:color="DBDBDB"/>
          <w:left w:val="outset" w:sz="6" w:space="0" w:color="auto"/>
          <w:bottom w:val="outset" w:sz="6" w:space="0" w:color="auto"/>
          <w:right w:val="single" w:sz="6" w:space="0" w:color="DBDBD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4093"/>
        <w:gridCol w:w="2705"/>
        <w:gridCol w:w="2078"/>
      </w:tblGrid>
      <w:tr w:rsidR="00FD26CA" w:rsidRPr="00BB19E7" w:rsidTr="005C7540">
        <w:trPr>
          <w:tblCellSpacing w:w="0" w:type="dxa"/>
        </w:trPr>
        <w:tc>
          <w:tcPr>
            <w:tcW w:w="991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D3174F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4093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D3174F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Перелік заходів Програми</w:t>
            </w:r>
          </w:p>
        </w:tc>
        <w:tc>
          <w:tcPr>
            <w:tcW w:w="2705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D3174F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Орієнтовний обсяг фінансування на 2020 рік, тис. грн.</w:t>
            </w:r>
          </w:p>
        </w:tc>
        <w:tc>
          <w:tcPr>
            <w:tcW w:w="2078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D3174F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Примітки</w:t>
            </w:r>
          </w:p>
        </w:tc>
      </w:tr>
      <w:tr w:rsidR="00FD26CA" w:rsidRPr="00BB19E7" w:rsidTr="005C7540">
        <w:trPr>
          <w:tblCellSpacing w:w="0" w:type="dxa"/>
        </w:trPr>
        <w:tc>
          <w:tcPr>
            <w:tcW w:w="991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D3174F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093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5C7540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робота «гарячої правової лінії» в громаді</w:t>
            </w:r>
          </w:p>
        </w:tc>
        <w:tc>
          <w:tcPr>
            <w:tcW w:w="2705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5C7540" w:rsidP="00FD26CA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  <w:r w:rsidR="00D3174F"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  <w:r w:rsidR="00FD26CA"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078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3174F" w:rsidRPr="00BB19E7" w:rsidRDefault="00D3174F" w:rsidP="005C754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 </w:t>
            </w:r>
            <w:r w:rsidR="005C7540"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Інші джерела</w:t>
            </w:r>
          </w:p>
        </w:tc>
      </w:tr>
      <w:tr w:rsidR="00FD26CA" w:rsidRPr="00BB19E7" w:rsidTr="005C7540">
        <w:trPr>
          <w:tblCellSpacing w:w="0" w:type="dxa"/>
        </w:trPr>
        <w:tc>
          <w:tcPr>
            <w:tcW w:w="991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93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проведення правових консультації на території </w:t>
            </w:r>
            <w:proofErr w:type="spellStart"/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сел</w:t>
            </w:r>
            <w:proofErr w:type="spellEnd"/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 селищ громади</w:t>
            </w:r>
          </w:p>
        </w:tc>
        <w:tc>
          <w:tcPr>
            <w:tcW w:w="2705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2078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FD26CA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 xml:space="preserve">Штатними працівниками </w:t>
            </w:r>
          </w:p>
        </w:tc>
      </w:tr>
      <w:tr w:rsidR="00FD26CA" w:rsidRPr="00BB19E7" w:rsidTr="005C7540">
        <w:trPr>
          <w:tblCellSpacing w:w="0" w:type="dxa"/>
        </w:trPr>
        <w:tc>
          <w:tcPr>
            <w:tcW w:w="991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093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забезпечення дієвості правової рубрики з правових консультацій у засобах масової інформації (газеті)  та офіційному веб-сайті Широківської сільської ради Запорізького району Запорізької області</w:t>
            </w:r>
          </w:p>
        </w:tc>
        <w:tc>
          <w:tcPr>
            <w:tcW w:w="2705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1,0</w:t>
            </w:r>
          </w:p>
        </w:tc>
        <w:tc>
          <w:tcPr>
            <w:tcW w:w="2078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без зміни кошторису</w:t>
            </w:r>
          </w:p>
        </w:tc>
      </w:tr>
      <w:tr w:rsidR="005C7540" w:rsidRPr="00BB19E7" w:rsidTr="005C7540">
        <w:trPr>
          <w:tblCellSpacing w:w="0" w:type="dxa"/>
        </w:trPr>
        <w:tc>
          <w:tcPr>
            <w:tcW w:w="991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5</w:t>
            </w:r>
          </w:p>
        </w:tc>
        <w:tc>
          <w:tcPr>
            <w:tcW w:w="4093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 xml:space="preserve">проведення правових консультації на території </w:t>
            </w:r>
            <w:proofErr w:type="spellStart"/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сел</w:t>
            </w:r>
            <w:proofErr w:type="spellEnd"/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 селищ громади</w:t>
            </w:r>
          </w:p>
          <w:p w:rsidR="005C7540" w:rsidRPr="00BB19E7" w:rsidRDefault="005C7540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C7540" w:rsidRPr="00BB19E7" w:rsidRDefault="005C7540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виготовлення інформаційних матеріалів правового характеру для розповсюдження серед населення</w:t>
            </w:r>
          </w:p>
        </w:tc>
        <w:tc>
          <w:tcPr>
            <w:tcW w:w="2705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-</w:t>
            </w:r>
          </w:p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-</w:t>
            </w:r>
          </w:p>
        </w:tc>
        <w:tc>
          <w:tcPr>
            <w:tcW w:w="2078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FD26CA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lastRenderedPageBreak/>
              <w:t>Штатними працівниками</w:t>
            </w:r>
          </w:p>
        </w:tc>
      </w:tr>
      <w:tr w:rsidR="005C7540" w:rsidRPr="00BB19E7" w:rsidTr="005C7540">
        <w:trPr>
          <w:tblCellSpacing w:w="0" w:type="dxa"/>
        </w:trPr>
        <w:tc>
          <w:tcPr>
            <w:tcW w:w="991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FD26CA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6</w:t>
            </w:r>
          </w:p>
        </w:tc>
        <w:tc>
          <w:tcPr>
            <w:tcW w:w="4093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FD26CA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Проведення правового брейн-рингу в закладі загальної середньої освіти серед здобувачів освіти</w:t>
            </w:r>
          </w:p>
        </w:tc>
        <w:tc>
          <w:tcPr>
            <w:tcW w:w="2705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FD26CA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2,0</w:t>
            </w:r>
          </w:p>
        </w:tc>
        <w:tc>
          <w:tcPr>
            <w:tcW w:w="2078" w:type="dxa"/>
            <w:tcBorders>
              <w:top w:val="nil"/>
              <w:left w:val="single" w:sz="6" w:space="0" w:color="DBDBDB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FD26CA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BB19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Інші джерела</w:t>
            </w:r>
          </w:p>
        </w:tc>
      </w:tr>
      <w:tr w:rsidR="00FD26CA" w:rsidRPr="00BB19E7" w:rsidTr="005C7540">
        <w:trPr>
          <w:trHeight w:val="20"/>
          <w:tblCellSpacing w:w="0" w:type="dxa"/>
        </w:trPr>
        <w:tc>
          <w:tcPr>
            <w:tcW w:w="991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093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705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078" w:type="dxa"/>
            <w:tcBorders>
              <w:top w:val="nil"/>
              <w:left w:val="single" w:sz="6" w:space="0" w:color="DBDBDB"/>
              <w:bottom w:val="single" w:sz="6" w:space="0" w:color="DBDBDB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C7540" w:rsidRPr="00BB19E7" w:rsidRDefault="005C7540" w:rsidP="00D3174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</w:tbl>
    <w:p w:rsidR="00BB19E7" w:rsidRPr="00BB19E7" w:rsidRDefault="00BB19E7" w:rsidP="00BB19E7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B19E7" w:rsidRDefault="00BB19E7" w:rsidP="00BB19E7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B19E7" w:rsidRPr="00BB19E7" w:rsidRDefault="00BB19E7" w:rsidP="00BB19E7">
      <w:pPr>
        <w:shd w:val="clear" w:color="auto" w:fill="FFFFFF"/>
        <w:spacing w:after="0" w:line="351" w:lineRule="atLeast"/>
        <w:ind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B77E4" w:rsidRPr="00BB19E7" w:rsidRDefault="00D3174F" w:rsidP="00BB19E7">
      <w:pPr>
        <w:shd w:val="clear" w:color="auto" w:fill="FFFFFF"/>
        <w:spacing w:after="0" w:line="351" w:lineRule="atLeast"/>
        <w:ind w:firstLine="15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Секр</w:t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етар ради</w:t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7540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О. </w:t>
      </w:r>
      <w:proofErr w:type="spellStart"/>
      <w:r w:rsidR="005C7540" w:rsidRPr="00BB1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Правдюк</w:t>
      </w:r>
      <w:proofErr w:type="spellEnd"/>
    </w:p>
    <w:sectPr w:rsidR="000B77E4" w:rsidRPr="00BB1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EB4"/>
    <w:multiLevelType w:val="multilevel"/>
    <w:tmpl w:val="EB5E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91693"/>
    <w:multiLevelType w:val="multilevel"/>
    <w:tmpl w:val="90BA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C7811"/>
    <w:multiLevelType w:val="multilevel"/>
    <w:tmpl w:val="D198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B60DE5"/>
    <w:multiLevelType w:val="multilevel"/>
    <w:tmpl w:val="6D7E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010D57"/>
    <w:multiLevelType w:val="multilevel"/>
    <w:tmpl w:val="FAC0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BC0A44"/>
    <w:multiLevelType w:val="multilevel"/>
    <w:tmpl w:val="154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0D27B1"/>
    <w:multiLevelType w:val="multilevel"/>
    <w:tmpl w:val="B1EE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236A4E"/>
    <w:multiLevelType w:val="multilevel"/>
    <w:tmpl w:val="1FDE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4F"/>
    <w:rsid w:val="002C1E00"/>
    <w:rsid w:val="002F3B5B"/>
    <w:rsid w:val="00505E63"/>
    <w:rsid w:val="00523D50"/>
    <w:rsid w:val="00525BCC"/>
    <w:rsid w:val="00584CCD"/>
    <w:rsid w:val="005874AC"/>
    <w:rsid w:val="005A3994"/>
    <w:rsid w:val="005C7540"/>
    <w:rsid w:val="00736A67"/>
    <w:rsid w:val="00804FE4"/>
    <w:rsid w:val="00821DF1"/>
    <w:rsid w:val="00880402"/>
    <w:rsid w:val="00985955"/>
    <w:rsid w:val="00BB19E7"/>
    <w:rsid w:val="00BB4E03"/>
    <w:rsid w:val="00C77A96"/>
    <w:rsid w:val="00D3174F"/>
    <w:rsid w:val="00F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112CF-25F7-4418-B648-CB030D51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1DF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1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B1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show/254%D0%BA/96-%D0%B2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</dc:creator>
  <cp:keywords/>
  <dc:description/>
  <cp:lastModifiedBy>RePack by SPecialiST</cp:lastModifiedBy>
  <cp:revision>5</cp:revision>
  <cp:lastPrinted>2020-10-16T13:14:00Z</cp:lastPrinted>
  <dcterms:created xsi:type="dcterms:W3CDTF">2020-10-05T10:04:00Z</dcterms:created>
  <dcterms:modified xsi:type="dcterms:W3CDTF">2020-10-16T13:15:00Z</dcterms:modified>
</cp:coreProperties>
</file>