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12" w:rsidRDefault="00A50512" w:rsidP="00A50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615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6.5pt" o:ole="" fillcolor="window">
            <v:imagedata r:id="rId5" o:title=""/>
          </v:shape>
          <o:OLEObject Type="Embed" ProgID="Word.Picture.8" ShapeID="_x0000_i1025" DrawAspect="Content" ObjectID="_1770118679" r:id="rId6"/>
        </w:object>
      </w:r>
    </w:p>
    <w:p w:rsidR="00A50512" w:rsidRDefault="00A50512" w:rsidP="00A50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ШИРОКІВСЬКА СІЛЬСЬКА РАДА</w:t>
      </w:r>
    </w:p>
    <w:p w:rsidR="00A50512" w:rsidRDefault="00A50512" w:rsidP="00A50512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A50512" w:rsidRDefault="00A50512" w:rsidP="00A50512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ВИКОНАВЧИЙ КОМІТЕТ </w:t>
      </w:r>
    </w:p>
    <w:p w:rsidR="00A50512" w:rsidRDefault="00A50512" w:rsidP="00A50512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0512" w:rsidRDefault="00A50512" w:rsidP="00A50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  </w:t>
      </w:r>
    </w:p>
    <w:p w:rsidR="00A50512" w:rsidRDefault="00A50512" w:rsidP="00A505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0512" w:rsidRDefault="00A50512" w:rsidP="00A505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08.02.2024 року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м.Запоріжжя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№ 26</w:t>
      </w:r>
    </w:p>
    <w:p w:rsidR="00A50512" w:rsidRDefault="00A50512" w:rsidP="00A505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50512" w:rsidRDefault="00A50512" w:rsidP="00A50512">
      <w:pPr>
        <w:pStyle w:val="a3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звіт  керівника Комунального некомерційного підприємства «Клініка «Сімейний лікар»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щодо фінансово-господарської діяльності комунального некомерційного підприємства в 2023 році </w:t>
      </w:r>
    </w:p>
    <w:p w:rsidR="00A50512" w:rsidRDefault="00A50512" w:rsidP="00A5051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0512" w:rsidRDefault="00A50512" w:rsidP="00A5051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Керуючись статтею 32 Закону України «Про місцеве самоврядування в Україні», заслухавши звіт генерального директора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Комунального некомерційного підприємства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«Клініка «Сімейний лікар»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Шкабарні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щодо фінансово-господарської діяльності комунального некомерційного підприємства в 2023 році, 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Звіт генерального директора Комунального некомерційного підприємства   «Клініка «Сімейний лікар»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Шкабарні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 щодо фінансово-господарської діяльності комунального некомерційного підприємства в 2023 році  взяти до відома. 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2.Рекомендувати генеральному директору  КНП «Клініка «Сімейний лікар»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Шкабарні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  продовжувати роботу з забезпечення: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збільшення кількості послуг, які надаються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КНП «Клініка «Сімейний лікар»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;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 збільшення кількості декларантів КНП «Клініка «Сімейний лікар»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;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  оновлення та оснащення КНП «Клініка «Сімейний лікар»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сучасним медичним обладнанням за рахунок залучення коштів з усіх можливих джерел фінансування.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 цього рішення покласти на  сільського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Коротенка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</w:t>
      </w:r>
    </w:p>
    <w:p w:rsidR="00A50512" w:rsidRDefault="00A50512" w:rsidP="00A50512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:rsidR="00A50512" w:rsidRDefault="00A50512" w:rsidP="00A50512">
      <w:pPr>
        <w:pStyle w:val="a3"/>
        <w:tabs>
          <w:tab w:val="left" w:pos="2835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A50512" w:rsidRDefault="00A50512" w:rsidP="00A505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0512" w:rsidRDefault="00176E4C" w:rsidP="00A50512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0512" w:rsidRDefault="00A50512" w:rsidP="00A50512">
      <w:pPr>
        <w:rPr>
          <w:lang w:val="uk-UA"/>
        </w:rPr>
      </w:pPr>
    </w:p>
    <w:p w:rsidR="00CF1C39" w:rsidRDefault="00CF1C39" w:rsidP="00CF1C39">
      <w:pPr>
        <w:spacing w:after="0"/>
        <w:ind w:right="14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Звіт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генерального директора</w:t>
      </w:r>
    </w:p>
    <w:p w:rsidR="00CF1C39" w:rsidRDefault="00CF1C39" w:rsidP="00CF1C39">
      <w:pPr>
        <w:spacing w:after="0"/>
        <w:ind w:right="14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комунального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некомерційного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підприємства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Клініка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Сімейний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лікар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сільської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ради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Запорізького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району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Запорізької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області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CF1C39" w:rsidRDefault="00CF1C39" w:rsidP="00CF1C39">
      <w:pPr>
        <w:spacing w:after="0"/>
        <w:ind w:right="14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2023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рік</w:t>
      </w:r>
      <w:proofErr w:type="spellEnd"/>
    </w:p>
    <w:p w:rsidR="00CF1C39" w:rsidRDefault="00CF1C39" w:rsidP="00CF1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F1C39" w:rsidRDefault="00CF1C39" w:rsidP="00CF1C3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>Засновником</w:t>
      </w:r>
      <w:proofErr w:type="spellEnd"/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КНП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Клініка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Сімейний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лікар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Широківська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сільська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Запорізького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району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Запорізької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умов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доступного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Головною м</w:t>
      </w:r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 xml:space="preserve">етою </w:t>
      </w:r>
      <w:proofErr w:type="spellStart"/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КНП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Клініка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Сімейний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лікар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потреб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видах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медичної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допомоги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F1C39" w:rsidRDefault="00CF1C39" w:rsidP="00CF1C39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Підприємство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юридичною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особою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самостійний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баланс,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розрахункові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рахунки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банківських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установах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тощо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F1C39" w:rsidRDefault="00CF1C39" w:rsidP="00CF1C39">
      <w:pPr>
        <w:spacing w:after="0" w:line="240" w:lineRule="auto"/>
        <w:ind w:right="141" w:firstLine="567"/>
        <w:contextualSpacing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КНП 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Клініка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Сімейний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лікар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обслуговує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ніж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60 000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осіб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CF1C39" w:rsidRDefault="00CF1C39" w:rsidP="00CF1C3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звітний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період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підприємство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отримало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доходів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суму </w:t>
      </w:r>
      <w:bookmarkStart w:id="0" w:name="_GoBack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77398,629 тис.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,  у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числі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1035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«Дохід (виручка) від реалізації продукції (товарів, робіт, послуг)» склав 54342,861тис. грн. дохід отриманий за надані медичні послуги за програмою медичних гарантій по договорах з НСЗУ;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1035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«Дохід (виручка) від реалізації продукції (товарів, робіт, послуг), що надаються КНП згідно з їх основною діяльністю» склав                      13461,813 тис. грн. – дохід отриманий з бюджету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сільської територіальної громади згідно Програми розвитку та підтримки комунального некомерційного підприємства «Клініка «Сімейний лікар»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сільської ради Запорізького району Запорізької області на 2022-2026 роки;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1035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«Інші доходи» складають 8522,509 тис. грн. - дохід від реалізації платних послуг (5174,321 тис. грн) та дохід від благодійних внесків, грантів та дарунків (3348,188 тис. грн);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1035"/>
        </w:tabs>
        <w:spacing w:after="0" w:line="276" w:lineRule="auto"/>
        <w:ind w:left="567" w:hanging="567"/>
        <w:jc w:val="both"/>
        <w:rPr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«Інші надходження не заборонені законодавством» склали 1071,446 тис .грн.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– централізоване постачання за рахунок коштів державного бюджету.</w:t>
      </w:r>
      <w:r>
        <w:rPr>
          <w:color w:val="000000" w:themeColor="text1"/>
          <w:sz w:val="27"/>
          <w:szCs w:val="27"/>
        </w:rPr>
        <w:t xml:space="preserve"> </w:t>
      </w:r>
    </w:p>
    <w:p w:rsidR="00CF1C39" w:rsidRDefault="00CF1C39" w:rsidP="00CF1C39">
      <w:pPr>
        <w:pStyle w:val="a7"/>
        <w:tabs>
          <w:tab w:val="left" w:pos="1035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</w:p>
    <w:p w:rsidR="00CF1C39" w:rsidRDefault="00CF1C39" w:rsidP="00CF1C39">
      <w:pPr>
        <w:pStyle w:val="a7"/>
        <w:tabs>
          <w:tab w:val="left" w:pos="1035"/>
        </w:tabs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Загальна сума витрат підприємства за звітний період склала 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ru-RU"/>
        </w:rPr>
        <w:t>117331,793 тис. грн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., у тому числі: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1035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«Заробітна плата» склала 44912,144 тис. грн. за рахунок коштів НСЗУ; коштів місцевого бюджету (за програмою фінансової підтримки та розвитку); благодійних внесків, грантів та дарунків; 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«Нарахування на оплату праці» склали  9373,557 тис. грн, </w:t>
      </w:r>
      <w:bookmarkStart w:id="1" w:name="_Hlk70586192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за рахунок коштів НСЗУ; коштів місцевого бюджету (за програмою фінансової підтримки та розвитку); благодійних внесків, грантів та дарунків;</w:t>
      </w:r>
      <w:bookmarkEnd w:id="1"/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витрати на «Придбання предметів, матеріалів, обладнання та інвентарю» склали 14787,305 тис. грн., за рахунок коштів НСЗУ; інших джерел власних надходжень; благодійних внесків, грантів та дарунків; централізованого постачання з державного бюджету;</w:t>
      </w:r>
    </w:p>
    <w:p w:rsidR="00CF1C39" w:rsidRDefault="00CF1C39" w:rsidP="00CF1C39">
      <w:pPr>
        <w:pStyle w:val="a7"/>
        <w:numPr>
          <w:ilvl w:val="0"/>
          <w:numId w:val="1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витрати на придбання «Медикаментів та перев’язувальних матеріалів» склали 14516,284 тис. грн, за рахунок коштів НСЗУ; інших джерел власних надходжень; коштів централізованого постачання з державного бюджету;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коштів, що надійшли як благодійна допомога;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витрати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«Оплату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крім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комунальних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21402,153 тис.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,  за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НСЗУ;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надходжень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надійшли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благодійна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допомога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т.ч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поточні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ремонти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суму 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12569,857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.: 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кровлі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стоматологічного корпусу; 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кровлі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хірургічного корпусу;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кровлі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корпусу ПМСД;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системи вентиляції стоматологічного корпусу;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вхідної групи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Володимировської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амбулаторії;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утеплення стоматологічного корпусу;</w:t>
      </w:r>
    </w:p>
    <w:p w:rsidR="00CF1C39" w:rsidRDefault="00CF1C39" w:rsidP="00CF1C3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облаштування тротуарною плиткою.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витрати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Відрядження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108,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303 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витрати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«Оплату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комунальних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енергоносіїв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6335,106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бюджету,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надходжень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Соціальне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складає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481,504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НСЗУ;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надходжень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бюджету;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поточні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видатки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4,326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НСЗУ;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надходжень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CF1C39" w:rsidRDefault="00CF1C39" w:rsidP="00CF1C39">
      <w:pPr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Придбання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основного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капіталу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» становить 5519,414 тис. грн.</w:t>
      </w:r>
    </w:p>
    <w:p w:rsidR="00CF1C39" w:rsidRDefault="00CF1C39" w:rsidP="00CF1C3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  <w:t>Фінансовий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  <w:t>склав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ru-RU"/>
        </w:rPr>
        <w:t xml:space="preserve"> – 5915,623 тис. грн.</w:t>
      </w:r>
    </w:p>
    <w:p w:rsidR="00CF1C39" w:rsidRDefault="00CF1C39" w:rsidP="00CF1C3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Видатки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придбання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16283,165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з них 17,410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НСЗУ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техніка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1592,956 тис.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надходжень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медобладнання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техніка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вивіски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вказівники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,), 6287,716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спецфонду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медобладнання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кондиціонери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за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загального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фонду 8385,083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техніка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медичне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CF1C39" w:rsidRDefault="00CF1C39" w:rsidP="00CF1C3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Видатки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придбання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необоротних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матеріальних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активів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склали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305,506 тис. грн.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комутатор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Mikrotik</w:t>
      </w:r>
      <w:proofErr w:type="spellEnd"/>
      <w:r w:rsidRPr="00CF1C3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326-24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-2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RM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Wi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Fi</w:t>
      </w:r>
      <w:r w:rsidRPr="00CF1C3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роутер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Mikrotik</w:t>
      </w:r>
      <w:proofErr w:type="spellEnd"/>
      <w:r w:rsidRPr="00CF1C3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RB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3011,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настінна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серверна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шафа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ДЖБ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PowerCom</w:t>
      </w:r>
      <w:proofErr w:type="spellEnd"/>
      <w:r w:rsidRPr="00CF1C3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RPT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-600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AP</w:t>
      </w:r>
      <w:r w:rsidRPr="00CF1C3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SCHKO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інформаційний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стенд,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розсувна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система, тумба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розпашна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шухлядами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шафа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підвісна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детектор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ультрафіолетовий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світлодіодний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лічильник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лабораторний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гоніометр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медичний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динанометр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цифровий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ваги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напольні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стіл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пеленальний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інше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CF1C39" w:rsidRDefault="00CF1C39" w:rsidP="00CF1C3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звітного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року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перераховано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податків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суму 20556,418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тому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числі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бюджету – 8081,417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тис.грн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F1C39" w:rsidRDefault="00CF1C39" w:rsidP="00CF1C39">
      <w:pPr>
        <w:pStyle w:val="a6"/>
        <w:jc w:val="both"/>
      </w:pPr>
      <w:r>
        <w:rPr>
          <w:rStyle w:val="1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Станом на 31.12.2023 року заборгованість із виплати заробітної плати на підприємстві відсутня. Мінімальна заробітна плата у 2023 році по лікарні склала 11516,00 грн.</w:t>
      </w:r>
    </w:p>
    <w:p w:rsidR="00CF1C39" w:rsidRDefault="00CF1C39" w:rsidP="00CF1C39"/>
    <w:p w:rsidR="00CF1C39" w:rsidRDefault="00CF1C39" w:rsidP="00CF1C39">
      <w:pPr>
        <w:tabs>
          <w:tab w:val="left" w:pos="600"/>
          <w:tab w:val="left" w:pos="1830"/>
          <w:tab w:val="left" w:pos="3165"/>
        </w:tabs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Генеральний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директор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ШКАБАРНЯ</w:t>
      </w:r>
    </w:p>
    <w:p w:rsidR="00A34759" w:rsidRDefault="00A34759"/>
    <w:sectPr w:rsidR="00A3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614AF"/>
    <w:multiLevelType w:val="hybridMultilevel"/>
    <w:tmpl w:val="76341596"/>
    <w:lvl w:ilvl="0" w:tplc="D7F2FC12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127A"/>
    <w:multiLevelType w:val="hybridMultilevel"/>
    <w:tmpl w:val="FCD87C3C"/>
    <w:lvl w:ilvl="0" w:tplc="D7F2FC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71A21"/>
    <w:multiLevelType w:val="hybridMultilevel"/>
    <w:tmpl w:val="0132560C"/>
    <w:lvl w:ilvl="0" w:tplc="6380AD04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7E"/>
    <w:rsid w:val="00176E4C"/>
    <w:rsid w:val="00645D7E"/>
    <w:rsid w:val="00A34759"/>
    <w:rsid w:val="00A50512"/>
    <w:rsid w:val="00C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839C2-B966-4F68-B560-6679C339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51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semiHidden/>
    <w:locked/>
    <w:rsid w:val="00A50512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semiHidden/>
    <w:unhideWhenUsed/>
    <w:qFormat/>
    <w:rsid w:val="00A50512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A5051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0512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CF1C39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1C39"/>
    <w:pPr>
      <w:spacing w:line="256" w:lineRule="auto"/>
      <w:ind w:left="720"/>
      <w:contextualSpacing/>
    </w:pPr>
    <w:rPr>
      <w:lang w:val="uk-UA"/>
    </w:rPr>
  </w:style>
  <w:style w:type="character" w:customStyle="1" w:styleId="11">
    <w:name w:val="Слабое выделение1"/>
    <w:basedOn w:val="a0"/>
    <w:uiPriority w:val="19"/>
    <w:qFormat/>
    <w:rsid w:val="00CF1C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2024-02-13T13:32:00Z</cp:lastPrinted>
  <dcterms:created xsi:type="dcterms:W3CDTF">2024-02-12T12:29:00Z</dcterms:created>
  <dcterms:modified xsi:type="dcterms:W3CDTF">2024-02-22T12:52:00Z</dcterms:modified>
</cp:coreProperties>
</file>