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9DF" w:rsidRDefault="008459DF" w:rsidP="008459DF">
      <w:pPr>
        <w:spacing w:after="0" w:line="240" w:lineRule="auto"/>
        <w:jc w:val="center"/>
        <w:rPr>
          <w:rFonts w:ascii="Times New Roman" w:hAnsi="Times New Roman"/>
          <w:sz w:val="28"/>
        </w:rP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16762453" r:id="rId5"/>
        </w:object>
      </w:r>
    </w:p>
    <w:p w:rsidR="008459DF" w:rsidRDefault="008459DF" w:rsidP="008459DF">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8459DF" w:rsidRDefault="008459DF" w:rsidP="008459DF">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8459DF" w:rsidRDefault="008459DF" w:rsidP="008459DF">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8459DF" w:rsidRDefault="008459DF" w:rsidP="008459DF">
      <w:pPr>
        <w:spacing w:after="0" w:line="240" w:lineRule="auto"/>
        <w:jc w:val="center"/>
        <w:rPr>
          <w:rFonts w:ascii="Times New Roman" w:hAnsi="Times New Roman"/>
          <w:sz w:val="28"/>
        </w:rPr>
      </w:pPr>
    </w:p>
    <w:p w:rsidR="008459DF" w:rsidRDefault="008459DF" w:rsidP="008459DF">
      <w:pPr>
        <w:spacing w:after="0" w:line="240" w:lineRule="auto"/>
        <w:jc w:val="center"/>
        <w:rPr>
          <w:rFonts w:ascii="Times New Roman" w:hAnsi="Times New Roman"/>
          <w:sz w:val="28"/>
        </w:rPr>
      </w:pPr>
      <w:r>
        <w:rPr>
          <w:rFonts w:ascii="Times New Roman" w:hAnsi="Times New Roman"/>
          <w:sz w:val="28"/>
        </w:rPr>
        <w:t xml:space="preserve"> РІШЕННЯ    </w:t>
      </w:r>
    </w:p>
    <w:p w:rsidR="008459DF" w:rsidRDefault="008459DF" w:rsidP="008459DF">
      <w:pPr>
        <w:spacing w:after="0" w:line="240" w:lineRule="auto"/>
        <w:jc w:val="center"/>
        <w:rPr>
          <w:rFonts w:ascii="Times New Roman" w:hAnsi="Times New Roman"/>
          <w:b/>
          <w:sz w:val="28"/>
        </w:rPr>
      </w:pPr>
    </w:p>
    <w:p w:rsidR="008459DF" w:rsidRDefault="008459DF" w:rsidP="008459DF">
      <w:pPr>
        <w:spacing w:after="0" w:line="240" w:lineRule="auto"/>
        <w:rPr>
          <w:rFonts w:ascii="Times New Roman" w:hAnsi="Times New Roman"/>
          <w:color w:val="000000" w:themeColor="text1"/>
          <w:sz w:val="28"/>
        </w:rPr>
      </w:pPr>
      <w:r>
        <w:rPr>
          <w:rFonts w:ascii="Times New Roman" w:hAnsi="Times New Roman"/>
          <w:sz w:val="28"/>
        </w:rPr>
        <w:t xml:space="preserve">05.06.2025 </w:t>
      </w:r>
      <w:r>
        <w:rPr>
          <w:rFonts w:ascii="Times New Roman" w:hAnsi="Times New Roman"/>
          <w:color w:val="000000" w:themeColor="text1"/>
          <w:sz w:val="28"/>
        </w:rPr>
        <w:t xml:space="preserve">року                                 м. Запоріжжя           </w:t>
      </w:r>
      <w:r w:rsidR="00C841D6">
        <w:rPr>
          <w:rFonts w:ascii="Times New Roman" w:hAnsi="Times New Roman"/>
          <w:color w:val="000000" w:themeColor="text1"/>
          <w:sz w:val="28"/>
        </w:rPr>
        <w:t xml:space="preserve">                          </w:t>
      </w:r>
      <w:r>
        <w:rPr>
          <w:rFonts w:ascii="Times New Roman" w:hAnsi="Times New Roman"/>
          <w:color w:val="000000" w:themeColor="text1"/>
          <w:sz w:val="28"/>
        </w:rPr>
        <w:t xml:space="preserve">  № </w:t>
      </w:r>
      <w:r w:rsidR="00C27B3A">
        <w:rPr>
          <w:rFonts w:ascii="Times New Roman" w:hAnsi="Times New Roman"/>
          <w:color w:val="000000" w:themeColor="text1"/>
          <w:sz w:val="28"/>
        </w:rPr>
        <w:t>195</w:t>
      </w:r>
    </w:p>
    <w:p w:rsidR="008459DF" w:rsidRDefault="008459DF" w:rsidP="008459DF">
      <w:pPr>
        <w:spacing w:after="0" w:line="240" w:lineRule="auto"/>
        <w:jc w:val="both"/>
        <w:rPr>
          <w:rFonts w:ascii="Times New Roman" w:hAnsi="Times New Roman"/>
          <w:sz w:val="28"/>
          <w:szCs w:val="28"/>
        </w:rPr>
      </w:pPr>
    </w:p>
    <w:p w:rsidR="00081B63" w:rsidRDefault="00081B63" w:rsidP="008459DF">
      <w:pPr>
        <w:spacing w:after="0" w:line="240" w:lineRule="auto"/>
        <w:jc w:val="both"/>
        <w:rPr>
          <w:rFonts w:ascii="Times New Roman" w:hAnsi="Times New Roman" w:cs="Times New Roman"/>
          <w:sz w:val="28"/>
          <w:szCs w:val="28"/>
        </w:rPr>
      </w:pPr>
      <w:r>
        <w:rPr>
          <w:rFonts w:ascii="Times New Roman" w:hAnsi="Times New Roman"/>
          <w:sz w:val="28"/>
          <w:szCs w:val="28"/>
        </w:rPr>
        <w:t>Про утворення</w:t>
      </w:r>
      <w:r w:rsidRPr="00081B63">
        <w:rPr>
          <w:rFonts w:ascii="Times New Roman" w:hAnsi="Times New Roman" w:cs="Times New Roman"/>
          <w:sz w:val="28"/>
          <w:szCs w:val="28"/>
        </w:rPr>
        <w:t xml:space="preserve"> </w:t>
      </w:r>
      <w:r>
        <w:rPr>
          <w:rFonts w:ascii="Times New Roman" w:hAnsi="Times New Roman" w:cs="Times New Roman"/>
          <w:sz w:val="28"/>
          <w:szCs w:val="28"/>
        </w:rPr>
        <w:t xml:space="preserve">комісії з питань розподілу </w:t>
      </w:r>
    </w:p>
    <w:p w:rsidR="00081B63" w:rsidRDefault="00081B63" w:rsidP="008459D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w:t>
      </w:r>
    </w:p>
    <w:p w:rsidR="006A0BC9" w:rsidRDefault="00081B63" w:rsidP="006A0BC9">
      <w:pPr>
        <w:spacing w:after="0" w:line="240" w:lineRule="auto"/>
        <w:jc w:val="both"/>
        <w:rPr>
          <w:rFonts w:ascii="Times New Roman" w:hAnsi="Times New Roman"/>
          <w:sz w:val="28"/>
          <w:szCs w:val="28"/>
        </w:rPr>
      </w:pPr>
      <w:r>
        <w:rPr>
          <w:rFonts w:ascii="Times New Roman" w:hAnsi="Times New Roman" w:cs="Times New Roman"/>
          <w:sz w:val="28"/>
          <w:szCs w:val="28"/>
        </w:rPr>
        <w:t>сільської ради</w:t>
      </w:r>
      <w:bookmarkStart w:id="0" w:name="_GoBack"/>
      <w:bookmarkEnd w:id="0"/>
    </w:p>
    <w:p w:rsidR="006A0BC9" w:rsidRDefault="006A0BC9" w:rsidP="006A0BC9">
      <w:pPr>
        <w:spacing w:after="0" w:line="240" w:lineRule="auto"/>
        <w:jc w:val="both"/>
        <w:rPr>
          <w:rFonts w:ascii="Times New Roman" w:hAnsi="Times New Roman"/>
          <w:sz w:val="28"/>
          <w:szCs w:val="28"/>
        </w:rPr>
      </w:pPr>
    </w:p>
    <w:p w:rsidR="006A0BC9" w:rsidRDefault="006A0BC9" w:rsidP="006A0BC9">
      <w:pPr>
        <w:spacing w:after="0" w:line="240" w:lineRule="auto"/>
        <w:ind w:firstLine="567"/>
        <w:jc w:val="both"/>
        <w:rPr>
          <w:rFonts w:ascii="Times New Roman" w:hAnsi="Times New Roman"/>
          <w:sz w:val="28"/>
          <w:szCs w:val="28"/>
        </w:rPr>
      </w:pPr>
      <w:r>
        <w:rPr>
          <w:rFonts w:ascii="Times New Roman" w:hAnsi="Times New Roman"/>
          <w:sz w:val="28"/>
          <w:szCs w:val="28"/>
        </w:rPr>
        <w:t>Керуючись статтями 42, 59 Закону України «Про місцеве самоврядування в Україні», статтями 2, 75</w:t>
      </w:r>
      <w:r>
        <w:rPr>
          <w:rFonts w:ascii="Times New Roman" w:hAnsi="Times New Roman"/>
          <w:sz w:val="28"/>
          <w:szCs w:val="28"/>
          <w:vertAlign w:val="superscript"/>
        </w:rPr>
        <w:t>-2</w:t>
      </w:r>
      <w:r>
        <w:rPr>
          <w:rFonts w:ascii="Times New Roman" w:hAnsi="Times New Roman"/>
          <w:sz w:val="28"/>
          <w:szCs w:val="28"/>
        </w:rPr>
        <w:t xml:space="preserve"> Бюджетного кодексу України, відповідно до постанови Кабінету Міністрів України від 28.02.2025 № 232 «Деякі питання розподілу публічних інвестицій» та наказу Міністерства фінансів України від 15.04.2025        № 202 «Про затвердження примірного Положення про місцеву комісію з питань розподілу публічних інвестицій», </w:t>
      </w:r>
    </w:p>
    <w:p w:rsidR="006A0BC9" w:rsidRDefault="006A0BC9" w:rsidP="006A0BC9">
      <w:pPr>
        <w:spacing w:after="0" w:line="240" w:lineRule="auto"/>
        <w:jc w:val="both"/>
        <w:textAlignment w:val="baseline"/>
        <w:rPr>
          <w:rFonts w:ascii="Times New Roman" w:hAnsi="Times New Roman"/>
          <w:sz w:val="28"/>
          <w:szCs w:val="28"/>
        </w:rPr>
      </w:pPr>
      <w:r>
        <w:rPr>
          <w:rFonts w:ascii="Times New Roman" w:hAnsi="Times New Roman"/>
          <w:color w:val="000000"/>
          <w:sz w:val="28"/>
          <w:szCs w:val="28"/>
        </w:rPr>
        <w:t>в</w:t>
      </w:r>
      <w:r>
        <w:rPr>
          <w:rFonts w:ascii="Times New Roman" w:hAnsi="Times New Roman"/>
          <w:sz w:val="28"/>
          <w:szCs w:val="28"/>
        </w:rPr>
        <w:t xml:space="preserve">иконавчий комітет </w:t>
      </w:r>
      <w:proofErr w:type="spellStart"/>
      <w:r>
        <w:rPr>
          <w:rFonts w:ascii="Times New Roman" w:hAnsi="Times New Roman"/>
          <w:sz w:val="28"/>
          <w:szCs w:val="28"/>
        </w:rPr>
        <w:t>Широківської</w:t>
      </w:r>
      <w:proofErr w:type="spellEnd"/>
      <w:r>
        <w:rPr>
          <w:rFonts w:ascii="Times New Roman" w:hAnsi="Times New Roman"/>
          <w:sz w:val="28"/>
          <w:szCs w:val="28"/>
        </w:rPr>
        <w:t xml:space="preserve"> сільської ради </w:t>
      </w:r>
    </w:p>
    <w:p w:rsidR="006A0BC9" w:rsidRDefault="006A0BC9" w:rsidP="006A0BC9">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Утворити комісію з питань розподілу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та затвердити її персональний склад згідно з додатком 1.</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Затвердити Положення про комісію з питань розподілу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що додається.</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Затвердити Порядок розподілу коштів бюджету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територіальної громади на підготовку та реалізацію публічних інвестиційних проектів та програм публічних інвестицій, що додається. </w:t>
      </w:r>
    </w:p>
    <w:p w:rsidR="006A0BC9" w:rsidRDefault="006A0BC9" w:rsidP="006A0BC9">
      <w:pPr>
        <w:pStyle w:val="a4"/>
        <w:ind w:left="0"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4. Контроль за виконанням цього рішення покладаю на заступника сільського голови з питань діяльності виконавчих органів </w:t>
      </w:r>
      <w:proofErr w:type="spellStart"/>
      <w:r>
        <w:rPr>
          <w:rFonts w:ascii="Times New Roman" w:hAnsi="Times New Roman"/>
          <w:color w:val="000000" w:themeColor="text1"/>
          <w:sz w:val="28"/>
          <w:szCs w:val="28"/>
        </w:rPr>
        <w:t>Широківської</w:t>
      </w:r>
      <w:proofErr w:type="spellEnd"/>
      <w:r>
        <w:rPr>
          <w:rFonts w:ascii="Times New Roman" w:hAnsi="Times New Roman"/>
          <w:color w:val="000000" w:themeColor="text1"/>
          <w:sz w:val="28"/>
          <w:szCs w:val="28"/>
        </w:rPr>
        <w:t xml:space="preserve"> сільської ради Юдіну М.</w:t>
      </w:r>
    </w:p>
    <w:p w:rsidR="006A0BC9" w:rsidRDefault="006A0BC9" w:rsidP="006A0BC9">
      <w:pPr>
        <w:pStyle w:val="a4"/>
        <w:ind w:left="0" w:firstLine="567"/>
        <w:jc w:val="both"/>
        <w:rPr>
          <w:rFonts w:ascii="Times New Roman" w:hAnsi="Times New Roman"/>
          <w:color w:val="000000" w:themeColor="text1"/>
          <w:sz w:val="28"/>
          <w:szCs w:val="28"/>
        </w:rPr>
      </w:pPr>
    </w:p>
    <w:p w:rsidR="006A0BC9" w:rsidRDefault="006A0BC9" w:rsidP="006A0BC9">
      <w:pPr>
        <w:pStyle w:val="a4"/>
        <w:ind w:left="0"/>
        <w:jc w:val="both"/>
        <w:rPr>
          <w:rFonts w:ascii="Times New Roman" w:hAnsi="Times New Roman"/>
          <w:sz w:val="28"/>
          <w:szCs w:val="28"/>
        </w:rPr>
      </w:pPr>
    </w:p>
    <w:p w:rsidR="006A0BC9" w:rsidRDefault="006A0BC9" w:rsidP="006A0BC9">
      <w:pPr>
        <w:pStyle w:val="a4"/>
        <w:ind w:left="0"/>
        <w:jc w:val="both"/>
        <w:rPr>
          <w:rFonts w:ascii="Times New Roman" w:hAnsi="Times New Roman"/>
          <w:sz w:val="28"/>
          <w:szCs w:val="28"/>
        </w:rPr>
      </w:pPr>
      <w:r>
        <w:rPr>
          <w:rFonts w:ascii="Times New Roman" w:hAnsi="Times New Roman"/>
          <w:sz w:val="28"/>
          <w:szCs w:val="28"/>
        </w:rPr>
        <w:t>Сільський голова                                                                            Денис КОРОТЕНКО</w:t>
      </w: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Додаток 1</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до рішення виконавчого комітету</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від 05.06.2025 № 195</w:t>
      </w:r>
    </w:p>
    <w:p w:rsidR="006A0BC9" w:rsidRDefault="006A0BC9" w:rsidP="006A0BC9">
      <w:pPr>
        <w:spacing w:after="0" w:line="240" w:lineRule="auto"/>
        <w:ind w:firstLine="5670"/>
        <w:jc w:val="both"/>
        <w:rPr>
          <w:rFonts w:ascii="Times New Roman" w:hAnsi="Times New Roman" w:cs="Times New Roman"/>
          <w:sz w:val="28"/>
          <w:szCs w:val="28"/>
        </w:rPr>
      </w:pPr>
    </w:p>
    <w:p w:rsidR="006A0BC9" w:rsidRDefault="006A0BC9" w:rsidP="006A0BC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Склад </w:t>
      </w:r>
    </w:p>
    <w:p w:rsidR="006A0BC9" w:rsidRDefault="006A0BC9" w:rsidP="006A0BC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комісії з питань розподілу публічних інвестицій</w:t>
      </w:r>
    </w:p>
    <w:p w:rsidR="006A0BC9" w:rsidRDefault="006A0BC9" w:rsidP="006A0BC9">
      <w:pPr>
        <w:spacing w:after="0" w:line="24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Широківської</w:t>
      </w:r>
      <w:proofErr w:type="spellEnd"/>
      <w:r>
        <w:rPr>
          <w:rFonts w:ascii="Times New Roman" w:hAnsi="Times New Roman" w:cs="Times New Roman"/>
          <w:b/>
          <w:bCs/>
          <w:sz w:val="28"/>
          <w:szCs w:val="28"/>
        </w:rPr>
        <w:t xml:space="preserve"> сільської ради Запорізького району Запорізької області</w:t>
      </w:r>
    </w:p>
    <w:p w:rsidR="006A0BC9" w:rsidRDefault="006A0BC9" w:rsidP="006A0BC9">
      <w:pPr>
        <w:spacing w:after="0" w:line="240" w:lineRule="auto"/>
        <w:jc w:val="center"/>
        <w:rPr>
          <w:rFonts w:ascii="Times New Roman" w:hAnsi="Times New Roman" w:cs="Times New Roman"/>
          <w:b/>
          <w:bCs/>
          <w:sz w:val="28"/>
          <w:szCs w:val="28"/>
        </w:rPr>
      </w:pP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фінансового відділу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Нічіпорчук</w:t>
      </w:r>
      <w:proofErr w:type="spellEnd"/>
      <w:r>
        <w:rPr>
          <w:rFonts w:ascii="Times New Roman" w:hAnsi="Times New Roman" w:cs="Times New Roman"/>
          <w:sz w:val="28"/>
          <w:szCs w:val="28"/>
        </w:rPr>
        <w:t xml:space="preserve"> Л., голова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Перший заступник сільського голови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Свіркін</w:t>
      </w:r>
      <w:proofErr w:type="spellEnd"/>
      <w:r>
        <w:rPr>
          <w:rFonts w:ascii="Times New Roman" w:hAnsi="Times New Roman" w:cs="Times New Roman"/>
          <w:sz w:val="28"/>
          <w:szCs w:val="28"/>
        </w:rPr>
        <w:t xml:space="preserve"> Д., заступник голови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Юдіна М., заступник голови комісії </w:t>
      </w:r>
    </w:p>
    <w:p w:rsidR="006A0BC9" w:rsidRDefault="006A0BC9" w:rsidP="006A0BC9">
      <w:pPr>
        <w:spacing w:after="0" w:line="240" w:lineRule="auto"/>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Начальник відділу з питань регіонального розвитку комунальної установи «Агенція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Кишка Д.</w:t>
      </w:r>
      <w:r>
        <w:rPr>
          <w:rFonts w:ascii="Times New Roman" w:hAnsi="Times New Roman" w:cs="Times New Roman"/>
          <w:sz w:val="28"/>
          <w:szCs w:val="28"/>
        </w:rPr>
        <w:t>, секретар комісії</w:t>
      </w:r>
    </w:p>
    <w:p w:rsidR="006A0BC9" w:rsidRDefault="006A0BC9" w:rsidP="006A0BC9">
      <w:pPr>
        <w:spacing w:after="0"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Члени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ради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Ставицька</w:t>
      </w:r>
      <w:proofErr w:type="spellEnd"/>
      <w:r>
        <w:rPr>
          <w:rFonts w:ascii="Times New Roman" w:hAnsi="Times New Roman" w:cs="Times New Roman"/>
          <w:sz w:val="28"/>
          <w:szCs w:val="28"/>
        </w:rPr>
        <w:t xml:space="preserve"> О.</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ради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Бондар О.</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Керуючий справами (секретар) виконавчого комітету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Головань Л.</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юридичного відділу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Литвиненко Ж.</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Начальник відділу містобудування, архітектури, житлово-</w:t>
      </w:r>
      <w:proofErr w:type="spellStart"/>
      <w:r>
        <w:rPr>
          <w:rFonts w:ascii="Times New Roman" w:hAnsi="Times New Roman" w:cs="Times New Roman"/>
          <w:sz w:val="28"/>
          <w:szCs w:val="28"/>
        </w:rPr>
        <w:t>комінального</w:t>
      </w:r>
      <w:proofErr w:type="spellEnd"/>
      <w:r>
        <w:rPr>
          <w:rFonts w:ascii="Times New Roman" w:hAnsi="Times New Roman" w:cs="Times New Roman"/>
          <w:sz w:val="28"/>
          <w:szCs w:val="28"/>
        </w:rPr>
        <w:t xml:space="preserve"> господарства та благоустрою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Вакулінський</w:t>
      </w:r>
      <w:proofErr w:type="spellEnd"/>
      <w:r>
        <w:rPr>
          <w:rFonts w:ascii="Times New Roman" w:hAnsi="Times New Roman" w:cs="Times New Roman"/>
          <w:sz w:val="28"/>
          <w:szCs w:val="28"/>
        </w:rPr>
        <w:t xml:space="preserve"> Д.</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відділу бухгалтерського обліку та звітності – головний бухгалтер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Хотюн</w:t>
      </w:r>
      <w:proofErr w:type="spellEnd"/>
      <w:r>
        <w:rPr>
          <w:rFonts w:ascii="Times New Roman" w:hAnsi="Times New Roman" w:cs="Times New Roman"/>
          <w:sz w:val="28"/>
          <w:szCs w:val="28"/>
        </w:rPr>
        <w:t xml:space="preserve"> Н.</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відділу «Центр надання адміністративних послуг»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Колісник І.</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Директор комунальної установи «Агенція розвитку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громади» </w:t>
      </w:r>
      <w:proofErr w:type="spellStart"/>
      <w:r>
        <w:rPr>
          <w:rFonts w:ascii="Times New Roman" w:hAnsi="Times New Roman" w:cs="Times New Roman"/>
          <w:sz w:val="28"/>
          <w:szCs w:val="28"/>
        </w:rPr>
        <w:t>Носкова</w:t>
      </w:r>
      <w:proofErr w:type="spellEnd"/>
      <w:r>
        <w:rPr>
          <w:rFonts w:ascii="Times New Roman" w:hAnsi="Times New Roman" w:cs="Times New Roman"/>
          <w:sz w:val="28"/>
          <w:szCs w:val="28"/>
        </w:rPr>
        <w:t xml:space="preserve"> Ю.</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Керуючий справами                                                                Лариса ГОЛОВАНЬ</w:t>
      </w: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Додаток 2</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ЗАТВЕРДЖЕНО</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рішенням виконавчого комітету</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від 05.06.2025 № 195</w:t>
      </w:r>
    </w:p>
    <w:p w:rsidR="006A0BC9" w:rsidRDefault="006A0BC9" w:rsidP="006A0BC9">
      <w:pPr>
        <w:spacing w:after="0" w:line="240" w:lineRule="auto"/>
        <w:ind w:firstLine="567"/>
        <w:rPr>
          <w:rFonts w:ascii="Times New Roman" w:hAnsi="Times New Roman" w:cs="Times New Roman"/>
          <w:sz w:val="28"/>
          <w:szCs w:val="28"/>
        </w:rPr>
      </w:pPr>
    </w:p>
    <w:p w:rsidR="006A0BC9" w:rsidRDefault="006A0BC9" w:rsidP="006A0BC9">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 xml:space="preserve">Положення </w:t>
      </w:r>
    </w:p>
    <w:p w:rsidR="006A0BC9" w:rsidRDefault="006A0BC9" w:rsidP="006A0BC9">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 xml:space="preserve">про комісію з питань розподілу публічних інвестицій </w:t>
      </w:r>
      <w:proofErr w:type="spellStart"/>
      <w:r>
        <w:rPr>
          <w:rFonts w:ascii="Times New Roman" w:hAnsi="Times New Roman" w:cs="Times New Roman"/>
          <w:b/>
          <w:bCs/>
          <w:sz w:val="28"/>
          <w:szCs w:val="28"/>
        </w:rPr>
        <w:t>Широківської</w:t>
      </w:r>
      <w:proofErr w:type="spellEnd"/>
      <w:r>
        <w:rPr>
          <w:rFonts w:ascii="Times New Roman" w:hAnsi="Times New Roman" w:cs="Times New Roman"/>
          <w:b/>
          <w:bCs/>
          <w:sz w:val="28"/>
          <w:szCs w:val="28"/>
        </w:rPr>
        <w:t xml:space="preserve"> сільської ради Запорізького району Запорізької області</w:t>
      </w:r>
    </w:p>
    <w:p w:rsidR="006A0BC9" w:rsidRDefault="006A0BC9" w:rsidP="006A0BC9">
      <w:pPr>
        <w:spacing w:after="0" w:line="240" w:lineRule="auto"/>
        <w:ind w:firstLine="567"/>
        <w:jc w:val="center"/>
        <w:rPr>
          <w:rFonts w:ascii="Times New Roman" w:hAnsi="Times New Roman" w:cs="Times New Roman"/>
          <w:b/>
          <w:bCs/>
          <w:sz w:val="28"/>
          <w:szCs w:val="28"/>
        </w:rPr>
      </w:pP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Комісія з питань  розподілу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(далі – Комісія) є тимчасовим консультативно-дорадчим органом виконавчого комітету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який утворюється з метою розподілу коштів бюджету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територіальної громади (далі – місцевий бюджет) на підготовку та реалізацію публічних інвестиційних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(далі –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та програм публічних інвестицій (далі – програм).</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Комісія у своїй діяльності керується Конституцією і законами України, а також указами Президента України та постановами Верховної ради України, прийнятими відповідно до Конституції  і законів України, актами Кабінету Міністрів України, актами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та цим Положенням. </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3. Основним завданням Комісії є:</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розподіл публічних інвестицій на середньостроковий період з урахуванням критеріїв пріоритетності, ступеня готовності та наявності відповідного джерела фінансового забезпечення;</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застосування єдиних підходів до визначення оптимальних джерел та механізмів фінансового забезпечення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та програм єдиного </w:t>
      </w:r>
      <w:proofErr w:type="spellStart"/>
      <w:r>
        <w:rPr>
          <w:rFonts w:ascii="Times New Roman" w:hAnsi="Times New Roman" w:cs="Times New Roman"/>
          <w:sz w:val="28"/>
          <w:szCs w:val="28"/>
        </w:rPr>
        <w:t>проєктного</w:t>
      </w:r>
      <w:proofErr w:type="spellEnd"/>
      <w:r>
        <w:rPr>
          <w:rFonts w:ascii="Times New Roman" w:hAnsi="Times New Roman" w:cs="Times New Roman"/>
          <w:sz w:val="28"/>
          <w:szCs w:val="28"/>
        </w:rPr>
        <w:t xml:space="preserve"> портфеля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(далі – </w:t>
      </w:r>
      <w:proofErr w:type="spellStart"/>
      <w:r>
        <w:rPr>
          <w:rFonts w:ascii="Times New Roman" w:hAnsi="Times New Roman" w:cs="Times New Roman"/>
          <w:sz w:val="28"/>
          <w:szCs w:val="28"/>
        </w:rPr>
        <w:t>Широківська</w:t>
      </w:r>
      <w:proofErr w:type="spellEnd"/>
      <w:r>
        <w:rPr>
          <w:rFonts w:ascii="Times New Roman" w:hAnsi="Times New Roman" w:cs="Times New Roman"/>
          <w:sz w:val="28"/>
          <w:szCs w:val="28"/>
        </w:rPr>
        <w:t xml:space="preserve"> сільська рада) з огляду на характеристики таких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та програм;</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забезпечення дотримання граничних обсягів видатків, надання кредитів з місцевого бюджету та місцевого та гарантованого боргу на середньостроковий період за різними складовими публічних інвестицій для забезпечення боргової стійкості та мінімізації фіскальних ризиків;</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сприяння ефективному використанню коштів місцевого бюджету на підготовку та реалізацію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та програм єдиного </w:t>
      </w:r>
      <w:proofErr w:type="spellStart"/>
      <w:r>
        <w:rPr>
          <w:rFonts w:ascii="Times New Roman" w:hAnsi="Times New Roman" w:cs="Times New Roman"/>
          <w:sz w:val="28"/>
          <w:szCs w:val="28"/>
        </w:rPr>
        <w:t>проєктного</w:t>
      </w:r>
      <w:proofErr w:type="spellEnd"/>
      <w:r>
        <w:rPr>
          <w:rFonts w:ascii="Times New Roman" w:hAnsi="Times New Roman" w:cs="Times New Roman"/>
          <w:sz w:val="28"/>
          <w:szCs w:val="28"/>
        </w:rPr>
        <w:t xml:space="preserve"> портфеля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4. Комісія  відповідно до покладених на неї завдань:</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розглядає та схвалює консолідований перелік публічних інвестиційних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та програм публічних інвестицій єдиного </w:t>
      </w:r>
      <w:proofErr w:type="spellStart"/>
      <w:r>
        <w:rPr>
          <w:rFonts w:ascii="Times New Roman" w:hAnsi="Times New Roman" w:cs="Times New Roman"/>
          <w:sz w:val="28"/>
          <w:szCs w:val="28"/>
        </w:rPr>
        <w:t>проєктного</w:t>
      </w:r>
      <w:proofErr w:type="spellEnd"/>
      <w:r>
        <w:rPr>
          <w:rFonts w:ascii="Times New Roman" w:hAnsi="Times New Roman" w:cs="Times New Roman"/>
          <w:sz w:val="28"/>
          <w:szCs w:val="28"/>
        </w:rPr>
        <w:t xml:space="preserve"> портфеля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і розподіл публічних </w:t>
      </w:r>
      <w:r>
        <w:rPr>
          <w:rFonts w:ascii="Times New Roman" w:hAnsi="Times New Roman" w:cs="Times New Roman"/>
          <w:sz w:val="28"/>
          <w:szCs w:val="28"/>
        </w:rPr>
        <w:lastRenderedPageBreak/>
        <w:t>інвестицій на їх підготовку та реалізацію на плановий та два наступні за плановим бюджетні періоди в розрізі джерел і механізмів фінансового забезпечення;</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здійснює аналіз результатів моніторингу стану підготовки та реалізації затверджених у переліку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та програм та за його результатами готує і </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подає фінансовому відділу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(далі – фінансовий відділ) для прийняття відповідних рішень пропозиції та рекомендації щодо коригування або припинення (зупинення) фінансового забезпечення таких </w:t>
      </w:r>
      <w:proofErr w:type="spellStart"/>
      <w:r>
        <w:rPr>
          <w:rFonts w:ascii="Times New Roman" w:hAnsi="Times New Roman" w:cs="Times New Roman"/>
          <w:sz w:val="28"/>
          <w:szCs w:val="28"/>
        </w:rPr>
        <w:t>проєктів</w:t>
      </w:r>
      <w:proofErr w:type="spellEnd"/>
      <w:r>
        <w:rPr>
          <w:rFonts w:ascii="Times New Roman" w:hAnsi="Times New Roman" w:cs="Times New Roman"/>
          <w:sz w:val="28"/>
          <w:szCs w:val="28"/>
        </w:rPr>
        <w:t xml:space="preserve"> та програм;</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подає інвестиційній раді розроблені за результатами своєї роботи пропозиції та рекомендації.</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5. Комісія має право:</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 залучати до участі у своїй роботі представників місцевих державних адміністрацій, виконавчих органів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громадських об’єднань, комунальних підприємств, установ та організацій (за погодженням з їх керівниками), а також незалежних експертів (за згодою);</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 отримувати в установленому порядку від місцевих державних адміністрацій, інших виконавчих органів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комунальних підприємств, установ та організацій інформацію, необхідну для виконання покладених на неї завдань;</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 організовувати проведення нарад та інших заходів.</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6. Комісія під час виконання покладених на неї завдань взаємодіє з виконавчим комітетом, іншими виконавчими органами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комунальними підприємствами, установами та організаціями.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7. Комісія утворюється у складі голови, заступників голови, секретаря та членів Комісії. Головою комісії є начальник фінансового відділу.</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Склад Комісії затверджується рішенням виконавчим комітетом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та вносить до нього зміни у разі потреби.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Інформацію  про склад та положення про Комісію розміщується на офіційному </w:t>
      </w:r>
      <w:proofErr w:type="spellStart"/>
      <w:r>
        <w:rPr>
          <w:rFonts w:ascii="Times New Roman" w:hAnsi="Times New Roman" w:cs="Times New Roman"/>
          <w:sz w:val="28"/>
          <w:szCs w:val="28"/>
        </w:rPr>
        <w:t>вебсайті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громади.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8. Голова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планує та координує діяльність, а також здійснює загальне керівництво Комісією;</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скликає</w:t>
      </w:r>
      <w:proofErr w:type="spellEnd"/>
      <w:r>
        <w:rPr>
          <w:rFonts w:ascii="Times New Roman" w:hAnsi="Times New Roman" w:cs="Times New Roman"/>
          <w:sz w:val="28"/>
          <w:szCs w:val="28"/>
        </w:rPr>
        <w:t xml:space="preserve"> засідання Комісії та головує на них.</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У разі відсутності голови Комісії його обов’язки виконує один із заступників голови Комісії.</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9. Секретар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готує матеріали, необхідні для роботи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забезпечує інформування членів Комісії та всіх запрошених осіб про дату, час та місце проведення засідань Комісії;</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веде та оформлює протоколи засідань Комісії.</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10. Формою роботи Комісії є засідання, що проводяться за рішенням її голови.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Засідання Комісії проводить її голова, а у разі його відсутності – один із заступників голови.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Голова Комісія  може прийняти рішення про проведення засідання в режимі реального часу (онлайн) із використанням відповідних  технічних засобів, зокрема через Інтернет, або про участь члена Комісії в  такому режимі у засіданні.</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Засідання Комісії вважається правоможним, якщо на ньому присутні більш як половина її членів.</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11. На своїх засіданнях Комісія розробляє пропозиції (рекомендації) з питань, що належать до її компетенції.</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Пропозиції (рекомендації) вважаються схваленими, якщо за них проголосувало більш як половина присутніх на засіданні членів Комісії.</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У разі рівного розподілу голосів вирішальним є голос головуючого на засіданні.</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Пропозиції (рекомендації) Комісії оформлюються протоколом засідання, який підписується головуючим на засіданні та секретарем і надсилається всім членам Комісії  та виконавчому комітету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Член Комісії, який не підтримує пропозиції (рекомендації), може викласти в письмовій формі свою окрему думку, яка додається до протоколу засідання.</w:t>
      </w:r>
    </w:p>
    <w:p w:rsidR="006A0BC9" w:rsidRDefault="006A0BC9" w:rsidP="006A0BC9">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12. Організаційне, інформаційне, матеріально-технічне забезпечення діяльності Комісії здійснює виконавчий комітет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6A0BC9" w:rsidRDefault="006A0BC9" w:rsidP="006A0BC9">
      <w:pPr>
        <w:spacing w:after="0" w:line="240" w:lineRule="auto"/>
        <w:ind w:firstLine="567"/>
        <w:jc w:val="both"/>
        <w:rPr>
          <w:rFonts w:ascii="Times New Roman" w:hAnsi="Times New Roman" w:cs="Times New Roman"/>
          <w:sz w:val="28"/>
          <w:szCs w:val="28"/>
        </w:rPr>
      </w:pP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Керуючий справами                                                               Лариса ГОЛОВАНЬ</w:t>
      </w: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jc w:val="both"/>
        <w:rPr>
          <w:rFonts w:ascii="Times New Roman" w:hAnsi="Times New Roman" w:cs="Times New Roman"/>
          <w:sz w:val="28"/>
          <w:szCs w:val="28"/>
        </w:rPr>
      </w:pP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Додаток 3</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ЗАТВЕРДЖЕНО</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рішенням виконавчого комітету</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6A0BC9" w:rsidRDefault="006A0BC9" w:rsidP="006A0B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від 05.06.2025 № 195</w:t>
      </w:r>
    </w:p>
    <w:p w:rsidR="006A0BC9" w:rsidRDefault="006A0BC9" w:rsidP="006A0BC9">
      <w:pPr>
        <w:spacing w:after="0" w:line="240" w:lineRule="auto"/>
        <w:jc w:val="both"/>
        <w:rPr>
          <w:rFonts w:ascii="Times New Roman" w:hAnsi="Times New Roman" w:cs="Times New Roman"/>
          <w:sz w:val="28"/>
          <w:szCs w:val="28"/>
        </w:rPr>
      </w:pPr>
    </w:p>
    <w:p w:rsidR="006A0BC9" w:rsidRDefault="006A0BC9" w:rsidP="006A0BC9">
      <w:pPr>
        <w:shd w:val="clear" w:color="auto" w:fill="FFFFFF"/>
        <w:spacing w:before="300" w:after="450" w:line="240" w:lineRule="auto"/>
        <w:ind w:left="450" w:right="450"/>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ПОРЯДОК</w:t>
      </w:r>
      <w:r>
        <w:rPr>
          <w:rFonts w:ascii="Times New Roman" w:eastAsia="Times New Roman" w:hAnsi="Times New Roman" w:cs="Times New Roman"/>
          <w:color w:val="000000" w:themeColor="text1"/>
          <w:sz w:val="28"/>
          <w:szCs w:val="28"/>
          <w:lang w:eastAsia="ru-RU"/>
        </w:rPr>
        <w:br/>
      </w:r>
      <w:r>
        <w:rPr>
          <w:rFonts w:ascii="Times New Roman" w:eastAsia="Times New Roman" w:hAnsi="Times New Roman" w:cs="Times New Roman"/>
          <w:b/>
          <w:bCs/>
          <w:color w:val="000000" w:themeColor="text1"/>
          <w:sz w:val="28"/>
          <w:szCs w:val="28"/>
          <w:lang w:eastAsia="ru-RU"/>
        </w:rPr>
        <w:t xml:space="preserve">розподілу коштів бюджету  </w:t>
      </w:r>
      <w:proofErr w:type="spellStart"/>
      <w:r>
        <w:rPr>
          <w:rFonts w:ascii="Times New Roman" w:eastAsia="Times New Roman" w:hAnsi="Times New Roman" w:cs="Times New Roman"/>
          <w:b/>
          <w:bCs/>
          <w:color w:val="000000" w:themeColor="text1"/>
          <w:sz w:val="28"/>
          <w:szCs w:val="28"/>
          <w:lang w:eastAsia="ru-RU"/>
        </w:rPr>
        <w:t>Широківської</w:t>
      </w:r>
      <w:proofErr w:type="spellEnd"/>
      <w:r>
        <w:rPr>
          <w:rFonts w:ascii="Times New Roman" w:eastAsia="Times New Roman" w:hAnsi="Times New Roman" w:cs="Times New Roman"/>
          <w:b/>
          <w:bCs/>
          <w:color w:val="000000" w:themeColor="text1"/>
          <w:sz w:val="28"/>
          <w:szCs w:val="28"/>
          <w:lang w:eastAsia="ru-RU"/>
        </w:rPr>
        <w:t xml:space="preserve"> сільської територіальної громади на підготовку та реалізацію публічних інвестиційних проектів та програм публічних інвестицій</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 w:name="n75"/>
      <w:bookmarkEnd w:id="1"/>
      <w:r>
        <w:rPr>
          <w:rFonts w:ascii="Times New Roman" w:eastAsia="Times New Roman" w:hAnsi="Times New Roman" w:cs="Times New Roman"/>
          <w:color w:val="000000" w:themeColor="text1"/>
          <w:sz w:val="28"/>
          <w:szCs w:val="28"/>
          <w:lang w:eastAsia="ru-RU"/>
        </w:rPr>
        <w:t xml:space="preserve">1. Цей Порядок визначає механізм розподілу коштів бюджету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територіальної громади (далі – місцевий бюджет) на підготовку та реалізацію публічних інвестиційних проектів та програм публічних інвестицій єдиного проектного портфеля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Запорізького району Запорізької області з урахуванням обсягу місцевих гарантій, що надаються для забезпечення виконання боргових зобов’язань за кредитами (позиками), які залучаються для підготовки та реалізації публічних інвестиційних проектів та програм (далі - публічні інвестиції).</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2" w:name="n76"/>
      <w:bookmarkEnd w:id="2"/>
      <w:r>
        <w:rPr>
          <w:rFonts w:ascii="Times New Roman" w:eastAsia="Times New Roman" w:hAnsi="Times New Roman" w:cs="Times New Roman"/>
          <w:color w:val="000000" w:themeColor="text1"/>
          <w:sz w:val="28"/>
          <w:szCs w:val="28"/>
          <w:lang w:eastAsia="ru-RU"/>
        </w:rPr>
        <w:t>2. У цьому Порядку терміни вживаються в такому значенні:</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3" w:name="n77"/>
      <w:bookmarkEnd w:id="3"/>
      <w:r>
        <w:rPr>
          <w:rFonts w:ascii="Times New Roman" w:eastAsia="Times New Roman" w:hAnsi="Times New Roman" w:cs="Times New Roman"/>
          <w:color w:val="000000" w:themeColor="text1"/>
          <w:sz w:val="28"/>
          <w:szCs w:val="28"/>
          <w:lang w:eastAsia="ru-RU"/>
        </w:rPr>
        <w:t>життєвий цикл публічного інвестиційного проекту - період часу, який складається з послідовних дій та етапів, кожен з яких має свої часові межі, та спрямований на досягнення результатів публічного інвестиційного проекту;</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4" w:name="n78"/>
      <w:bookmarkEnd w:id="4"/>
      <w:r>
        <w:rPr>
          <w:rFonts w:ascii="Times New Roman" w:eastAsia="Times New Roman" w:hAnsi="Times New Roman" w:cs="Times New Roman"/>
          <w:color w:val="000000" w:themeColor="text1"/>
          <w:sz w:val="28"/>
          <w:szCs w:val="28"/>
          <w:lang w:eastAsia="ru-RU"/>
        </w:rPr>
        <w:t>моніторинг стану підготовки та реалізації публічного інвестиційного проекту та програми публічних інвестицій - комплекс заходів щодо постійного і безперервного аналізу інформації про стан підготовки та реалізації публічного інвестиційного проекту та програми публічних інвестицій для здійснення контролю за відповідністю запланованих витрат, результатів, плану реалізації проекту та програми фактичним даним з метою вчасного виявлення відхилень від плану та ефективного впровадження публічного інвестиційного проекту та програми публічних інвестицій;</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5" w:name="n79"/>
      <w:bookmarkEnd w:id="5"/>
      <w:r>
        <w:rPr>
          <w:rFonts w:ascii="Times New Roman" w:eastAsia="Times New Roman" w:hAnsi="Times New Roman" w:cs="Times New Roman"/>
          <w:color w:val="000000" w:themeColor="text1"/>
          <w:sz w:val="28"/>
          <w:szCs w:val="28"/>
          <w:lang w:eastAsia="ru-RU"/>
        </w:rPr>
        <w:t>новий публічний інвестиційний проект або нова програма публічних інвестицій - публічний інвестиційний проект або програма публічних інвестицій, фінансове забезпечення яких або будь-яких їх складових не здійснювалося у попередні бюджетні періоди;</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6" w:name="n80"/>
      <w:bookmarkEnd w:id="6"/>
      <w:r>
        <w:rPr>
          <w:rFonts w:ascii="Times New Roman" w:eastAsia="Times New Roman" w:hAnsi="Times New Roman" w:cs="Times New Roman"/>
          <w:color w:val="000000" w:themeColor="text1"/>
          <w:sz w:val="28"/>
          <w:szCs w:val="28"/>
          <w:lang w:eastAsia="ru-RU"/>
        </w:rPr>
        <w:t xml:space="preserve">підготовка публічного інвестиційного проекту - передінвестиційний етап життєвого циклу публічного інвестиційного проекту, який включає розроблення проекту, здійснення передінвестиційних досліджень (попереднє і повне техніко-економічне обґрунтування), оцінку проекту, прийняття рішення </w:t>
      </w:r>
      <w:r>
        <w:rPr>
          <w:rFonts w:ascii="Times New Roman" w:eastAsia="Times New Roman" w:hAnsi="Times New Roman" w:cs="Times New Roman"/>
          <w:color w:val="000000" w:themeColor="text1"/>
          <w:sz w:val="28"/>
          <w:szCs w:val="28"/>
          <w:lang w:eastAsia="ru-RU"/>
        </w:rPr>
        <w:lastRenderedPageBreak/>
        <w:t>щодо його доцільності та включення до портфеля публічних інвестицій, прийняття рішення місцевою інвестиційною радою щодо включення проекту до єдиного проектного портфеля публічних інвестицій громади;</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7" w:name="n81"/>
      <w:bookmarkEnd w:id="7"/>
      <w:r>
        <w:rPr>
          <w:rFonts w:ascii="Times New Roman" w:eastAsia="Times New Roman" w:hAnsi="Times New Roman" w:cs="Times New Roman"/>
          <w:color w:val="000000" w:themeColor="text1"/>
          <w:sz w:val="28"/>
          <w:szCs w:val="28"/>
          <w:lang w:eastAsia="ru-RU"/>
        </w:rPr>
        <w:t>реалізація програми публічних інвестицій - здійснення заходів, передбачених програмою публічних інвестицій для досягнення встановлених цільових показників, зокрема відбір публічних інвестиційних проектів, що відповідають затвердженим у рамках програми критеріям, розподіл відповідних коштів місцевого бюджету в межах загального обсягу програми та моніторинг реалізації відібраних проектів;</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8" w:name="n82"/>
      <w:bookmarkEnd w:id="8"/>
      <w:r>
        <w:rPr>
          <w:rFonts w:ascii="Times New Roman" w:eastAsia="Times New Roman" w:hAnsi="Times New Roman" w:cs="Times New Roman"/>
          <w:color w:val="000000" w:themeColor="text1"/>
          <w:sz w:val="28"/>
          <w:szCs w:val="28"/>
          <w:lang w:eastAsia="ru-RU"/>
        </w:rPr>
        <w:t xml:space="preserve">реалізація публічного інвестиційного проекту - інвестиційний етап життєвого циклу публічного інвестиційного проекту, який включає, зокрема, розроблення проектної документації та її затвердження, отримання відповідних дозволів, підготовку та проведення процедур </w:t>
      </w:r>
      <w:proofErr w:type="spellStart"/>
      <w:r>
        <w:rPr>
          <w:rFonts w:ascii="Times New Roman" w:eastAsia="Times New Roman" w:hAnsi="Times New Roman" w:cs="Times New Roman"/>
          <w:color w:val="000000" w:themeColor="text1"/>
          <w:sz w:val="28"/>
          <w:szCs w:val="28"/>
          <w:lang w:eastAsia="ru-RU"/>
        </w:rPr>
        <w:t>закупівель</w:t>
      </w:r>
      <w:proofErr w:type="spellEnd"/>
      <w:r>
        <w:rPr>
          <w:rFonts w:ascii="Times New Roman" w:eastAsia="Times New Roman" w:hAnsi="Times New Roman" w:cs="Times New Roman"/>
          <w:color w:val="000000" w:themeColor="text1"/>
          <w:sz w:val="28"/>
          <w:szCs w:val="28"/>
          <w:lang w:eastAsia="ru-RU"/>
        </w:rPr>
        <w:t>, укладення договорів, виконання будівельних робіт, придбання та встановлення обладнання, управління заходами проекту, навчання персоналу, прийняття в експлуатацію;</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9" w:name="n83"/>
      <w:bookmarkEnd w:id="9"/>
      <w:r>
        <w:rPr>
          <w:rFonts w:ascii="Times New Roman" w:eastAsia="Times New Roman" w:hAnsi="Times New Roman" w:cs="Times New Roman"/>
          <w:color w:val="000000" w:themeColor="text1"/>
          <w:sz w:val="28"/>
          <w:szCs w:val="28"/>
          <w:lang w:eastAsia="ru-RU"/>
        </w:rPr>
        <w:t>розпочатий публічний інвестиційний проект або розпочата програма публічних інвестицій - публічний інвестиційний проект або програма публічних інвестицій, фінансове забезпечення яких або будь-яких їх складових здійснювалося у попередні бюджетні періоди на будь-якому етапі їх життєвого циклу.</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0" w:name="n84"/>
      <w:bookmarkEnd w:id="10"/>
      <w:r>
        <w:rPr>
          <w:rFonts w:ascii="Times New Roman" w:eastAsia="Times New Roman" w:hAnsi="Times New Roman" w:cs="Times New Roman"/>
          <w:color w:val="000000" w:themeColor="text1"/>
          <w:sz w:val="28"/>
          <w:szCs w:val="28"/>
          <w:lang w:eastAsia="ru-RU"/>
        </w:rPr>
        <w:t>Інші терміни вживаються у значенні, наведеному в </w:t>
      </w:r>
      <w:hyperlink r:id="rId6" w:tgtFrame="_blank" w:history="1">
        <w:r>
          <w:rPr>
            <w:rStyle w:val="a7"/>
            <w:rFonts w:ascii="Times New Roman" w:eastAsia="Times New Roman" w:hAnsi="Times New Roman" w:cs="Times New Roman"/>
            <w:color w:val="000000" w:themeColor="text1"/>
            <w:sz w:val="28"/>
            <w:szCs w:val="28"/>
            <w:lang w:eastAsia="ru-RU"/>
          </w:rPr>
          <w:t>Бюджетному кодексі України</w:t>
        </w:r>
      </w:hyperlink>
      <w:r>
        <w:rPr>
          <w:rFonts w:ascii="Times New Roman" w:eastAsia="Times New Roman" w:hAnsi="Times New Roman" w:cs="Times New Roman"/>
          <w:color w:val="000000" w:themeColor="text1"/>
          <w:sz w:val="28"/>
          <w:szCs w:val="28"/>
          <w:lang w:eastAsia="ru-RU"/>
        </w:rPr>
        <w:t>.</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1" w:name="n85"/>
      <w:bookmarkEnd w:id="11"/>
      <w:r>
        <w:rPr>
          <w:rFonts w:ascii="Times New Roman" w:eastAsia="Times New Roman" w:hAnsi="Times New Roman" w:cs="Times New Roman"/>
          <w:color w:val="000000" w:themeColor="text1"/>
          <w:sz w:val="28"/>
          <w:szCs w:val="28"/>
          <w:lang w:eastAsia="ru-RU"/>
        </w:rPr>
        <w:t xml:space="preserve">3. З метою здійснення розподілу публічних інвестицій на плановий бюджетний період та два наступні за плановим бюджетні періоди головні розпорядники коштів місцевого бюджету у межах орієнтовного розподілу коштів за основними напрямами публічного інвестування у розрізі сфер діяльності у затвердженому середньостроковому плані пріоритетних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формують на основі схваленого інвестиційною радою єдиного проектного портфеля публічних інвестицій громади  </w:t>
      </w:r>
      <w:hyperlink r:id="rId7" w:anchor="n106" w:history="1">
        <w:r>
          <w:rPr>
            <w:rStyle w:val="a7"/>
            <w:rFonts w:ascii="Times New Roman" w:eastAsia="Times New Roman" w:hAnsi="Times New Roman" w:cs="Times New Roman"/>
            <w:color w:val="000000" w:themeColor="text1"/>
            <w:sz w:val="28"/>
            <w:szCs w:val="28"/>
            <w:lang w:eastAsia="ru-RU"/>
          </w:rPr>
          <w:t>переліки нових та розпочатих публічних інвестиційних проектів та програм публічних інвестицій</w:t>
        </w:r>
      </w:hyperlink>
      <w:r>
        <w:rPr>
          <w:rFonts w:ascii="Times New Roman" w:eastAsia="Times New Roman" w:hAnsi="Times New Roman" w:cs="Times New Roman"/>
          <w:color w:val="000000" w:themeColor="text1"/>
          <w:sz w:val="28"/>
          <w:szCs w:val="28"/>
          <w:lang w:eastAsia="ru-RU"/>
        </w:rPr>
        <w:t xml:space="preserve"> за формою </w:t>
      </w:r>
      <w:r>
        <w:rPr>
          <w:rFonts w:ascii="Times New Roman" w:eastAsia="Times New Roman" w:hAnsi="Times New Roman" w:cs="Times New Roman"/>
          <w:color w:val="000000" w:themeColor="text1"/>
          <w:sz w:val="28"/>
          <w:szCs w:val="28"/>
          <w:u w:val="single"/>
          <w:lang w:eastAsia="ru-RU"/>
        </w:rPr>
        <w:t>згідно з додатком</w:t>
      </w:r>
      <w:r>
        <w:rPr>
          <w:rFonts w:ascii="Times New Roman" w:eastAsia="Times New Roman" w:hAnsi="Times New Roman" w:cs="Times New Roman"/>
          <w:color w:val="000000" w:themeColor="text1"/>
          <w:sz w:val="28"/>
          <w:szCs w:val="28"/>
          <w:lang w:eastAsia="ru-RU"/>
        </w:rPr>
        <w:t xml:space="preserve"> з урахуванням таких критеріїв:</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2" w:name="n86"/>
      <w:bookmarkEnd w:id="12"/>
      <w:r>
        <w:rPr>
          <w:rFonts w:ascii="Times New Roman" w:eastAsia="Times New Roman" w:hAnsi="Times New Roman" w:cs="Times New Roman"/>
          <w:color w:val="000000" w:themeColor="text1"/>
          <w:sz w:val="28"/>
          <w:szCs w:val="28"/>
          <w:lang w:eastAsia="ru-RU"/>
        </w:rPr>
        <w:t xml:space="preserve">1) пріоритетність - до переліку включаються публічні інвестиційні проекти з найвищими балами </w:t>
      </w:r>
      <w:proofErr w:type="spellStart"/>
      <w:r>
        <w:rPr>
          <w:rFonts w:ascii="Times New Roman" w:eastAsia="Times New Roman" w:hAnsi="Times New Roman" w:cs="Times New Roman"/>
          <w:color w:val="000000" w:themeColor="text1"/>
          <w:sz w:val="28"/>
          <w:szCs w:val="28"/>
          <w:lang w:eastAsia="ru-RU"/>
        </w:rPr>
        <w:t>пріоритезації</w:t>
      </w:r>
      <w:proofErr w:type="spellEnd"/>
      <w:r>
        <w:rPr>
          <w:rFonts w:ascii="Times New Roman" w:eastAsia="Times New Roman" w:hAnsi="Times New Roman" w:cs="Times New Roman"/>
          <w:color w:val="000000" w:themeColor="text1"/>
          <w:sz w:val="28"/>
          <w:szCs w:val="28"/>
          <w:lang w:eastAsia="ru-RU"/>
        </w:rPr>
        <w:t xml:space="preserve"> в єдиному проектному портфелі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у відповідній галузі; </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3" w:name="n87"/>
      <w:bookmarkEnd w:id="13"/>
      <w:r>
        <w:rPr>
          <w:rFonts w:ascii="Times New Roman" w:eastAsia="Times New Roman" w:hAnsi="Times New Roman" w:cs="Times New Roman"/>
          <w:color w:val="000000" w:themeColor="text1"/>
          <w:sz w:val="28"/>
          <w:szCs w:val="28"/>
          <w:lang w:eastAsia="ru-RU"/>
        </w:rPr>
        <w:t xml:space="preserve">2) ступінь готовності - до переліку насамперед включаються вже розпочаті публічні інвестиційні проекти та програми публічних інвестицій, стратегічна доцільність яких залишається актуальною, нові публічні інвестиційні проекти, які мають завершені передінвестиційні дослідження (попереднє техніко-економічне обґрунтування для проектів вартістю до 50 млн. гривень, повне </w:t>
      </w:r>
      <w:r>
        <w:rPr>
          <w:rFonts w:ascii="Times New Roman" w:eastAsia="Times New Roman" w:hAnsi="Times New Roman" w:cs="Times New Roman"/>
          <w:color w:val="000000" w:themeColor="text1"/>
          <w:sz w:val="28"/>
          <w:szCs w:val="28"/>
          <w:lang w:eastAsia="ru-RU"/>
        </w:rPr>
        <w:lastRenderedPageBreak/>
        <w:t>техніко-економічне обґрунтування для проектів вартістю понад 50 млн. гривень), успішно пройшли відповідну оцінку та готові до реалізації, нові публічні інвестиційні проекти та програми, які визначені місцевою інвестиційною радою пріоритетними для подальшої підготовки, але не відповідають критеріям наявних програм з підтримки підготовки проектів;</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4" w:name="n88"/>
      <w:bookmarkEnd w:id="14"/>
      <w:r>
        <w:rPr>
          <w:rFonts w:ascii="Times New Roman" w:eastAsia="Times New Roman" w:hAnsi="Times New Roman" w:cs="Times New Roman"/>
          <w:color w:val="000000" w:themeColor="text1"/>
          <w:sz w:val="28"/>
          <w:szCs w:val="28"/>
          <w:lang w:eastAsia="ru-RU"/>
        </w:rPr>
        <w:t>3) наявність відповідного джерела фінансового забезпечення - до переліку включаються нові програми публічних інвестицій у разі наявності підтвердженого джерела фінансового забезпечення, нові публічні інвестиційні проекти - у разі наявності джерела фінансового забезпечення, що відповідає характеристикам такого проекту згідно з методикою визначення джерел і механізмів фінансового забезпечення публічних інвестиційних проектів та програм публічних інвестицій, затвердженою Мінфіном.</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15" w:name="n89"/>
      <w:bookmarkEnd w:id="15"/>
      <w:r>
        <w:rPr>
          <w:rFonts w:ascii="Times New Roman" w:eastAsia="Times New Roman" w:hAnsi="Times New Roman" w:cs="Times New Roman"/>
          <w:color w:val="000000" w:themeColor="text1"/>
          <w:sz w:val="28"/>
          <w:szCs w:val="28"/>
          <w:lang w:eastAsia="ru-RU"/>
        </w:rPr>
        <w:t xml:space="preserve">4. Головні розпорядники коштів місцевого бюджету подають сформовані переліки публічних інвестиційних проектів та програм публічних інвестицій фінансовому відділу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(далі – фінансовий відділ)  до 10 жовтня року, що передує плановому, разом з обґрунтуванням відповідності критеріям, визначеним </w:t>
      </w:r>
      <w:hyperlink r:id="rId8" w:anchor="n85" w:history="1">
        <w:r>
          <w:rPr>
            <w:rStyle w:val="a7"/>
            <w:rFonts w:ascii="Times New Roman" w:eastAsia="Times New Roman" w:hAnsi="Times New Roman" w:cs="Times New Roman"/>
            <w:color w:val="000000" w:themeColor="text1"/>
            <w:sz w:val="28"/>
            <w:szCs w:val="28"/>
            <w:lang w:eastAsia="ru-RU"/>
          </w:rPr>
          <w:t>пунктом 3</w:t>
        </w:r>
      </w:hyperlink>
      <w:r>
        <w:rPr>
          <w:rFonts w:ascii="Times New Roman" w:eastAsia="Times New Roman" w:hAnsi="Times New Roman" w:cs="Times New Roman"/>
          <w:color w:val="000000" w:themeColor="text1"/>
          <w:sz w:val="28"/>
          <w:szCs w:val="28"/>
          <w:lang w:eastAsia="ru-RU"/>
        </w:rPr>
        <w:t> цього Порядку.</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16" w:name="n90"/>
      <w:bookmarkEnd w:id="16"/>
      <w:r>
        <w:rPr>
          <w:rFonts w:ascii="Times New Roman" w:eastAsia="Times New Roman" w:hAnsi="Times New Roman" w:cs="Times New Roman"/>
          <w:color w:val="000000" w:themeColor="text1"/>
          <w:sz w:val="28"/>
          <w:szCs w:val="28"/>
          <w:lang w:eastAsia="ru-RU"/>
        </w:rPr>
        <w:t xml:space="preserve">5. Фінансовий відділ здійснює аналіз поданих головними розпорядниками коштів місцевого бюджету переліків публічних інвестиційних проектів та програм публічних інвестицій на відповідність орієнтовному розподілу коштів за основними напрямами публічного інвестування у розрізі сфер діяльності, інформації, що міститься в єдиному проектному портфелі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та підходам до визначення джерел і механізмів фінансового забезпечення, а також щодо обґрунтованості зазначеної потреби у фінансовому забезпеченні з огляду на поточний стан та плани реалізації відповідних проектів та програм.</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17" w:name="n91"/>
      <w:bookmarkEnd w:id="17"/>
      <w:r>
        <w:rPr>
          <w:rFonts w:ascii="Times New Roman" w:eastAsia="Times New Roman" w:hAnsi="Times New Roman" w:cs="Times New Roman"/>
          <w:color w:val="000000" w:themeColor="text1"/>
          <w:sz w:val="28"/>
          <w:szCs w:val="28"/>
          <w:lang w:eastAsia="ru-RU"/>
        </w:rPr>
        <w:t>6. Фінансовий відділ за результатами здійсненого аналізу, передбаченого </w:t>
      </w:r>
      <w:hyperlink r:id="rId9" w:anchor="n90" w:history="1">
        <w:r>
          <w:rPr>
            <w:rStyle w:val="a7"/>
            <w:rFonts w:ascii="Times New Roman" w:eastAsia="Times New Roman" w:hAnsi="Times New Roman" w:cs="Times New Roman"/>
            <w:color w:val="000000" w:themeColor="text1"/>
            <w:sz w:val="28"/>
            <w:szCs w:val="28"/>
            <w:lang w:eastAsia="ru-RU"/>
          </w:rPr>
          <w:t>пунктом 5</w:t>
        </w:r>
      </w:hyperlink>
      <w:r>
        <w:rPr>
          <w:rFonts w:ascii="Times New Roman" w:eastAsia="Times New Roman" w:hAnsi="Times New Roman" w:cs="Times New Roman"/>
          <w:color w:val="000000" w:themeColor="text1"/>
          <w:sz w:val="28"/>
          <w:szCs w:val="28"/>
          <w:lang w:eastAsia="ru-RU"/>
        </w:rPr>
        <w:t> цього Порядку, формує консолідований перелік публічних інвестиційних проектів та програм публічних інвестицій єдиного проектного портфеля публічних інвестицій держави і розподіл публічних інвестицій на їх підготовку та реалізацію на плановий та два наступні за плановим бюджетні періоди у розрізі джерел і механізмів фінансового забезпечення (далі - консолідований перелік) з урахуванням:</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18" w:name="n92"/>
      <w:bookmarkEnd w:id="18"/>
      <w:r>
        <w:rPr>
          <w:rFonts w:ascii="Times New Roman" w:eastAsia="Times New Roman" w:hAnsi="Times New Roman" w:cs="Times New Roman"/>
          <w:color w:val="000000" w:themeColor="text1"/>
          <w:sz w:val="28"/>
          <w:szCs w:val="28"/>
          <w:lang w:eastAsia="ru-RU"/>
        </w:rPr>
        <w:t>граничного обсягу дефіциту місцевого бюджету;</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19" w:name="n93"/>
      <w:bookmarkEnd w:id="19"/>
      <w:r>
        <w:rPr>
          <w:rFonts w:ascii="Times New Roman" w:eastAsia="Times New Roman" w:hAnsi="Times New Roman" w:cs="Times New Roman"/>
          <w:color w:val="000000" w:themeColor="text1"/>
          <w:sz w:val="28"/>
          <w:szCs w:val="28"/>
          <w:lang w:eastAsia="ru-RU"/>
        </w:rPr>
        <w:t>граничного обсягу місцевого боргу та гарантованого місцевого боргу;</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20" w:name="n94"/>
      <w:bookmarkEnd w:id="20"/>
      <w:r>
        <w:rPr>
          <w:rFonts w:ascii="Times New Roman" w:eastAsia="Times New Roman" w:hAnsi="Times New Roman" w:cs="Times New Roman"/>
          <w:color w:val="000000" w:themeColor="text1"/>
          <w:sz w:val="28"/>
          <w:szCs w:val="28"/>
          <w:lang w:eastAsia="ru-RU"/>
        </w:rPr>
        <w:t xml:space="preserve">граничного обсягу надання місцевих гарантій; </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21" w:name="n95"/>
      <w:bookmarkEnd w:id="21"/>
      <w:r>
        <w:rPr>
          <w:rFonts w:ascii="Times New Roman" w:eastAsia="Times New Roman" w:hAnsi="Times New Roman" w:cs="Times New Roman"/>
          <w:color w:val="000000" w:themeColor="text1"/>
          <w:sz w:val="28"/>
          <w:szCs w:val="28"/>
          <w:lang w:eastAsia="ru-RU"/>
        </w:rPr>
        <w:t>встановлених обсягів щорічних видатків на виконання довгострокових зобов’язань у рамках державно-приватного партнерства на відповідні бюджетні періоди;</w:t>
      </w:r>
    </w:p>
    <w:p w:rsidR="006A0BC9" w:rsidRDefault="006A0BC9" w:rsidP="006A0BC9">
      <w:pPr>
        <w:shd w:val="clear" w:color="auto" w:fill="FFFFFF"/>
        <w:spacing w:after="150" w:line="240" w:lineRule="auto"/>
        <w:ind w:firstLine="567"/>
        <w:jc w:val="both"/>
        <w:rPr>
          <w:rFonts w:ascii="Times New Roman" w:eastAsia="Times New Roman" w:hAnsi="Times New Roman" w:cs="Times New Roman"/>
          <w:color w:val="000000" w:themeColor="text1"/>
          <w:sz w:val="28"/>
          <w:szCs w:val="28"/>
          <w:lang w:eastAsia="ru-RU"/>
        </w:rPr>
      </w:pPr>
      <w:bookmarkStart w:id="22" w:name="n96"/>
      <w:bookmarkEnd w:id="22"/>
      <w:r>
        <w:rPr>
          <w:rFonts w:ascii="Times New Roman" w:eastAsia="Times New Roman" w:hAnsi="Times New Roman" w:cs="Times New Roman"/>
          <w:color w:val="000000" w:themeColor="text1"/>
          <w:sz w:val="28"/>
          <w:szCs w:val="28"/>
          <w:lang w:eastAsia="ru-RU"/>
        </w:rPr>
        <w:t xml:space="preserve">вимог щодо спрямування не менше 70 відсотків загального обсягу публічних інвестицій на продовження (завершення) реалізації розпочатих </w:t>
      </w:r>
      <w:r>
        <w:rPr>
          <w:rFonts w:ascii="Times New Roman" w:eastAsia="Times New Roman" w:hAnsi="Times New Roman" w:cs="Times New Roman"/>
          <w:color w:val="000000" w:themeColor="text1"/>
          <w:sz w:val="28"/>
          <w:szCs w:val="28"/>
          <w:lang w:eastAsia="ru-RU"/>
        </w:rPr>
        <w:lastRenderedPageBreak/>
        <w:t>публічних інвестиційних проектів відповідно до планів їх реалізації та строків введення в експлуатацію основних засобів.</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23" w:name="n97"/>
      <w:bookmarkEnd w:id="23"/>
      <w:r>
        <w:rPr>
          <w:rFonts w:ascii="Times New Roman" w:eastAsia="Times New Roman" w:hAnsi="Times New Roman" w:cs="Times New Roman"/>
          <w:color w:val="000000" w:themeColor="text1"/>
          <w:sz w:val="28"/>
          <w:szCs w:val="28"/>
          <w:lang w:eastAsia="ru-RU"/>
        </w:rPr>
        <w:t xml:space="preserve">7. Фінансовий відділ до 20 жовтня року, що передує плановому, подає комісії з питань розподілу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Запорізького району Запорізької області (далі - Комісія) консолідований перелік.</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24" w:name="n98"/>
      <w:bookmarkEnd w:id="24"/>
      <w:r>
        <w:rPr>
          <w:rFonts w:ascii="Times New Roman" w:eastAsia="Times New Roman" w:hAnsi="Times New Roman" w:cs="Times New Roman"/>
          <w:color w:val="000000" w:themeColor="text1"/>
          <w:sz w:val="28"/>
          <w:szCs w:val="28"/>
          <w:lang w:eastAsia="ru-RU"/>
        </w:rPr>
        <w:t>8. Комісія на підставі інформації, отриманої від фінансового відділу відповідно до </w:t>
      </w:r>
      <w:hyperlink r:id="rId10" w:anchor="n97" w:history="1">
        <w:r>
          <w:rPr>
            <w:rStyle w:val="a7"/>
            <w:rFonts w:ascii="Times New Roman" w:eastAsia="Times New Roman" w:hAnsi="Times New Roman" w:cs="Times New Roman"/>
            <w:color w:val="000000" w:themeColor="text1"/>
            <w:sz w:val="28"/>
            <w:szCs w:val="28"/>
            <w:lang w:eastAsia="ru-RU"/>
          </w:rPr>
          <w:t>пункту 7</w:t>
        </w:r>
      </w:hyperlink>
      <w:r>
        <w:rPr>
          <w:rFonts w:ascii="Times New Roman" w:eastAsia="Times New Roman" w:hAnsi="Times New Roman" w:cs="Times New Roman"/>
          <w:color w:val="000000" w:themeColor="text1"/>
          <w:sz w:val="28"/>
          <w:szCs w:val="28"/>
          <w:lang w:eastAsia="ru-RU"/>
        </w:rPr>
        <w:t> цього Порядку, у тижневий строк приймає на своєму засіданні рішення щодо розподілу публічних інвестицій на підготовку та реалізацію публічних інвестиційних проектів та програм публічних інвестицій у розрізі таких проектів та програм із зазначенням відповідних джерел і механізмів їх фінансового забезпечення з урахуванням вимог </w:t>
      </w:r>
      <w:hyperlink r:id="rId11" w:anchor="n3452" w:tgtFrame="_blank" w:history="1">
        <w:r>
          <w:rPr>
            <w:rStyle w:val="a7"/>
            <w:rFonts w:ascii="Times New Roman" w:eastAsia="Times New Roman" w:hAnsi="Times New Roman" w:cs="Times New Roman"/>
            <w:color w:val="000000" w:themeColor="text1"/>
            <w:sz w:val="28"/>
            <w:szCs w:val="28"/>
            <w:lang w:eastAsia="ru-RU"/>
          </w:rPr>
          <w:t xml:space="preserve">статті </w:t>
        </w:r>
      </w:hyperlink>
      <w:r>
        <w:rPr>
          <w:rFonts w:ascii="Times New Roman" w:eastAsia="Times New Roman" w:hAnsi="Times New Roman" w:cs="Times New Roman"/>
          <w:color w:val="000000" w:themeColor="text1"/>
          <w:sz w:val="28"/>
          <w:szCs w:val="28"/>
          <w:lang w:eastAsia="ru-RU"/>
        </w:rPr>
        <w:t>75</w:t>
      </w:r>
      <w:hyperlink r:id="rId12" w:anchor="n3452" w:tgtFrame="_blank" w:history="1">
        <w:r>
          <w:rPr>
            <w:rStyle w:val="a7"/>
            <w:rFonts w:ascii="Times New Roman" w:eastAsia="Times New Roman" w:hAnsi="Times New Roman" w:cs="Times New Roman"/>
            <w:b/>
            <w:bCs/>
            <w:color w:val="000000" w:themeColor="text1"/>
            <w:sz w:val="28"/>
            <w:szCs w:val="28"/>
            <w:vertAlign w:val="superscript"/>
            <w:lang w:eastAsia="ru-RU"/>
          </w:rPr>
          <w:t>-1</w:t>
        </w:r>
      </w:hyperlink>
      <w:r>
        <w:rPr>
          <w:rFonts w:ascii="Times New Roman" w:eastAsia="Times New Roman" w:hAnsi="Times New Roman" w:cs="Times New Roman"/>
          <w:color w:val="000000" w:themeColor="text1"/>
          <w:sz w:val="28"/>
          <w:szCs w:val="28"/>
          <w:lang w:eastAsia="ru-RU"/>
        </w:rPr>
        <w:t> Бюджетного кодексу України та </w:t>
      </w:r>
      <w:hyperlink r:id="rId13" w:anchor="n91" w:history="1">
        <w:r>
          <w:rPr>
            <w:rStyle w:val="a7"/>
            <w:rFonts w:ascii="Times New Roman" w:eastAsia="Times New Roman" w:hAnsi="Times New Roman" w:cs="Times New Roman"/>
            <w:color w:val="000000" w:themeColor="text1"/>
            <w:sz w:val="28"/>
            <w:szCs w:val="28"/>
            <w:lang w:eastAsia="ru-RU"/>
          </w:rPr>
          <w:t>пункту 6</w:t>
        </w:r>
      </w:hyperlink>
      <w:r>
        <w:rPr>
          <w:rFonts w:ascii="Times New Roman" w:eastAsia="Times New Roman" w:hAnsi="Times New Roman" w:cs="Times New Roman"/>
          <w:color w:val="000000" w:themeColor="text1"/>
          <w:sz w:val="28"/>
          <w:szCs w:val="28"/>
          <w:lang w:eastAsia="ru-RU"/>
        </w:rPr>
        <w:t> цього Порядку.</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25" w:name="n99"/>
      <w:bookmarkEnd w:id="25"/>
      <w:r>
        <w:rPr>
          <w:rFonts w:ascii="Times New Roman" w:eastAsia="Times New Roman" w:hAnsi="Times New Roman" w:cs="Times New Roman"/>
          <w:color w:val="000000" w:themeColor="text1"/>
          <w:sz w:val="28"/>
          <w:szCs w:val="28"/>
          <w:lang w:eastAsia="ru-RU"/>
        </w:rPr>
        <w:t xml:space="preserve">Рішення Комісії та консолідований перелік розміщуються на офіційному веб-сайті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Відповідальним за розміщення рішення Комісії та консолідованого переліку є секретар Комісії.</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26" w:name="n100"/>
      <w:bookmarkEnd w:id="26"/>
      <w:r>
        <w:rPr>
          <w:rFonts w:ascii="Times New Roman" w:eastAsia="Times New Roman" w:hAnsi="Times New Roman" w:cs="Times New Roman"/>
          <w:color w:val="000000" w:themeColor="text1"/>
          <w:sz w:val="28"/>
          <w:szCs w:val="28"/>
          <w:lang w:eastAsia="ru-RU"/>
        </w:rPr>
        <w:t>9. На підставі розподілу публічних інвестицій, здійсненого відповідно до </w:t>
      </w:r>
      <w:hyperlink r:id="rId14" w:anchor="n98" w:history="1">
        <w:r>
          <w:rPr>
            <w:rStyle w:val="a7"/>
            <w:rFonts w:ascii="Times New Roman" w:eastAsia="Times New Roman" w:hAnsi="Times New Roman" w:cs="Times New Roman"/>
            <w:color w:val="000000" w:themeColor="text1"/>
            <w:sz w:val="28"/>
            <w:szCs w:val="28"/>
            <w:lang w:eastAsia="ru-RU"/>
          </w:rPr>
          <w:t>пункту 8</w:t>
        </w:r>
      </w:hyperlink>
      <w:r>
        <w:rPr>
          <w:rFonts w:ascii="Times New Roman" w:eastAsia="Times New Roman" w:hAnsi="Times New Roman" w:cs="Times New Roman"/>
          <w:color w:val="000000" w:themeColor="text1"/>
          <w:sz w:val="28"/>
          <w:szCs w:val="28"/>
          <w:lang w:eastAsia="ru-RU"/>
        </w:rPr>
        <w:t> цього Порядку, головні розпорядники коштів місцевого бюджету подають фінансовому відділу у встановленому порядку бюджетні запити за бюджетними програмами, в рамках яких передбачаються підготовка та реалізація відповідних публічних інвестиційних проектів та програм публічних інвестицій.</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sz w:val="28"/>
          <w:szCs w:val="28"/>
          <w:lang w:eastAsia="ru-RU"/>
        </w:rPr>
      </w:pPr>
      <w:bookmarkStart w:id="27" w:name="n101"/>
      <w:bookmarkEnd w:id="27"/>
      <w:r>
        <w:rPr>
          <w:rFonts w:ascii="Times New Roman" w:eastAsia="Times New Roman" w:hAnsi="Times New Roman" w:cs="Times New Roman"/>
          <w:sz w:val="28"/>
          <w:szCs w:val="28"/>
          <w:lang w:eastAsia="ru-RU"/>
        </w:rPr>
        <w:t>10. Обсяг місцевих гарантій, які надаються для забезпечення виконання боргових зобов’язань за публічними інвестиційними проектами, визначається рішенням про місцевий бюджет на відповідний рік згідно з переліком публічних інвестиційних проектів, для забезпечення виконання боргових зобов’язань за якими можуть надаватися місцеві гарантії, визначеним відповідно до розподілу публічних інвестицій, передбаченого </w:t>
      </w:r>
      <w:hyperlink r:id="rId15" w:anchor="n98" w:history="1">
        <w:r>
          <w:rPr>
            <w:rStyle w:val="a7"/>
            <w:rFonts w:ascii="Times New Roman" w:eastAsia="Times New Roman" w:hAnsi="Times New Roman" w:cs="Times New Roman"/>
            <w:sz w:val="28"/>
            <w:szCs w:val="28"/>
            <w:lang w:eastAsia="ru-RU"/>
          </w:rPr>
          <w:t>пунктом 8</w:t>
        </w:r>
      </w:hyperlink>
      <w:r>
        <w:rPr>
          <w:rFonts w:ascii="Times New Roman" w:eastAsia="Times New Roman" w:hAnsi="Times New Roman" w:cs="Times New Roman"/>
          <w:sz w:val="28"/>
          <w:szCs w:val="28"/>
          <w:lang w:eastAsia="ru-RU"/>
        </w:rPr>
        <w:t> цього Порядку.</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color w:val="000000" w:themeColor="text1"/>
          <w:sz w:val="28"/>
          <w:szCs w:val="28"/>
          <w:lang w:eastAsia="ru-RU"/>
        </w:rPr>
      </w:pPr>
      <w:bookmarkStart w:id="28" w:name="n102"/>
      <w:bookmarkEnd w:id="28"/>
      <w:r>
        <w:rPr>
          <w:rFonts w:ascii="Times New Roman" w:eastAsia="Times New Roman" w:hAnsi="Times New Roman" w:cs="Times New Roman"/>
          <w:color w:val="000000" w:themeColor="text1"/>
          <w:sz w:val="28"/>
          <w:szCs w:val="28"/>
          <w:lang w:eastAsia="ru-RU"/>
        </w:rPr>
        <w:t xml:space="preserve">11. Якщо протягом бюджетного періоду за результатами піврічного моніторингу стану підготовки та реалізації публічних інвестиційних проектів та програм публічних інвестицій встановлено порушення строків розроблення або реалізації проекту або програми, або підвищення вартості проекту або програми більш як на 10 відсотків, або виявлено невідповідність предмета </w:t>
      </w:r>
      <w:proofErr w:type="spellStart"/>
      <w:r>
        <w:rPr>
          <w:rFonts w:ascii="Times New Roman" w:eastAsia="Times New Roman" w:hAnsi="Times New Roman" w:cs="Times New Roman"/>
          <w:color w:val="000000" w:themeColor="text1"/>
          <w:sz w:val="28"/>
          <w:szCs w:val="28"/>
          <w:lang w:eastAsia="ru-RU"/>
        </w:rPr>
        <w:t>закупівель</w:t>
      </w:r>
      <w:proofErr w:type="spellEnd"/>
      <w:r>
        <w:rPr>
          <w:rFonts w:ascii="Times New Roman" w:eastAsia="Times New Roman" w:hAnsi="Times New Roman" w:cs="Times New Roman"/>
          <w:color w:val="000000" w:themeColor="text1"/>
          <w:sz w:val="28"/>
          <w:szCs w:val="28"/>
          <w:lang w:eastAsia="ru-RU"/>
        </w:rPr>
        <w:t xml:space="preserve"> меті та кінцевому результату, якого планується досягти в результаті реалізації проекту або програми, такі проекти або програми за пропозицією членів Комісії підлягають повторному розгляду Комісією в установленому порядку. Рішення Комісії є підставою для розгляду питання про передачу коштів місцевого бюджету на публічні інвестиційні проекти та програми публічних інвестицій, які реалізуються у визначені строки, у встановленому бюджетним законодавством порядку.</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sz w:val="28"/>
          <w:szCs w:val="28"/>
          <w:lang w:eastAsia="ru-RU"/>
        </w:rPr>
      </w:pPr>
      <w:bookmarkStart w:id="29" w:name="n103"/>
      <w:bookmarkEnd w:id="29"/>
      <w:r>
        <w:rPr>
          <w:rFonts w:ascii="Times New Roman" w:eastAsia="Times New Roman" w:hAnsi="Times New Roman" w:cs="Times New Roman"/>
          <w:sz w:val="28"/>
          <w:szCs w:val="28"/>
          <w:lang w:eastAsia="ru-RU"/>
        </w:rPr>
        <w:lastRenderedPageBreak/>
        <w:t>12. У разі встановлення за результатами піврічного моніторингу випадків не набрання чинності кредитними угодами в рамках підготовки та реалізації публічних інвестиційних проектів, під які передбачалося надання місцевих гарантій відповідно до розподілу, здійсненого відповідно до </w:t>
      </w:r>
      <w:hyperlink r:id="rId16" w:anchor="n98" w:history="1">
        <w:r>
          <w:rPr>
            <w:rStyle w:val="a7"/>
            <w:rFonts w:ascii="Times New Roman" w:eastAsia="Times New Roman" w:hAnsi="Times New Roman" w:cs="Times New Roman"/>
            <w:sz w:val="28"/>
            <w:szCs w:val="28"/>
            <w:lang w:eastAsia="ru-RU"/>
          </w:rPr>
          <w:t>пункту 8</w:t>
        </w:r>
      </w:hyperlink>
      <w:r>
        <w:rPr>
          <w:rFonts w:ascii="Times New Roman" w:eastAsia="Times New Roman" w:hAnsi="Times New Roman" w:cs="Times New Roman"/>
          <w:sz w:val="28"/>
          <w:szCs w:val="28"/>
          <w:lang w:eastAsia="ru-RU"/>
        </w:rPr>
        <w:t xml:space="preserve"> цього Порядку, за пропозицією фінансового відділу Комісія може здійснювати перегляд переліку таких проектів. За результатами такого перегляду та у випадку наявності в єдиному проектному портфелі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w:t>
      </w:r>
      <w:r>
        <w:rPr>
          <w:rFonts w:ascii="Times New Roman" w:eastAsia="Times New Roman" w:hAnsi="Times New Roman" w:cs="Times New Roman"/>
          <w:sz w:val="28"/>
          <w:szCs w:val="28"/>
          <w:lang w:eastAsia="ru-RU"/>
        </w:rPr>
        <w:t xml:space="preserve"> проектів, під які можуть надаватися місцеві гарантії і які перебувають на відповідній стадії готовності, Комісія може приймати рішення про заміну або включення додаткових проектів до переліку з дотриманням граничного обсягу надання місцевих гарантій, встановленого рішенням про місцевий бюджет на відповідний бюджетний період.</w:t>
      </w:r>
    </w:p>
    <w:p w:rsidR="006A0BC9" w:rsidRDefault="006A0BC9" w:rsidP="006A0BC9">
      <w:pPr>
        <w:shd w:val="clear" w:color="auto" w:fill="FFFFFF"/>
        <w:spacing w:after="150" w:line="240" w:lineRule="auto"/>
        <w:ind w:firstLine="450"/>
        <w:jc w:val="both"/>
        <w:rPr>
          <w:rFonts w:ascii="Times New Roman" w:eastAsia="Times New Roman" w:hAnsi="Times New Roman" w:cs="Times New Roman"/>
          <w:sz w:val="28"/>
          <w:szCs w:val="28"/>
          <w:lang w:eastAsia="ru-RU"/>
        </w:rPr>
      </w:pPr>
      <w:bookmarkStart w:id="30" w:name="n104"/>
      <w:bookmarkEnd w:id="30"/>
      <w:r>
        <w:rPr>
          <w:rFonts w:ascii="Times New Roman" w:eastAsia="Times New Roman" w:hAnsi="Times New Roman" w:cs="Times New Roman"/>
          <w:sz w:val="28"/>
          <w:szCs w:val="28"/>
          <w:lang w:eastAsia="ru-RU"/>
        </w:rPr>
        <w:t xml:space="preserve">13. Фінансовий відділ за рішенням Комісії готує та подає </w:t>
      </w:r>
      <w:proofErr w:type="spellStart"/>
      <w:r>
        <w:rPr>
          <w:rFonts w:ascii="Times New Roman" w:eastAsia="Times New Roman" w:hAnsi="Times New Roman" w:cs="Times New Roman"/>
          <w:sz w:val="28"/>
          <w:szCs w:val="28"/>
          <w:lang w:eastAsia="ru-RU"/>
        </w:rPr>
        <w:t>Держаудитслужбі</w:t>
      </w:r>
      <w:proofErr w:type="spellEnd"/>
      <w:r>
        <w:rPr>
          <w:rFonts w:ascii="Times New Roman" w:eastAsia="Times New Roman" w:hAnsi="Times New Roman" w:cs="Times New Roman"/>
          <w:sz w:val="28"/>
          <w:szCs w:val="28"/>
          <w:lang w:eastAsia="ru-RU"/>
        </w:rPr>
        <w:t xml:space="preserve"> пропозиції щодо проведення державного фінансового аудиту за публічними інвестиційними проектами та програмами публічних інвестицій, строк реалізації яких завершується або щодо яких виявлено та документально підтверджено факт шахрайства чи вчинення корупційного або пов’язаного з корупцією правопорушення стосовно підготовки або реалізації таких проектів та програм.</w:t>
      </w:r>
    </w:p>
    <w:p w:rsidR="006A0BC9" w:rsidRDefault="006A0BC9" w:rsidP="006A0BC9">
      <w:pPr>
        <w:spacing w:after="0" w:line="240" w:lineRule="auto"/>
        <w:rPr>
          <w:rFonts w:ascii="Times New Roman" w:eastAsia="Times New Roman" w:hAnsi="Times New Roman" w:cs="Times New Roman"/>
          <w:color w:val="FF0000"/>
          <w:sz w:val="28"/>
          <w:szCs w:val="28"/>
          <w:lang w:eastAsia="ru-RU"/>
        </w:rPr>
      </w:pPr>
    </w:p>
    <w:p w:rsidR="006A0BC9" w:rsidRDefault="006A0BC9" w:rsidP="006A0B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Керуючий справами                                                                  Лариса ГОЛОВАНЬ</w:t>
      </w: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rsidP="006A0BC9">
      <w:pPr>
        <w:jc w:val="both"/>
        <w:rPr>
          <w:rFonts w:ascii="Times New Roman" w:hAnsi="Times New Roman" w:cs="Times New Roman"/>
          <w:color w:val="FF0000"/>
          <w:sz w:val="28"/>
          <w:szCs w:val="28"/>
        </w:rPr>
      </w:pPr>
    </w:p>
    <w:p w:rsidR="006A0BC9" w:rsidRDefault="006A0BC9"/>
    <w:p w:rsidR="006A0BC9" w:rsidRDefault="006A0BC9"/>
    <w:p w:rsidR="006A0BC9" w:rsidRDefault="006A0BC9"/>
    <w:p w:rsidR="006A0BC9" w:rsidRDefault="006A0BC9"/>
    <w:sectPr w:rsidR="006A0B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6B9"/>
    <w:rsid w:val="00081B63"/>
    <w:rsid w:val="00605BE3"/>
    <w:rsid w:val="006A0BC9"/>
    <w:rsid w:val="008459DF"/>
    <w:rsid w:val="00C27B3A"/>
    <w:rsid w:val="00C841D6"/>
    <w:rsid w:val="00E766B9"/>
    <w:rsid w:val="00EA49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91A0C3-1D32-42F7-A2AE-5DE1974D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59DF"/>
    <w:pPr>
      <w:spacing w:line="254"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459DF"/>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8459DF"/>
    <w:pPr>
      <w:ind w:left="720"/>
      <w:contextualSpacing/>
    </w:pPr>
  </w:style>
  <w:style w:type="paragraph" w:styleId="a5">
    <w:name w:val="Balloon Text"/>
    <w:basedOn w:val="a"/>
    <w:link w:val="a6"/>
    <w:uiPriority w:val="99"/>
    <w:semiHidden/>
    <w:unhideWhenUsed/>
    <w:rsid w:val="00C841D6"/>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C841D6"/>
    <w:rPr>
      <w:rFonts w:ascii="Segoe UI" w:hAnsi="Segoe UI" w:cs="Segoe UI"/>
      <w:sz w:val="18"/>
      <w:szCs w:val="18"/>
      <w:lang w:val="uk-UA"/>
    </w:rPr>
  </w:style>
  <w:style w:type="character" w:styleId="a7">
    <w:name w:val="Hyperlink"/>
    <w:basedOn w:val="a0"/>
    <w:uiPriority w:val="99"/>
    <w:semiHidden/>
    <w:unhideWhenUsed/>
    <w:rsid w:val="006A0B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7799916">
      <w:bodyDiv w:val="1"/>
      <w:marLeft w:val="0"/>
      <w:marRight w:val="0"/>
      <w:marTop w:val="0"/>
      <w:marBottom w:val="0"/>
      <w:divBdr>
        <w:top w:val="none" w:sz="0" w:space="0" w:color="auto"/>
        <w:left w:val="none" w:sz="0" w:space="0" w:color="auto"/>
        <w:bottom w:val="none" w:sz="0" w:space="0" w:color="auto"/>
        <w:right w:val="none" w:sz="0" w:space="0" w:color="auto"/>
      </w:divBdr>
      <w:divsChild>
        <w:div w:id="2058584052">
          <w:marLeft w:val="0"/>
          <w:marRight w:val="0"/>
          <w:marTop w:val="0"/>
          <w:marBottom w:val="0"/>
          <w:divBdr>
            <w:top w:val="none" w:sz="0" w:space="0" w:color="auto"/>
            <w:left w:val="none" w:sz="0" w:space="0" w:color="auto"/>
            <w:bottom w:val="none" w:sz="0" w:space="0" w:color="auto"/>
            <w:right w:val="none" w:sz="0" w:space="0" w:color="auto"/>
          </w:divBdr>
        </w:div>
      </w:divsChild>
    </w:div>
    <w:div w:id="213617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32-2025-%D0%BF/print" TargetMode="External"/><Relationship Id="rId13" Type="http://schemas.openxmlformats.org/officeDocument/2006/relationships/hyperlink" Target="https://zakon.rada.gov.ua/laws/show/232-2025-%D0%BF/prin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zakon.rada.gov.ua/laws/show/232-2025-%D0%BF/print" TargetMode="External"/><Relationship Id="rId12" Type="http://schemas.openxmlformats.org/officeDocument/2006/relationships/hyperlink" Target="https://zakon.rada.gov.ua/laws/show/2456-17"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zakon.rada.gov.ua/laws/show/232-2025-%D0%BF/print" TargetMode="External"/><Relationship Id="rId1" Type="http://schemas.openxmlformats.org/officeDocument/2006/relationships/styles" Target="styles.xml"/><Relationship Id="rId6" Type="http://schemas.openxmlformats.org/officeDocument/2006/relationships/hyperlink" Target="https://zakon.rada.gov.ua/laws/show/2456-17" TargetMode="External"/><Relationship Id="rId11" Type="http://schemas.openxmlformats.org/officeDocument/2006/relationships/hyperlink" Target="https://zakon.rada.gov.ua/laws/show/2456-17" TargetMode="External"/><Relationship Id="rId5" Type="http://schemas.openxmlformats.org/officeDocument/2006/relationships/oleObject" Target="embeddings/oleObject1.bin"/><Relationship Id="rId15" Type="http://schemas.openxmlformats.org/officeDocument/2006/relationships/hyperlink" Target="https://zakon.rada.gov.ua/laws/show/232-2025-%D0%BF/print" TargetMode="External"/><Relationship Id="rId10" Type="http://schemas.openxmlformats.org/officeDocument/2006/relationships/hyperlink" Target="https://zakon.rada.gov.ua/laws/show/232-2025-%D0%BF/print" TargetMode="External"/><Relationship Id="rId4" Type="http://schemas.openxmlformats.org/officeDocument/2006/relationships/image" Target="media/image1.wmf"/><Relationship Id="rId9" Type="http://schemas.openxmlformats.org/officeDocument/2006/relationships/hyperlink" Target="https://zakon.rada.gov.ua/laws/show/232-2025-%D0%BF/print" TargetMode="External"/><Relationship Id="rId14" Type="http://schemas.openxmlformats.org/officeDocument/2006/relationships/hyperlink" Target="https://zakon.rada.gov.ua/laws/show/232-2025-%D0%BF/pri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3438</Words>
  <Characters>19603</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12</cp:revision>
  <cp:lastPrinted>2025-06-20T13:16:00Z</cp:lastPrinted>
  <dcterms:created xsi:type="dcterms:W3CDTF">2025-06-03T06:29:00Z</dcterms:created>
  <dcterms:modified xsi:type="dcterms:W3CDTF">2025-08-15T08:28:00Z</dcterms:modified>
</cp:coreProperties>
</file>