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59" w:lineRule="auto"/>
        <w:jc w:val="center"/>
      </w:pPr>
      <w:r>
        <w:rPr>
          <w:b/>
        </w:rPr>
        <w:t>ROSA 统一路线图（TODO 合并版）</w:t>
      </w:r>
    </w:p>
    <w:p>
      <w:pPr>
        <w:spacing w:before="0" w:after="160" w:line="259" w:lineRule="auto"/>
        <w:jc w:val="center"/>
      </w:pPr>
      <w:r>
        <w:rPr>
          <w:color w:val="595959"/>
          <w:sz w:val="20"/>
        </w:rPr>
        <w:t>将“研究/架构级 TODO”与“工程落地 TODO”合并为一张统一路线图，保留优先级、风险与实现拆分。</w:t>
      </w:r>
    </w:p>
    <w:p>
      <w:pPr>
        <w:pStyle w:val="Heading1"/>
        <w:spacing w:before="0" w:after="80" w:line="259" w:lineRule="auto"/>
      </w:pPr>
      <w:r>
        <w:t>说明</w:t>
      </w:r>
    </w:p>
    <w:p>
      <w:pPr>
        <w:spacing w:before="0" w:after="40" w:line="259" w:lineRule="auto"/>
        <w:ind w:left="0"/>
      </w:pPr>
      <w:r>
        <w:t>• 这份路线图把前两版文档中的 TODO 合并为一套统一任务体系：前者偏“研究方向与能力演进”，后者偏“模块接口、运行时链路与服务化落地”。</w:t>
      </w:r>
    </w:p>
    <w:p>
      <w:pPr>
        <w:spacing w:before="0" w:after="40" w:line="259" w:lineRule="auto"/>
        <w:ind w:left="0"/>
      </w:pPr>
      <w:r>
        <w:t>• 两者不是相互独立，而是“总纲 → 工程细分”的关系。因此本表采用同一主线，按 P0 / P1 / P2 / P3 分层组织，便于直接纳入项目排期。</w:t>
      </w:r>
    </w:p>
    <w:p>
      <w:pPr>
        <w:pStyle w:val="Heading1"/>
        <w:spacing w:before="160" w:after="100" w:line="259" w:lineRule="auto"/>
      </w:pPr>
      <w:r>
        <w:t>统一路线图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79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sz w:val="18"/>
              </w:rPr>
              <w:t>优先级</w:t>
            </w:r>
          </w:p>
        </w:tc>
        <w:tc>
          <w:tcPr>
            <w:tcW w:type="dxa" w:w="170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sz w:val="18"/>
              </w:rPr>
              <w:t>任务</w:t>
            </w:r>
          </w:p>
        </w:tc>
        <w:tc>
          <w:tcPr>
            <w:tcW w:type="dxa" w:w="1587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sz w:val="18"/>
              </w:rPr>
              <w:t>目标输出</w:t>
            </w:r>
          </w:p>
        </w:tc>
        <w:tc>
          <w:tcPr>
            <w:tcW w:type="dxa" w:w="181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sz w:val="18"/>
              </w:rPr>
              <w:t>完成标准</w:t>
            </w:r>
          </w:p>
        </w:tc>
        <w:tc>
          <w:tcPr>
            <w:tcW w:type="dxa" w:w="170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sz w:val="18"/>
              </w:rPr>
              <w:t>主要风险</w:t>
            </w:r>
          </w:p>
        </w:tc>
        <w:tc>
          <w:tcPr>
            <w:tcW w:type="dxa" w:w="294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sz w:val="18"/>
              </w:rPr>
              <w:t>工程上的细分实现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AF4E3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P0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把 ROSA 从离线/整段检索改成增量在线状态机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一个可在 prefill + decode 中同步调用的 Online ROSA State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prefill(prompt) 后，update_one(token) 能稳定返回 addr / match_len / hit_flag；在线版结果与 reference 版逐 token 对齐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现有实现依赖 Python list 与整段重算，直接搬到 decode 会明显拖慢速度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定义 RosaState；提供 reset / prefill / update_one / snapshot；先保留 token-level exact match；做 reference backend 与 online backend 的一致性测试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AF4E3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P0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抽象地址生成接口，解耦“匹配”和“取值”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Address Engine 模块与统一地址结构 AddressMeta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ROSA 不再把“retrieved token id”直接视为最终 value，而是输出 addr_id、match_len、valid_mask、可选元数据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如果地址与值绑定过死，后续无法平滑接入 per-layer value table 与外存预取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定义 AddressMeta；统一返回 addr_id / raw_match_len / fired_match_len / valid_mask；预留 layer-aware 地址空间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AF4E3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P0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搭建最小在线注入闭环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一版可工作的 Online ROSA Injection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在 decode 场景中每步都能生成地址，并在单个早期层完成残差注入；功能正确且吞吐下降可接受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一开始就引入复杂 value table 与异步调度，排障会非常困难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先沿用共享 embed_tokens 作为 value；只插 1 个早期层；先保留 match_len gate；先不做异步预取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AF4E3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P0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建立性能与正确性基线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profiling 脚本、回归测试集与基线报告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可稳定输出 TTFT、decode tok/s、单步额外延迟、match coverage、fire coverage、平均 match_len，并与 baseline 对照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没有量化基线，后续优化很容易变成“感觉上更快/更准”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单 token 级 profiling；prefill/decode 分开统计；按 batch size / ctx len / memory len 扫描；保留 reference regression set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2CC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P1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引入 per-layer Value Store（借鉴 PLE）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ValueStore(layer_id, addr_batch) -&gt; value_tensor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不同层可以取不同 value，不再只复用词嵌入；逻辑上支持 host memory、mmap 与 cache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如果 value 设计得过于单薄，ROSA 仍然只是“换个 embedding lookup”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V0：共享词嵌入；V1：每层独立 value table；V2：低秩/分块/量化 value table；抽象统一 lookup API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2CC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P1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引入 context-aware gate（借鉴 Engram）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Gate(h_t, value_t, match_len) 以及统计指标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门控替代“只有 match_len 决定强度”；模型能学习何时相信 ROSA、何时抑制冲突记忆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门控过强可能覆盖主干，过弱则效果不明显；训练前期容易不稳定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先做 RMSNorm(Q)·RMSNorm(K) 的 sigmoid gate；match_len 作为先验项加入；记录 avg_gate / gate_coverage / gate_hit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2CC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P1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把在线调度改成“地址先算、值后取”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清晰的 prefill / decode 双路径时序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执行顺序稳定为：更新 ROSA state → 得地址 → 取值 → 在注入层消费；主干层不再直接依赖检索逻辑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地址生成与层执行若仍混在一起，会很难做预取与服务化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前向图里留 injection_hook；把地址生成挪到层外；主干层只消费已准备好的 value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2CC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P1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做异步预取与 staging buffer（借鉴 Engram）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Prefetcher + pinned staging buffer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当前几层执行时，后续注入层所需 value 已提前搬运到位；等待时间明显下降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地址生成太晚、插入层太浅、PCIe/CPU 线程调度不佳，都可能导致延迟无法被隐藏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CPU 侧先算 addr；host 线程异步 gather；pinned memory staging；统计 prefetch hit/miss/wait time；尝试“早层 + 中层”两点插入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2CC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P1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层位扫描与插入策略搜索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层位实验结论与推荐配置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能回答“插 1 层还是 2 层、插哪几层最划算”并给出吞吐/收益平衡点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插得太浅门控不准，插得太深又错过提前卸载局部模式重建的机会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单层 sweep；双层组合 sweep；同时记录精度、吞吐、预取命中率与 gate 质量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2CC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P1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缓存与热点地址管理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Hot Address Cache 机制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高频地址命中率上升，host/外存读取压力下降，延迟尾部更稳定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若地址分布过于发散，缓存收益会有限；cache 复杂度可能反噬主线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统计地址频次分布；实现 LRU/分层缓存；按层单独计数；评估 hit rate 与 tail latency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CE4D6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P2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加入 tokenizer compression / canonicalization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压缩后的离散 token 流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ROSA 可在规范化 token 流上运行，提升模式复现密度并降低地址空间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压缩策略不当可能损伤语义边界，带来误匹配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先做大小写、空白、常见等价形式归一；保留原 token 流对照实验；评估 coverage 与误命中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CE4D6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P2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把 value 从“token value”升级为“memory value”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更强的信息载荷与层内表征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在线取回的不再只是历史 next token，而是适合注入层的 value 向量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若训练信号不稳，可能出现 value 学不起来、仅依赖 gate 或退化为噪声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支持 token-id value、learned table value、hybrid value 三种路线；做同参数量对照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CE4D6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P2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引入轻量后处理：DWConv / tiny MLP / residual adapter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更稳定的 memory fusion 分支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memory value 经轻量处理后再注入，收益稳定且不会明显拉高延迟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附加分支若过重，会抵消“低计算记忆”本来的优势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先做短核 depthwise causal conv；再试 tiny MLP；统一挂在 Injection Hook 后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CE4D6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P2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服务化接入（vLLM / 自研推理栈）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一个可在真实 serving 场景中跑通的 Online ROSA Runtime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支持批处理、prefill/decode 双态、缓存管理与基础监控，能够稳定对外服务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在线引擎与研究代码的执行语义可能不一致，最容易在 batch 合并与缓存管理处出错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抽象 state manager；拆 prefill/decode API；补并发一致性测试；逐步替换为 fused/custom op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DEDED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P3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Latent-code ROSA（内部离散码流）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ROSA 不再运行在原始 token 上，而运行在模型内部学出的离散 code 上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相比原始 token ROSA，latent ROSA 在收益和泛化上有明确增益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这是训练难度最高的一步，离散码学习、STE 或采样策略都可能不稳定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先做小词表 codebook；只在少数层引入；再尝试 Emb(ROSA(Sampling(z_a))) → z_b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DEDED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P3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Bookmark token / conversation anchors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显式对话历史锚点与可检索书签机制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在长对话与检索式聊天中，历史定位质量明显提升，并可与 ROSA 一起工作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书签策略设计不好会污染生成分布或造成过拟合式依赖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定义 bookmark token 语义；只允许特定模式匹配；先在对话数据上做专项实验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DEDED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等线"/>
                <w:b/>
                <w:sz w:val="17"/>
              </w:rPr>
              <w:t>P3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Speculative decode / retrieval-assisted decode</w:t>
            </w:r>
          </w:p>
        </w:tc>
        <w:tc>
          <w:tcPr>
            <w:tcW w:type="dxa" w:w="15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结合 ROSA 的推测式解码实验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在部分重复模式明显的任务上获得实测速度收益，而不是只提升建模能力</w:t>
            </w:r>
          </w:p>
        </w:tc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7"/>
              </w:rPr>
              <w:t>如果命中率不够高，额外分支会增加复杂度却得不到实际加速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等线"/>
                <w:sz w:val="16"/>
              </w:rPr>
              <w:t>先离线统计可推测命中率；再做轻量 candidate path；最终再与 serving runtime 结合</w:t>
            </w:r>
          </w:p>
        </w:tc>
      </w:tr>
    </w:tbl>
    <w:p>
      <w:pPr>
        <w:pStyle w:val="Heading1"/>
        <w:spacing w:before="160" w:after="80" w:line="259" w:lineRule="auto"/>
      </w:pPr>
      <w:r>
        <w:t>使用建议</w:t>
      </w:r>
    </w:p>
    <w:p>
      <w:pPr>
        <w:spacing w:before="0" w:after="30" w:line="259" w:lineRule="auto"/>
      </w:pPr>
      <w:r>
        <w:t>• P0 是主线闭环：如果 P0 没做完，就不建议直接进入复杂 memory value、异步预取或服务化部署。</w:t>
      </w:r>
    </w:p>
    <w:p>
      <w:pPr>
        <w:spacing w:before="0" w:after="30" w:line="259" w:lineRule="auto"/>
      </w:pPr>
      <w:r>
        <w:t>• P1 是“可用到好用”的关键层：PLE 的价值主要体现在 per-layer value store，Engram 的价值主要体现在门控与预取调度。</w:t>
      </w:r>
    </w:p>
    <w:p>
      <w:pPr>
        <w:spacing w:before="0" w:after="30" w:line="259" w:lineRule="auto"/>
      </w:pPr>
      <w:r>
        <w:t>• P2 主要解决“上限不够高”和“系统收益不稳定”的问题。</w:t>
      </w:r>
    </w:p>
    <w:p>
      <w:pPr>
        <w:spacing w:before="0" w:after="30" w:line="259" w:lineRule="auto"/>
      </w:pPr>
      <w:r>
        <w:t>• P3 属于研究上限项，建议在 P0/P1 已稳定后单独拉分支验证。</w:t>
      </w:r>
    </w:p>
    <w:sectPr w:rsidR="00FC693F" w:rsidRPr="0006063C" w:rsidSect="00034616">
      <w:pgSz w:w="16838" w:h="11906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等线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444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