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1E40AF"/>
          <w:sz w:val="56"/>
          <w:szCs w:val="56"/>
        </w:rPr>
        <w:t xml:space="preserve">CloudSourceHRM v1.3</w:t>
      </w:r>
    </w:p>
    <w:p>
      <w:pPr>
        <w:spacing w:after="80" w:before="0"/>
      </w:pPr>
      <w:r>
        <w:rPr>
          <w:rFonts w:ascii="Arial" w:cs="Arial" w:eastAsia="Arial" w:hAnsi="Arial"/>
          <w:color w:val="475569"/>
          <w:sz w:val="28"/>
          <w:szCs w:val="28"/>
        </w:rPr>
        <w:t xml:space="preserve">Platform Understanding, Architecture Review &amp; Pre-Development Alignment</w:t>
      </w:r>
    </w:p>
    <w:p>
      <w:pPr>
        <w:spacing w:after="480" w:before="0"/>
      </w:pPr>
      <w:r>
        <w:rPr>
          <w:rFonts w:ascii="Arial" w:cs="Arial" w:eastAsia="Arial" w:hAnsi="Arial"/>
          <w:i/>
          <w:iCs/>
          <w:color w:val="475569"/>
          <w:sz w:val="22"/>
          <w:szCs w:val="22"/>
        </w:rPr>
        <w:t xml:space="preserve">Prepared by Claude — SHIRO Technologies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Product</w:t>
            </w:r>
          </w:p>
        </w:tc>
        <w:tc>
          <w:tcPr>
            <w:tcW w:type="dxa" w:w="65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CloudSourceHRM — SaaS HRM Platform</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Platform Understanding &amp; Pre-Development Review</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Source Document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CloudSourceHRM_ProjectPlan_v1.3.docx</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April 2026</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Prepared By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Claude (AI Analysis) for SHIRO Technologies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Awaiting Confirmation Before Development Begins</w:t>
            </w:r>
          </w:p>
        </w:tc>
      </w:tr>
    </w:tbl>
    <w:p>
      <w:pPr>
        <w:spacing w:after="80" w:before="80"/>
      </w:pPr>
      <w:r>
        <w:t xml:space="preserve"/>
      </w:r>
    </w:p>
    <w:p>
      <w:r>
        <w:br w:type="page"/>
      </w:r>
    </w:p>
    <w:p>
      <w:pPr>
        <w:pStyle w:val="Heading1"/>
        <w:spacing w:after="160" w:before="360"/>
      </w:pPr>
      <w:r>
        <w:rPr>
          <w:rFonts w:ascii="Arial" w:cs="Arial" w:eastAsia="Arial" w:hAnsi="Arial"/>
          <w:b/>
          <w:bCs/>
          <w:color w:val="1E40AF"/>
          <w:sz w:val="28"/>
          <w:szCs w:val="28"/>
        </w:rPr>
        <w:t xml:space="preserve">1. Three User Types</w:t>
      </w:r>
    </w:p>
    <w:p>
      <w:pPr>
        <w:spacing w:after="100" w:before="60"/>
      </w:pPr>
      <w:r>
        <w:rPr>
          <w:rFonts w:ascii="Arial" w:cs="Arial" w:eastAsia="Arial" w:hAnsi="Arial"/>
          <w:color w:val="1E293B"/>
          <w:sz w:val="22"/>
          <w:szCs w:val="22"/>
        </w:rPr>
        <w:t xml:space="preserve">CloudSourceHRM defines user types through two fields on the users table: role ('user' | 'admin') and tier ('free' | 'standard'). Together these produce three distinct user profiles.</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1.1 Admin — SHIRO Technologies Team</w:t>
      </w:r>
    </w:p>
    <w:p>
      <w:pPr>
        <w:spacing w:after="100" w:before="60"/>
      </w:pPr>
      <w:r>
        <w:rPr>
          <w:rFonts w:ascii="Arial" w:cs="Arial" w:eastAsia="Arial" w:hAnsi="Arial"/>
          <w:b/>
          <w:bCs/>
          <w:color w:val="1E293B"/>
          <w:sz w:val="22"/>
          <w:szCs w:val="22"/>
        </w:rPr>
        <w:t xml:space="preserve">Role: </w:t>
      </w:r>
      <w:r>
        <w:rPr>
          <w:rFonts w:ascii="Arial" w:cs="Arial" w:eastAsia="Arial" w:hAnsi="Arial"/>
          <w:color w:val="1E293B"/>
          <w:sz w:val="22"/>
          <w:szCs w:val="22"/>
        </w:rPr>
        <w:t xml:space="preserve">admin | Tier: N/A | Cost: Internal</w:t>
      </w:r>
    </w:p>
    <w:p>
      <w:pPr>
        <w:spacing w:after="80" w:before="80"/>
      </w:pPr>
      <w:r>
        <w:t xml:space="preserve"/>
      </w:r>
    </w:p>
    <w:p>
      <w:pPr>
        <w:spacing w:after="100" w:before="60"/>
      </w:pPr>
      <w:r>
        <w:rPr>
          <w:rFonts w:ascii="Arial" w:cs="Arial" w:eastAsia="Arial" w:hAnsi="Arial"/>
          <w:color w:val="1E293B"/>
          <w:sz w:val="22"/>
          <w:szCs w:val="22"/>
        </w:rPr>
        <w:t xml:space="preserve">Admins are members of the SHIRO Technologies team. There is no self-serve admin registration path — admin accounts are created manually directly in the database. Admins operate a completely separate surface of the platform through a gated Admin Panel.</w:t>
      </w:r>
    </w:p>
    <w:p>
      <w:pPr>
        <w:spacing w:after="80" w:before="80"/>
      </w:pPr>
      <w:r>
        <w:t xml:space="preserve"/>
      </w:r>
    </w:p>
    <w:p>
      <w:pPr>
        <w:spacing w:after="100" w:before="60"/>
      </w:pPr>
      <w:r>
        <w:rPr>
          <w:rFonts w:ascii="Arial" w:cs="Arial" w:eastAsia="Arial" w:hAnsi="Arial"/>
          <w:color w:val="1E293B"/>
          <w:sz w:val="22"/>
          <w:szCs w:val="22"/>
        </w:rPr>
        <w:t xml:space="preserve">Admin-exclusive capabilities:</w:t>
      </w:r>
    </w:p>
    <w:p>
      <w:pPr>
        <w:pStyle w:val="ListParagraph"/>
        <w:numPr>
          <w:ilvl w:val="0"/>
          <w:numId w:val="2"/>
        </w:numPr>
        <w:spacing w:after="60" w:before="40"/>
      </w:pPr>
      <w:r>
        <w:rPr>
          <w:rFonts w:ascii="Arial" w:cs="Arial" w:eastAsia="Arial" w:hAnsi="Arial"/>
          <w:color w:val="1E293B"/>
          <w:sz w:val="22"/>
          <w:szCs w:val="22"/>
        </w:rPr>
        <w:t xml:space="preserve">Review and approve or reject leads submitted via both public landing pages (employer_leads and candidate_leads tables)</w:t>
      </w:r>
    </w:p>
    <w:p>
      <w:pPr>
        <w:pStyle w:val="ListParagraph"/>
        <w:numPr>
          <w:ilvl w:val="0"/>
          <w:numId w:val="2"/>
        </w:numPr>
        <w:spacing w:after="60" w:before="40"/>
      </w:pPr>
      <w:r>
        <w:rPr>
          <w:rFonts w:ascii="Arial" w:cs="Arial" w:eastAsia="Arial" w:hAnsi="Arial"/>
          <w:color w:val="1E293B"/>
          <w:sz w:val="22"/>
          <w:szCs w:val="22"/>
        </w:rPr>
        <w:t xml:space="preserve">Trigger migration of approved leads into the main contacts table</w:t>
      </w:r>
    </w:p>
    <w:p>
      <w:pPr>
        <w:pStyle w:val="ListParagraph"/>
        <w:numPr>
          <w:ilvl w:val="0"/>
          <w:numId w:val="2"/>
        </w:numPr>
        <w:spacing w:after="60" w:before="40"/>
      </w:pPr>
      <w:r>
        <w:rPr>
          <w:rFonts w:ascii="Arial" w:cs="Arial" w:eastAsia="Arial" w:hAnsi="Arial"/>
          <w:color w:val="1E293B"/>
          <w:sz w:val="22"/>
          <w:szCs w:val="22"/>
        </w:rPr>
        <w:t xml:space="preserve">Approve or reject CSV import batches uploaded by Standard users — approved batches are bulk-inserted into employer_contacts</w:t>
      </w:r>
    </w:p>
    <w:p>
      <w:pPr>
        <w:pStyle w:val="ListParagraph"/>
        <w:numPr>
          <w:ilvl w:val="0"/>
          <w:numId w:val="2"/>
        </w:numPr>
        <w:spacing w:after="60" w:before="40"/>
      </w:pPr>
      <w:r>
        <w:rPr>
          <w:rFonts w:ascii="Arial" w:cs="Arial" w:eastAsia="Arial" w:hAnsi="Arial"/>
          <w:color w:val="1E293B"/>
          <w:sz w:val="22"/>
          <w:szCs w:val="22"/>
        </w:rPr>
        <w:t xml:space="preserve">Export all platform contacts as CSV (Standard users cannot do this)</w:t>
      </w:r>
    </w:p>
    <w:p>
      <w:pPr>
        <w:pStyle w:val="ListParagraph"/>
        <w:numPr>
          <w:ilvl w:val="0"/>
          <w:numId w:val="2"/>
        </w:numPr>
        <w:spacing w:after="60" w:before="40"/>
      </w:pPr>
      <w:r>
        <w:rPr>
          <w:rFonts w:ascii="Arial" w:cs="Arial" w:eastAsia="Arial" w:hAnsi="Arial"/>
          <w:color w:val="1E293B"/>
          <w:sz w:val="22"/>
          <w:szCs w:val="22"/>
        </w:rPr>
        <w:t xml:space="preserve">View open-rate data and spam complaint metrics — hidden from all other users</w:t>
      </w:r>
    </w:p>
    <w:p>
      <w:pPr>
        <w:pStyle w:val="ListParagraph"/>
        <w:numPr>
          <w:ilvl w:val="0"/>
          <w:numId w:val="2"/>
        </w:numPr>
        <w:spacing w:after="60" w:before="40"/>
      </w:pPr>
      <w:r>
        <w:rPr>
          <w:rFonts w:ascii="Arial" w:cs="Arial" w:eastAsia="Arial" w:hAnsi="Arial"/>
          <w:color w:val="1E293B"/>
          <w:sz w:val="22"/>
          <w:szCs w:val="22"/>
        </w:rPr>
        <w:t xml:space="preserve">Reactivate individual contacts that have been set to inactive due to bounces</w:t>
      </w:r>
    </w:p>
    <w:p>
      <w:pPr>
        <w:pStyle w:val="ListParagraph"/>
        <w:numPr>
          <w:ilvl w:val="0"/>
          <w:numId w:val="2"/>
        </w:numPr>
        <w:spacing w:after="60" w:before="40"/>
      </w:pPr>
      <w:r>
        <w:rPr>
          <w:rFonts w:ascii="Arial" w:cs="Arial" w:eastAsia="Arial" w:hAnsi="Arial"/>
          <w:color w:val="1E293B"/>
          <w:sz w:val="22"/>
          <w:szCs w:val="22"/>
        </w:rPr>
        <w:t xml:space="preserve">Manage all user accounts, credit balances, and subscription states</w:t>
      </w:r>
    </w:p>
    <w:p>
      <w:pPr>
        <w:pStyle w:val="ListParagraph"/>
        <w:numPr>
          <w:ilvl w:val="0"/>
          <w:numId w:val="2"/>
        </w:numPr>
        <w:spacing w:after="60" w:before="40"/>
      </w:pPr>
      <w:r>
        <w:rPr>
          <w:rFonts w:ascii="Arial" w:cs="Arial" w:eastAsia="Arial" w:hAnsi="Arial"/>
          <w:color w:val="1E293B"/>
          <w:sz w:val="22"/>
          <w:szCs w:val="22"/>
        </w:rPr>
        <w:t xml:space="preserve">Monitor pg-boss queue health and email dispatch status</w:t>
      </w:r>
    </w:p>
    <w:p>
      <w:pPr>
        <w:pStyle w:val="ListParagraph"/>
        <w:numPr>
          <w:ilvl w:val="0"/>
          <w:numId w:val="2"/>
        </w:numPr>
        <w:spacing w:after="60" w:before="40"/>
      </w:pPr>
      <w:r>
        <w:rPr>
          <w:rFonts w:ascii="Arial" w:cs="Arial" w:eastAsia="Arial" w:hAnsi="Arial"/>
          <w:color w:val="1E293B"/>
          <w:sz w:val="22"/>
          <w:szCs w:val="22"/>
        </w:rPr>
        <w:t xml:space="preserve">Receive a daily digest email via Resend listing new pending leads requiring review</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1.2 Standard User — Recruiter / Employer Subscriber</w:t>
      </w:r>
    </w:p>
    <w:p>
      <w:pPr>
        <w:spacing w:after="100" w:before="60"/>
      </w:pPr>
      <w:r>
        <w:rPr>
          <w:rFonts w:ascii="Arial" w:cs="Arial" w:eastAsia="Arial" w:hAnsi="Arial"/>
          <w:b/>
          <w:bCs/>
          <w:color w:val="1E293B"/>
          <w:sz w:val="22"/>
          <w:szCs w:val="22"/>
        </w:rPr>
        <w:t xml:space="preserve">Role: </w:t>
      </w:r>
      <w:r>
        <w:rPr>
          <w:rFonts w:ascii="Arial" w:cs="Arial" w:eastAsia="Arial" w:hAnsi="Arial"/>
          <w:color w:val="1E293B"/>
          <w:sz w:val="22"/>
          <w:szCs w:val="22"/>
        </w:rPr>
        <w:t xml:space="preserve">user | Tier: standard | Cost: $95/month per account</w:t>
      </w:r>
    </w:p>
    <w:p>
      <w:pPr>
        <w:spacing w:after="80" w:before="80"/>
      </w:pPr>
      <w:r>
        <w:t xml:space="preserve"/>
      </w:r>
    </w:p>
    <w:p>
      <w:pPr>
        <w:spacing w:after="100" w:before="60"/>
      </w:pPr>
      <w:r>
        <w:rPr>
          <w:rFonts w:ascii="Arial" w:cs="Arial" w:eastAsia="Arial" w:hAnsi="Arial"/>
          <w:color w:val="1E293B"/>
          <w:sz w:val="22"/>
          <w:szCs w:val="22"/>
        </w:rPr>
        <w:t xml:space="preserve">This is the primary paying customer — typically a recruiter, staffing agency, or corporate HR team. Each Standard account is tied to exactly one sending email address, which is the fundamental billing unit. A company requiring two sending addresses must hold two Standard subscriptions.</w:t>
      </w:r>
    </w:p>
    <w:p>
      <w:pPr>
        <w:spacing w:after="80" w:before="80"/>
      </w:pPr>
      <w:r>
        <w:t xml:space="preserve"/>
      </w:r>
    </w:p>
    <w:p>
      <w:pPr>
        <w:spacing w:after="100" w:before="60"/>
      </w:pPr>
      <w:r>
        <w:rPr>
          <w:rFonts w:ascii="Arial" w:cs="Arial" w:eastAsia="Arial" w:hAnsi="Arial"/>
          <w:color w:val="1E293B"/>
          <w:sz w:val="22"/>
          <w:szCs w:val="22"/>
        </w:rPr>
        <w:t xml:space="preserve">Standard user capabilities:</w:t>
      </w:r>
    </w:p>
    <w:p>
      <w:pPr>
        <w:pStyle w:val="ListParagraph"/>
        <w:numPr>
          <w:ilvl w:val="0"/>
          <w:numId w:val="2"/>
        </w:numPr>
        <w:spacing w:after="60" w:before="40"/>
      </w:pPr>
      <w:r>
        <w:rPr>
          <w:rFonts w:ascii="Arial" w:cs="Arial" w:eastAsia="Arial" w:hAnsi="Arial"/>
          <w:color w:val="1E293B"/>
          <w:sz w:val="22"/>
          <w:szCs w:val="22"/>
        </w:rPr>
        <w:t xml:space="preserve">Create and launch email campaigns targeting employer contacts, candidate contacts, or a specific hotlist</w:t>
      </w:r>
    </w:p>
    <w:p>
      <w:pPr>
        <w:pStyle w:val="ListParagraph"/>
        <w:numPr>
          <w:ilvl w:val="0"/>
          <w:numId w:val="2"/>
        </w:numPr>
        <w:spacing w:after="60" w:before="40"/>
      </w:pPr>
      <w:r>
        <w:rPr>
          <w:rFonts w:ascii="Arial" w:cs="Arial" w:eastAsia="Arial" w:hAnsi="Arial"/>
          <w:color w:val="1E293B"/>
          <w:sz w:val="22"/>
          <w:szCs w:val="22"/>
        </w:rPr>
        <w:t xml:space="preserve">Generate hotlists via Excel upload, manual form entry, or copy-paste — with name normalisation and live HTML table preview</w:t>
      </w:r>
    </w:p>
    <w:p>
      <w:pPr>
        <w:pStyle w:val="ListParagraph"/>
        <w:numPr>
          <w:ilvl w:val="0"/>
          <w:numId w:val="2"/>
        </w:numPr>
        <w:spacing w:after="60" w:before="40"/>
      </w:pPr>
      <w:r>
        <w:rPr>
          <w:rFonts w:ascii="Arial" w:cs="Arial" w:eastAsia="Arial" w:hAnsi="Arial"/>
          <w:color w:val="1E293B"/>
          <w:sz w:val="22"/>
          <w:szCs w:val="22"/>
        </w:rPr>
        <w:t xml:space="preserve">Maintain a private employer contacts database (employer_contacts), isolated from other accounts</w:t>
      </w:r>
    </w:p>
    <w:p>
      <w:pPr>
        <w:pStyle w:val="ListParagraph"/>
        <w:numPr>
          <w:ilvl w:val="0"/>
          <w:numId w:val="2"/>
        </w:numPr>
        <w:spacing w:after="60" w:before="40"/>
      </w:pPr>
      <w:r>
        <w:rPr>
          <w:rFonts w:ascii="Arial" w:cs="Arial" w:eastAsia="Arial" w:hAnsi="Arial"/>
          <w:color w:val="1E293B"/>
          <w:sz w:val="22"/>
          <w:szCs w:val="22"/>
        </w:rPr>
        <w:t xml:space="preserve">Upload contacts via CSV — staged for admin approval before insertion into their private database</w:t>
      </w:r>
    </w:p>
    <w:p>
      <w:pPr>
        <w:pStyle w:val="ListParagraph"/>
        <w:numPr>
          <w:ilvl w:val="0"/>
          <w:numId w:val="2"/>
        </w:numPr>
        <w:spacing w:after="60" w:before="40"/>
      </w:pPr>
      <w:r>
        <w:rPr>
          <w:rFonts w:ascii="Arial" w:cs="Arial" w:eastAsia="Arial" w:hAnsi="Arial"/>
          <w:color w:val="1E293B"/>
          <w:sz w:val="22"/>
          <w:szCs w:val="22"/>
        </w:rPr>
        <w:t xml:space="preserve">Target both platform-wide contacts and their own private contacts in a single campaign send, with automatic email deduplication</w:t>
      </w:r>
    </w:p>
    <w:p>
      <w:pPr>
        <w:pStyle w:val="ListParagraph"/>
        <w:numPr>
          <w:ilvl w:val="0"/>
          <w:numId w:val="2"/>
        </w:numPr>
        <w:spacing w:after="60" w:before="40"/>
      </w:pPr>
      <w:r>
        <w:rPr>
          <w:rFonts w:ascii="Arial" w:cs="Arial" w:eastAsia="Arial" w:hAnsi="Arial"/>
          <w:color w:val="1E293B"/>
          <w:sz w:val="22"/>
          <w:szCs w:val="22"/>
        </w:rPr>
        <w:t xml:space="preserve">View email delivery logs (Sent, Delivered, Bounced, Unsubscribed) for their own campaigns</w:t>
      </w:r>
    </w:p>
    <w:p>
      <w:pPr>
        <w:pStyle w:val="ListParagraph"/>
        <w:numPr>
          <w:ilvl w:val="0"/>
          <w:numId w:val="2"/>
        </w:numPr>
        <w:spacing w:after="60" w:before="40"/>
      </w:pPr>
      <w:r>
        <w:rPr>
          <w:rFonts w:ascii="Arial" w:cs="Arial" w:eastAsia="Arial" w:hAnsi="Arial"/>
          <w:color w:val="1E293B"/>
          <w:sz w:val="22"/>
          <w:szCs w:val="22"/>
        </w:rPr>
        <w:t xml:space="preserve">Browse the CHRMNEXUS job board — view only by default; Apply requires the paid CHRMNEXUS add-on</w:t>
      </w:r>
    </w:p>
    <w:p>
      <w:pPr>
        <w:pStyle w:val="ListParagraph"/>
        <w:numPr>
          <w:ilvl w:val="0"/>
          <w:numId w:val="2"/>
        </w:numPr>
        <w:spacing w:after="60" w:before="40"/>
      </w:pPr>
      <w:r>
        <w:rPr>
          <w:rFonts w:ascii="Arial" w:cs="Arial" w:eastAsia="Arial" w:hAnsi="Arial"/>
          <w:color w:val="1E293B"/>
          <w:sz w:val="22"/>
          <w:szCs w:val="22"/>
        </w:rPr>
        <w:t xml:space="preserve">Purchase overage email credits via Stripe when daily limits are reached</w:t>
      </w:r>
    </w:p>
    <w:p>
      <w:pPr>
        <w:pStyle w:val="ListParagraph"/>
        <w:numPr>
          <w:ilvl w:val="0"/>
          <w:numId w:val="2"/>
        </w:numPr>
        <w:spacing w:after="60" w:before="40"/>
      </w:pPr>
      <w:r>
        <w:rPr>
          <w:rFonts w:ascii="Arial" w:cs="Arial" w:eastAsia="Arial" w:hAnsi="Arial"/>
          <w:color w:val="1E293B"/>
          <w:sz w:val="22"/>
          <w:szCs w:val="22"/>
        </w:rPr>
        <w:t xml:space="preserve">Configure a reply_to_email address so campaign and hotlist replies route to their own inbox</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1.3 Free User</w:t>
      </w:r>
    </w:p>
    <w:p>
      <w:pPr>
        <w:spacing w:after="100" w:before="60"/>
      </w:pPr>
      <w:r>
        <w:rPr>
          <w:rFonts w:ascii="Arial" w:cs="Arial" w:eastAsia="Arial" w:hAnsi="Arial"/>
          <w:b/>
          <w:bCs/>
          <w:color w:val="1E293B"/>
          <w:sz w:val="22"/>
          <w:szCs w:val="22"/>
        </w:rPr>
        <w:t xml:space="preserve">Role: </w:t>
      </w:r>
      <w:r>
        <w:rPr>
          <w:rFonts w:ascii="Arial" w:cs="Arial" w:eastAsia="Arial" w:hAnsi="Arial"/>
          <w:color w:val="1E293B"/>
          <w:sz w:val="22"/>
          <w:szCs w:val="22"/>
        </w:rPr>
        <w:t xml:space="preserve">user | Tier: free | Cost: Free forever</w:t>
      </w:r>
    </w:p>
    <w:p>
      <w:pPr>
        <w:spacing w:after="80" w:before="80"/>
      </w:pPr>
      <w:r>
        <w:t xml:space="preserve"/>
      </w:r>
    </w:p>
    <w:p>
      <w:pPr>
        <w:spacing w:after="100" w:before="60"/>
      </w:pPr>
      <w:r>
        <w:rPr>
          <w:rFonts w:ascii="Arial" w:cs="Arial" w:eastAsia="Arial" w:hAnsi="Arial"/>
          <w:color w:val="1E293B"/>
          <w:sz w:val="22"/>
          <w:szCs w:val="22"/>
        </w:rPr>
        <w:t xml:space="preserve">Free users have significant restrictions designed to make the tier functional as a trial and lead-generation mechanism rather than a production 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Free Tier</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Standard Tier</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Monthly Price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Free forever</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$95 / account / month</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Emails per day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3</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10 (configurable by admin)</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Campaigns per day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1</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10</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Hotlist generation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Excel, form, copy-paste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Hotlists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1 hotlist (50 contacts)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Unlimited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Contact records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Up to 100</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Unlimited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Private employer contacts DB</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Available (per account)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CSV import</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Available — admin approval required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Overage credits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Purchase on-demand via Stripe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CHRMNEXUS job board</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View only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View only + Apply add-on ($X/mo)</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Open-rate visibility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Admin only</w:t>
            </w:r>
          </w:p>
        </w:tc>
      </w:tr>
    </w:tbl>
    <w:p>
      <w:pPr>
        <w:spacing w:after="80" w:before="80"/>
      </w:pPr>
      <w:r>
        <w:t xml:space="preserve"/>
      </w:r>
    </w:p>
    <w:p>
      <w:r>
        <w:br w:type="page"/>
      </w:r>
    </w:p>
    <w:p>
      <w:pPr>
        <w:pStyle w:val="Heading1"/>
        <w:spacing w:after="160" w:before="360"/>
      </w:pPr>
      <w:r>
        <w:rPr>
          <w:rFonts w:ascii="Arial" w:cs="Arial" w:eastAsia="Arial" w:hAnsi="Arial"/>
          <w:b/>
          <w:bCs/>
          <w:color w:val="1E40AF"/>
          <w:sz w:val="28"/>
          <w:szCs w:val="28"/>
        </w:rPr>
        <w:t xml:space="preserve">2. The Employer User Account — Two-Account Model</w:t>
      </w:r>
    </w:p>
    <w:p>
      <w:pPr>
        <w:spacing w:after="100" w:before="60"/>
      </w:pPr>
      <w:r>
        <w:rPr>
          <w:rFonts w:ascii="Arial" w:cs="Arial" w:eastAsia="Arial" w:hAnsi="Arial"/>
          <w:color w:val="1E293B"/>
          <w:sz w:val="22"/>
          <w:szCs w:val="22"/>
        </w:rPr>
        <w:t xml:space="preserve">This is one of the most important design decisions in v1.3. The ‘Employer User Account’ is not a separate user role or database concept. It refers to how a single company may operate two independent Standard-tier CloudSourceHRM accounts for two distinct sending purposes.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1E40AF"/>
                <w:sz w:val="18"/>
                <w:szCs w:val="18"/>
              </w:rPr>
              <w:t xml:space="preserve">NOTE</w:t>
            </w:r>
          </w:p>
          <w:p>
            <w:pPr>
              <w:spacing w:after="0" w:before="0"/>
            </w:pPr>
            <w:r>
              <w:rPr>
                <w:rFonts w:ascii="Arial" w:cs="Arial" w:eastAsia="Arial" w:hAnsi="Arial"/>
                <w:color w:val="1E293B"/>
                <w:sz w:val="20"/>
                <w:szCs w:val="20"/>
              </w:rPr>
              <w:t xml:space="preserve">The billing unit in CloudSourceHRM is the email address, not the company. A company requiring two sending addresses holds two separate subscriptions, each billed at $95/month.</w:t>
            </w:r>
          </w:p>
        </w:tc>
      </w:tr>
    </w:tbl>
    <w:p>
      <w:pPr>
        <w:spacing w:after="80" w:before="80"/>
      </w:pPr>
      <w:r>
        <w:t xml:space="preserve"/>
      </w:r>
    </w:p>
    <w:p>
      <w:pPr>
        <w:pStyle w:val="Heading2"/>
        <w:spacing w:after="120" w:before="280"/>
      </w:pPr>
      <w:r>
        <w:rPr>
          <w:rFonts w:ascii="Arial" w:cs="Arial" w:eastAsia="Arial" w:hAnsi="Arial"/>
          <w:b/>
          <w:bCs/>
          <w:color w:val="1E293B"/>
          <w:sz w:val="24"/>
          <w:szCs w:val="24"/>
        </w:rPr>
        <w:t xml:space="preserve">2.1 Why Two Accounts?</w:t>
      </w:r>
    </w:p>
    <w:p>
      <w:pPr>
        <w:spacing w:after="100" w:before="60"/>
      </w:pPr>
      <w:r>
        <w:rPr>
          <w:rFonts w:ascii="Arial" w:cs="Arial" w:eastAsia="Arial" w:hAnsi="Arial"/>
          <w:color w:val="1E293B"/>
          <w:sz w:val="22"/>
          <w:szCs w:val="22"/>
        </w:rPr>
        <w:t xml:space="preserve">A typical staffing agency sends two fundamentally different types of outreach from two different email addresses: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40"/>
        <w:gridCol w:w="4720"/>
      </w:tblGrid>
      <w:tr>
        <w:tc>
          <w:tcPr>
            <w:tcW w:type="dxa" w:w="1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Account</w:t>
            </w:r>
          </w:p>
        </w:tc>
        <w:tc>
          <w:tcPr>
            <w:tcW w:type="dxa" w:w="304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Sending Address</w:t>
            </w:r>
          </w:p>
        </w:tc>
        <w:tc>
          <w:tcPr>
            <w:tcW w:type="dxa" w:w="47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Account 1</w:t>
            </w:r>
          </w:p>
        </w:tc>
        <w:tc>
          <w:tcPr>
            <w:tcW w:type="dxa" w:w="30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hotlist@acmestaffing.com</w:t>
            </w:r>
          </w:p>
        </w:tc>
        <w:tc>
          <w:tcPr>
            <w:tcW w:type="dxa" w:w="47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Send weekly candidate hotlists to client employers (companies that hire)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Account 2</w:t>
            </w:r>
          </w:p>
        </w:tc>
        <w:tc>
          <w:tcPr>
            <w:tcW w:type="dxa" w:w="30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jobs@acmestaffing.com</w:t>
            </w:r>
          </w:p>
        </w:tc>
        <w:tc>
          <w:tcPr>
            <w:tcW w:type="dxa" w:w="47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Send job requirement campaigns to candidate database (job seekers)</w:t>
            </w:r>
          </w:p>
        </w:tc>
      </w:tr>
    </w:tbl>
    <w:p>
      <w:pPr>
        <w:spacing w:after="80" w:before="80"/>
      </w:pPr>
      <w:r>
        <w:t xml:space="preserve"/>
      </w:r>
    </w:p>
    <w:p>
      <w:pPr>
        <w:spacing w:after="100" w:before="60"/>
      </w:pPr>
      <w:r>
        <w:rPr>
          <w:rFonts w:ascii="Arial" w:cs="Arial" w:eastAsia="Arial" w:hAnsi="Arial"/>
          <w:color w:val="1E293B"/>
          <w:sz w:val="22"/>
          <w:szCs w:val="22"/>
        </w:rPr>
        <w:t xml:space="preserve">Both accounts can share the same company_name value (e.g., 'Acme Staffing Inc.'). They are otherwise completely isolated: separate contact databases, separate hotlists, separate campaigns, separate usage counters, and separate Stripe billing.</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2.2 What Is Isolated Per Account</w:t>
      </w:r>
    </w:p>
    <w:p>
      <w:pPr>
        <w:pStyle w:val="ListParagraph"/>
        <w:numPr>
          <w:ilvl w:val="0"/>
          <w:numId w:val="2"/>
        </w:numPr>
        <w:spacing w:after="60" w:before="40"/>
      </w:pPr>
      <w:r>
        <w:rPr>
          <w:rFonts w:ascii="Arial" w:cs="Arial" w:eastAsia="Arial" w:hAnsi="Arial"/>
          <w:color w:val="1E293B"/>
          <w:sz w:val="22"/>
          <w:szCs w:val="22"/>
        </w:rPr>
        <w:t xml:space="preserve">contacts targeting (each account queries platform contacts + its own employer_contacts)</w:t>
      </w:r>
    </w:p>
    <w:p>
      <w:pPr>
        <w:pStyle w:val="ListParagraph"/>
        <w:numPr>
          <w:ilvl w:val="0"/>
          <w:numId w:val="2"/>
        </w:numPr>
        <w:spacing w:after="60" w:before="40"/>
      </w:pPr>
      <w:r>
        <w:rPr>
          <w:rFonts w:ascii="Arial" w:cs="Arial" w:eastAsia="Arial" w:hAnsi="Arial"/>
          <w:color w:val="1E293B"/>
          <w:sz w:val="22"/>
          <w:szCs w:val="22"/>
        </w:rPr>
        <w:t xml:space="preserve">employer_contacts table — private, scoped by user_id, never visible to other accounts</w:t>
      </w:r>
    </w:p>
    <w:p>
      <w:pPr>
        <w:pStyle w:val="ListParagraph"/>
        <w:numPr>
          <w:ilvl w:val="0"/>
          <w:numId w:val="2"/>
        </w:numPr>
        <w:spacing w:after="60" w:before="40"/>
      </w:pPr>
      <w:r>
        <w:rPr>
          <w:rFonts w:ascii="Arial" w:cs="Arial" w:eastAsia="Arial" w:hAnsi="Arial"/>
          <w:color w:val="1E293B"/>
          <w:sz w:val="22"/>
          <w:szCs w:val="22"/>
        </w:rPr>
        <w:t xml:space="preserve">hotlists and hotlist_entries</w:t>
      </w:r>
    </w:p>
    <w:p>
      <w:pPr>
        <w:pStyle w:val="ListParagraph"/>
        <w:numPr>
          <w:ilvl w:val="0"/>
          <w:numId w:val="2"/>
        </w:numPr>
        <w:spacing w:after="60" w:before="40"/>
      </w:pPr>
      <w:r>
        <w:rPr>
          <w:rFonts w:ascii="Arial" w:cs="Arial" w:eastAsia="Arial" w:hAnsi="Arial"/>
          <w:color w:val="1E293B"/>
          <w:sz w:val="22"/>
          <w:szCs w:val="22"/>
        </w:rPr>
        <w:t xml:space="preserve">campaigns and campaign email logs</w:t>
      </w:r>
    </w:p>
    <w:p>
      <w:pPr>
        <w:pStyle w:val="ListParagraph"/>
        <w:numPr>
          <w:ilvl w:val="0"/>
          <w:numId w:val="2"/>
        </w:numPr>
        <w:spacing w:after="60" w:before="40"/>
      </w:pPr>
      <w:r>
        <w:rPr>
          <w:rFonts w:ascii="Arial" w:cs="Arial" w:eastAsia="Arial" w:hAnsi="Arial"/>
          <w:color w:val="1E293B"/>
          <w:sz w:val="22"/>
          <w:szCs w:val="22"/>
        </w:rPr>
        <w:t xml:space="preserve">usage_counters (daily email and campaign counts)</w:t>
      </w:r>
    </w:p>
    <w:p>
      <w:pPr>
        <w:pStyle w:val="ListParagraph"/>
        <w:numPr>
          <w:ilvl w:val="0"/>
          <w:numId w:val="2"/>
        </w:numPr>
        <w:spacing w:after="60" w:before="40"/>
      </w:pPr>
      <w:r>
        <w:rPr>
          <w:rFonts w:ascii="Arial" w:cs="Arial" w:eastAsia="Arial" w:hAnsi="Arial"/>
          <w:color w:val="1E293B"/>
          <w:sz w:val="22"/>
          <w:szCs w:val="22"/>
        </w:rPr>
        <w:t xml:space="preserve">csv_import_batches and the contacts they produce</w:t>
      </w:r>
    </w:p>
    <w:p>
      <w:pPr>
        <w:pStyle w:val="ListParagraph"/>
        <w:numPr>
          <w:ilvl w:val="0"/>
          <w:numId w:val="2"/>
        </w:numPr>
        <w:spacing w:after="60" w:before="40"/>
      </w:pPr>
      <w:r>
        <w:rPr>
          <w:rFonts w:ascii="Arial" w:cs="Arial" w:eastAsia="Arial" w:hAnsi="Arial"/>
          <w:color w:val="1E293B"/>
          <w:sz w:val="22"/>
          <w:szCs w:val="22"/>
        </w:rPr>
        <w:t xml:space="preserve">Stripe subscription and credit balance</w:t>
      </w:r>
    </w:p>
    <w:p>
      <w:pPr>
        <w:pStyle w:val="ListParagraph"/>
        <w:numPr>
          <w:ilvl w:val="0"/>
          <w:numId w:val="2"/>
        </w:numPr>
        <w:spacing w:after="60" w:before="40"/>
      </w:pPr>
      <w:r>
        <w:rPr>
          <w:rFonts w:ascii="Arial" w:cs="Arial" w:eastAsia="Arial" w:hAnsi="Arial"/>
          <w:color w:val="1E293B"/>
          <w:sz w:val="22"/>
          <w:szCs w:val="22"/>
        </w:rPr>
        <w:t xml:space="preserve">CHRMNEXUS add-on subscription (per account)</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2.3 What Is Shared Across All Accounts</w:t>
      </w:r>
    </w:p>
    <w:p>
      <w:pPr>
        <w:pStyle w:val="ListParagraph"/>
        <w:numPr>
          <w:ilvl w:val="0"/>
          <w:numId w:val="2"/>
        </w:numPr>
        <w:spacing w:after="60" w:before="40"/>
      </w:pPr>
      <w:r>
        <w:rPr>
          <w:rFonts w:ascii="Arial" w:cs="Arial" w:eastAsia="Arial" w:hAnsi="Arial"/>
          <w:color w:val="1E293B"/>
          <w:sz w:val="22"/>
          <w:szCs w:val="22"/>
        </w:rPr>
        <w:t xml:space="preserve">The platform contacts table — all Standard users can target these records in campaigns</w:t>
      </w:r>
    </w:p>
    <w:p>
      <w:pPr>
        <w:pStyle w:val="ListParagraph"/>
        <w:numPr>
          <w:ilvl w:val="0"/>
          <w:numId w:val="2"/>
        </w:numPr>
        <w:spacing w:after="60" w:before="40"/>
      </w:pPr>
      <w:r>
        <w:rPr>
          <w:rFonts w:ascii="Arial" w:cs="Arial" w:eastAsia="Arial" w:hAnsi="Arial"/>
          <w:color w:val="1E293B"/>
          <w:sz w:val="22"/>
          <w:szCs w:val="22"/>
        </w:rPr>
        <w:t xml:space="preserve">The CHRMNEXUS job board feed (read-only proxy, available to all authenticated users)</w:t>
      </w:r>
    </w:p>
    <w:p>
      <w:pPr>
        <w:pStyle w:val="ListParagraph"/>
        <w:numPr>
          <w:ilvl w:val="0"/>
          <w:numId w:val="2"/>
        </w:numPr>
        <w:spacing w:after="60" w:before="40"/>
      </w:pPr>
      <w:r>
        <w:rPr>
          <w:rFonts w:ascii="Arial" w:cs="Arial" w:eastAsia="Arial" w:hAnsi="Arial"/>
          <w:color w:val="1E293B"/>
          <w:sz w:val="22"/>
          <w:szCs w:val="22"/>
        </w:rPr>
        <w:t xml:space="preserve">Platform settings (daily cap configuration, stored in platform_settings table — admin-controlled)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1E40AF"/>
                <w:sz w:val="18"/>
                <w:szCs w:val="18"/>
              </w:rPr>
              <w:t xml:space="preserve">NOTE</w:t>
            </w:r>
          </w:p>
          <w:p>
            <w:pPr>
              <w:spacing w:after="0" w:before="0"/>
            </w:pPr>
            <w:r>
              <w:rPr>
                <w:rFonts w:ascii="Arial" w:cs="Arial" w:eastAsia="Arial" w:hAnsi="Arial"/>
                <w:color w:val="1E293B"/>
                <w:sz w:val="20"/>
                <w:szCs w:val="20"/>
              </w:rPr>
              <w:t xml:space="preserve">Admin can view all accounts by company_name to identify potential abuse where a company creates multiple accounts to bypass per-account limits. This is documented as a low-likelihood risk in the v1.3 risk register.</w:t>
            </w:r>
          </w:p>
        </w:tc>
      </w:tr>
    </w:tbl>
    <w:p>
      <w:pPr>
        <w:spacing w:after="80" w:before="80"/>
      </w:pPr>
      <w:r>
        <w:t xml:space="preserve"/>
      </w:r>
    </w:p>
    <w:p>
      <w:r>
        <w:br w:type="page"/>
      </w:r>
    </w:p>
    <w:p>
      <w:pPr>
        <w:pStyle w:val="Heading1"/>
        <w:spacing w:after="160" w:before="360"/>
      </w:pPr>
      <w:r>
        <w:rPr>
          <w:rFonts w:ascii="Arial" w:cs="Arial" w:eastAsia="Arial" w:hAnsi="Arial"/>
          <w:b/>
          <w:bCs/>
          <w:color w:val="1E40AF"/>
          <w:sz w:val="28"/>
          <w:szCs w:val="28"/>
        </w:rPr>
        <w:t xml:space="preserve">3. Platform Architecture</w:t>
      </w:r>
    </w:p>
    <w:p>
      <w:pPr>
        <w:spacing w:after="100" w:before="60"/>
      </w:pPr>
      <w:r>
        <w:rPr>
          <w:rFonts w:ascii="Arial" w:cs="Arial" w:eastAsia="Arial" w:hAnsi="Arial"/>
          <w:color w:val="1E293B"/>
          <w:sz w:val="22"/>
          <w:szCs w:val="22"/>
        </w:rPr>
        <w:t xml:space="preserve">CloudSourceHRM is a single Next.js 15 application deployed on Vercel. There is no separate backend server. All API routes are Next.js App Router route handlers running as Vercel serverless functions. The email queue runs inside PostgreSQL via pg-boss, eliminating any need for Redis or a separate worker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Layer</w:t>
            </w:r>
          </w:p>
        </w:tc>
        <w:tc>
          <w:tcPr>
            <w:tcW w:type="dxa" w:w="31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Technology</w:t>
            </w:r>
          </w:p>
        </w:tc>
        <w:tc>
          <w:tcPr>
            <w:tcW w:type="dxa" w:w="3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Framework</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Next.js 15 (App Router)</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Frontend + all API routes in one project</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Language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TypeScript 5+</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End-to-end type safety via Zod schemas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Styling</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Tailwind CSS + shadcn/ui</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Utility-first CSS with accessible components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Auth</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Better Auth</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DB-backed sessions; no Redis required</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ORM</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Drizzle ORM</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Type-safe SQL; migrations as plain SQL files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Database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Neon PostgreSQL 16</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Via Vercel Postgres — all tables + sessions + queue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Email Queue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pg-boss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PostgreSQL-backed; no Redis, no BullMQ</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Cron Jobs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Vercel Cron Jobs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Pro plan required; fires every 1 minute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Bulk Email</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 (primary)</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All campaign + hotlist outbound dispatch</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Transactional Email</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Resend (secondary)</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Auth emails, receipts, admin alerts + domain owner</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File Storage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DigitalOcean Spaces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CSV and Excel file staging (30-day auto-delete)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Payments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Subscriptions + credits + CHRMNEXUS add-on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DNS / CDN</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Cloudflare</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DNS management for cloudsourcehrm.us domain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Monorepo</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Turborepo + pnpm</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apps/web + packages/db + packages/shared + packages/email-templates</w:t>
            </w:r>
          </w:p>
        </w:tc>
      </w:tr>
    </w:tbl>
    <w:p>
      <w:pPr>
        <w:spacing w:after="80" w:before="80"/>
      </w:pPr>
      <w:r>
        <w:t xml:space="preserve"/>
      </w:r>
    </w:p>
    <w:p>
      <w:r>
        <w:br w:type="page"/>
      </w:r>
    </w:p>
    <w:p>
      <w:pPr>
        <w:pStyle w:val="Heading1"/>
        <w:spacing w:after="160" w:before="360"/>
      </w:pPr>
      <w:r>
        <w:rPr>
          <w:rFonts w:ascii="Arial" w:cs="Arial" w:eastAsia="Arial" w:hAnsi="Arial"/>
          <w:b/>
          <w:bCs/>
          <w:color w:val="1E40AF"/>
          <w:sz w:val="28"/>
          <w:szCs w:val="28"/>
        </w:rPr>
        <w:t xml:space="preserve">4. External Services &amp; Environment Variables</w:t>
      </w:r>
    </w:p>
    <w:p>
      <w:pPr>
        <w:spacing w:after="100" w:before="60"/>
      </w:pPr>
      <w:r>
        <w:rPr>
          <w:rFonts w:ascii="Arial" w:cs="Arial" w:eastAsia="Arial" w:hAnsi="Arial"/>
          <w:color w:val="1E293B"/>
          <w:sz w:val="22"/>
          <w:szCs w:val="22"/>
        </w:rPr>
        <w:t xml:space="preserve">The following services must be provisioned and their API keys configured as environment variables in Vercel before the platform can go live. GitHub and Vercel are already in place.</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4.1 Services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Service</w:t>
            </w:r>
          </w:p>
        </w:tc>
        <w:tc>
          <w:tcPr>
            <w:tcW w:type="dxa" w:w="31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4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Keys It Provides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Vercel Pro</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Hosting + Cron Jobs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Required — Cron Jobs need Pro plan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Neon / Vercel Postgres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Primary database</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POSTGRES_URL, POSTGRES_URL_UNPOOLED (auto-injected)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Resend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Transactional email + domain owner</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RESEND_API_KEY, RESEND_WEBHOOK_SECRET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AhaSend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Bulk campaign + hotlist dispatch</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AHASEND_API_KEY, AHASEND_WEBHOOK_SECRET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Stripe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Subscriptions + add-ons + credits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STRIPE_SECRET_KEY, STRIPE_WEBHOOK_SECRET, 3x STRIPE_PRICE_ID_*</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DigitalOcean Spaces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CSV / Excel file staging</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DO_SPACES_KEY, DO_SPACES_SECRET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Cloudflare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DNS for cloudsourcehrm.us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 API keys — DNS records added manually</w:t>
            </w:r>
          </w:p>
        </w:tc>
      </w:tr>
    </w:tbl>
    <w:p>
      <w:pPr>
        <w:spacing w:after="80" w:before="80"/>
      </w:pPr>
      <w:r>
        <w:t xml:space="preserve"/>
      </w:r>
    </w:p>
    <w:p>
      <w:pPr>
        <w:pStyle w:val="Heading2"/>
        <w:spacing w:after="120" w:before="280"/>
      </w:pPr>
      <w:r>
        <w:rPr>
          <w:rFonts w:ascii="Arial" w:cs="Arial" w:eastAsia="Arial" w:hAnsi="Arial"/>
          <w:b/>
          <w:bCs/>
          <w:color w:val="1E293B"/>
          <w:sz w:val="24"/>
          <w:szCs w:val="24"/>
        </w:rPr>
        <w:t xml:space="preserve">4.2 Complete Environment Variables Reference</w:t>
      </w:r>
    </w:p>
    <w:p>
      <w:pPr>
        <w:spacing w:after="100" w:before="60"/>
      </w:pPr>
      <w:r>
        <w:rPr>
          <w:rFonts w:ascii="Arial" w:cs="Arial" w:eastAsia="Arial" w:hAnsi="Arial"/>
          <w:color w:val="1E293B"/>
          <w:sz w:val="22"/>
          <w:szCs w:val="22"/>
        </w:rPr>
        <w:t xml:space="preserve">The table below lists every environment variable required. Variables marked ‘Auto’ are injected by Vercel and require no manual entry. Variables marked ‘Generate’ should be created using openssl rand -hex 32. All others come from the respective service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Variable</w:t>
            </w:r>
          </w:p>
        </w:tc>
        <w:tc>
          <w:tcPr>
            <w:tcW w:type="dxa" w:w="1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Source</w:t>
            </w:r>
          </w:p>
        </w:tc>
        <w:tc>
          <w:tcPr>
            <w:tcW w:type="dxa" w:w="39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POSTGRES_URL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Auto</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Injected by Vercel Postgres at project link</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POSTGRES_URL_UNPOOLED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Auto</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Use this in Drizzle migrations config</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BETTER_AUTH_SECRET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Generate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256-bit random string</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BETTER_AUTH_URL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https://member.cloudsourcehrm.us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RESEND_API_KEY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Resend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Dashboard → API Keys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RESEND_WEBHOOK_SECRET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Resend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Dashboard → Webhooks → Svix signing secret</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EMAIL_FROM_ADDRESS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noreply@mail.cloudsourcehrm.us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EMAIL_FROM_DOMAIN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mail.cloudsourcehrm.us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AHASEND_API_KEY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Dashboard → API Keys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AHASEND_API_URL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https://api.ahasend.com</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AHASEND_WEBHOOK_SECRET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AhaSend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Dashboard → Webhooks → HMAC secret</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STRIPE_SECRET_KEY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Dashboard → Developers → API Keys (live mode)</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STRIPE_WEBHOOK_SECRET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Dashboard → Developers → Webhooks → Signing secret</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STRIPE_PRICE_ID_STANDARD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$95/month base subscription product price ID</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STRIPE_PRICE_ID_CHRMNEXUS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CHRMNEXUS apply add-on product price ID</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STRIPE_PRICE_ID_CREDITS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Stripe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Overage credit pack product price ID</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DO_SPACES_KEY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DigitalOcean</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Spaces → API → Spaces Keys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DO_SPACES_SECRET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DigitalOcean</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Spaces → API → Spaces Keys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DO_SPACES_ENDPOINT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https://sfo3.digitaloceanspaces.com</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DO_SPACES_BUCKET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hrm-uploads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UNSUBSCRIBE_HMAC_SECRET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Generate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256-bit random; signs unsubscribe link tokens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OPEN_TRACKING_HMAC_SECRET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Generate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256-bit random; signs open tracking pixel tokens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CRON_SECRET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Generate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Secures /api/cron/* endpoints from public calls</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CHRMNEXUS_API_URL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https://www.cloudsourcehrm.com/api</w:t>
            </w:r>
          </w:p>
        </w:tc>
      </w:tr>
      <w:tr>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NEXT_PUBLIC_APP_URL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Fixed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https://member.cloudsourcehrm.us</w:t>
            </w:r>
          </w:p>
        </w:tc>
      </w:tr>
    </w:tbl>
    <w:p>
      <w:pPr>
        <w:spacing w:after="80" w:before="80"/>
      </w:pPr>
      <w:r>
        <w:t xml:space="preserve"/>
      </w:r>
    </w:p>
    <w:p>
      <w:r>
        <w:br w:type="page"/>
      </w:r>
    </w:p>
    <w:p>
      <w:pPr>
        <w:pStyle w:val="Heading1"/>
        <w:spacing w:after="160" w:before="360"/>
      </w:pPr>
      <w:r>
        <w:rPr>
          <w:rFonts w:ascii="Arial" w:cs="Arial" w:eastAsia="Arial" w:hAnsi="Arial"/>
          <w:b/>
          <w:bCs/>
          <w:color w:val="1E40AF"/>
          <w:sz w:val="28"/>
          <w:szCs w:val="28"/>
        </w:rPr>
        <w:t xml:space="preserve">5. Design &amp; Implementation Feedback</w:t>
      </w:r>
    </w:p>
    <w:p>
      <w:pPr>
        <w:spacing w:after="100" w:before="60"/>
      </w:pPr>
      <w:r>
        <w:rPr>
          <w:rFonts w:ascii="Arial" w:cs="Arial" w:eastAsia="Arial" w:hAnsi="Arial"/>
          <w:color w:val="1E293B"/>
          <w:sz w:val="22"/>
          <w:szCs w:val="22"/>
        </w:rPr>
        <w:t xml:space="preserve">The following observations are offered before any code is written. None of these are blockers — they are decisions that are easiest to make now and most costly to change later. Each item requires a response before development begins.</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5.1 Turborepo Monorepo Complexity</w:t>
      </w:r>
    </w:p>
    <w:p>
      <w:pPr>
        <w:spacing w:after="100" w:before="60"/>
      </w:pPr>
      <w:r>
        <w:rPr>
          <w:rFonts w:ascii="Arial" w:cs="Arial" w:eastAsia="Arial" w:hAnsi="Arial"/>
          <w:color w:val="1E293B"/>
          <w:sz w:val="22"/>
          <w:szCs w:val="22"/>
        </w:rPr>
        <w:t xml:space="preserve">The document specifies a Turborepo monorepo with four packages: apps/web, packages/shared, packages/email-templates, and packages/db. For a single deployable application this is architecturally sound — the shared Drizzle schema, Zod validators, and email templates are legitimate shared packages. However, Turborepo adds tooling overhead including turbo.json, pnpm workspace configuration, and cross-package TypeScript path resolution.</w:t>
      </w:r>
    </w:p>
    <w:p>
      <w:pPr>
        <w:spacing w:after="80" w:before="80"/>
      </w:pPr>
      <w:r>
        <w:t xml:space="preserve"/>
      </w:r>
    </w:p>
    <w:p>
      <w:pPr>
        <w:spacing w:after="100" w:before="60"/>
      </w:pPr>
      <w:r>
        <w:rPr>
          <w:rFonts w:ascii="Arial" w:cs="Arial" w:eastAsia="Arial" w:hAnsi="Arial"/>
          <w:color w:val="1E293B"/>
          <w:sz w:val="22"/>
          <w:szCs w:val="22"/>
        </w:rPr>
        <w:t xml:space="preserve">Suggested simplification: retain the monorepo structure but collapse packages/shared (Zod schemas) into apps/web/src/lib/schemas and packages/email-templates into apps/web/src/emails. Keep packages/db as a proper workspace package since it is imported by both the app and migration scripts. This reduces the workspace from four packages to two while preserving the only meaningful separation.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EF4444" w:sz="8"/>
              <w:bottom w:val="single" w:color="CBD5E1" w:sz="1"/>
              <w:right w:val="single" w:color="CBD5E1" w:sz="1"/>
            </w:tcBorders>
            <w:shd w:fill="FEF2F2" w:val="clear"/>
            <w:tcMar>
              <w:top w:type="dxa" w:w="100"/>
              <w:left w:type="dxa" w:w="160"/>
              <w:bottom w:type="dxa" w:w="100"/>
              <w:right w:type="dxa" w:w="160"/>
            </w:tcMar>
          </w:tcPr>
          <w:p>
            <w:pPr>
              <w:spacing w:after="0" w:before="0"/>
            </w:pPr>
            <w:r>
              <w:rPr>
                <w:rFonts w:ascii="Arial" w:cs="Arial" w:eastAsia="Arial" w:hAnsi="Arial"/>
                <w:color w:val="991B1B"/>
                <w:sz w:val="20"/>
                <w:szCs w:val="20"/>
              </w:rPr>
              <w:t xml:space="preserve">❓ Confirm: full four-package Turborepo as specified, or simplified two-package layout?</w:t>
            </w:r>
          </w:p>
        </w:tc>
      </w:tr>
    </w:tbl>
    <w:p>
      <w:pPr>
        <w:spacing w:after="80" w:before="80"/>
      </w:pPr>
      <w:r>
        <w:t xml:space="preserve"/>
      </w:r>
    </w:p>
    <w:p>
      <w:pPr>
        <w:pStyle w:val="Heading2"/>
        <w:spacing w:after="120" w:before="280"/>
      </w:pPr>
      <w:r>
        <w:rPr>
          <w:rFonts w:ascii="Arial" w:cs="Arial" w:eastAsia="Arial" w:hAnsi="Arial"/>
          <w:b/>
          <w:bCs/>
          <w:color w:val="1E293B"/>
          <w:sz w:val="24"/>
          <w:szCs w:val="24"/>
        </w:rPr>
        <w:t xml:space="preserve">5.2 DigitalOcean Spaces for CSV Staging</w:t>
      </w:r>
    </w:p>
    <w:p>
      <w:pPr>
        <w:spacing w:after="100" w:before="60"/>
      </w:pPr>
      <w:r>
        <w:rPr>
          <w:rFonts w:ascii="Arial" w:cs="Arial" w:eastAsia="Arial" w:hAnsi="Arial"/>
          <w:color w:val="1E293B"/>
          <w:sz w:val="22"/>
          <w:szCs w:val="22"/>
        </w:rPr>
        <w:t xml:space="preserve">DigitalOcean Spaces is specified exclusively for staging CSV and Excel uploads before admin approval. The constraints are: maximum 5 MB per file, maximum 5,000 rows, and 30-day auto-delete after processing. This is a fifth cloud service to provision, a fifth set of credentials to manage, and a Multer + AWS S3 SDK dependency to maintain — for files that are temporary by design.</w:t>
      </w:r>
    </w:p>
    <w:p>
      <w:pPr>
        <w:spacing w:after="80" w:before="80"/>
      </w:pPr>
      <w:r>
        <w:t xml:space="preserve"/>
      </w:r>
    </w:p>
    <w:p>
      <w:pPr>
        <w:spacing w:after="100" w:before="60"/>
      </w:pPr>
      <w:r>
        <w:rPr>
          <w:rFonts w:ascii="Arial" w:cs="Arial" w:eastAsia="Arial" w:hAnsi="Arial"/>
          <w:color w:val="1E293B"/>
          <w:sz w:val="22"/>
          <w:szCs w:val="22"/>
        </w:rPr>
        <w:t xml:space="preserve">An alternative: store the raw file content (or parsed row data as JSONB) directly in the csv_import_batches table in Neon. PostgreSQL handles 5 MB easily. This eliminates DigitalOcean Spaces entirely, removing one service, two environment variables, and one SDK from the stack. There is no functional difference to the admin review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EF4444" w:sz="8"/>
              <w:bottom w:val="single" w:color="CBD5E1" w:sz="1"/>
              <w:right w:val="single" w:color="CBD5E1" w:sz="1"/>
            </w:tcBorders>
            <w:shd w:fill="FEF2F2" w:val="clear"/>
            <w:tcMar>
              <w:top w:type="dxa" w:w="100"/>
              <w:left w:type="dxa" w:w="160"/>
              <w:bottom w:type="dxa" w:w="100"/>
              <w:right w:type="dxa" w:w="160"/>
            </w:tcMar>
          </w:tcPr>
          <w:p>
            <w:pPr>
              <w:spacing w:after="0" w:before="0"/>
            </w:pPr>
            <w:r>
              <w:rPr>
                <w:rFonts w:ascii="Arial" w:cs="Arial" w:eastAsia="Arial" w:hAnsi="Arial"/>
                <w:color w:val="991B1B"/>
                <w:sz w:val="20"/>
                <w:szCs w:val="20"/>
              </w:rPr>
              <w:t xml:space="preserve">❓ Confirm: use DigitalOcean Spaces as specified, or store CSV content in the database?</w:t>
            </w:r>
          </w:p>
        </w:tc>
      </w:tr>
    </w:tbl>
    <w:p>
      <w:pPr>
        <w:spacing w:after="80" w:before="80"/>
      </w:pPr>
      <w:r>
        <w:t xml:space="preserve"/>
      </w:r>
    </w:p>
    <w:p>
      <w:pPr>
        <w:pStyle w:val="Heading2"/>
        <w:spacing w:after="120" w:before="280"/>
      </w:pPr>
      <w:r>
        <w:rPr>
          <w:rFonts w:ascii="Arial" w:cs="Arial" w:eastAsia="Arial" w:hAnsi="Arial"/>
          <w:b/>
          <w:bCs/>
          <w:color w:val="1E293B"/>
          <w:sz w:val="24"/>
          <w:szCs w:val="24"/>
        </w:rPr>
        <w:t xml:space="preserve">5.3 CHRMNEXUS API Readiness</w:t>
      </w:r>
    </w:p>
    <w:p>
      <w:pPr>
        <w:spacing w:after="100" w:before="60"/>
      </w:pPr>
      <w:r>
        <w:rPr>
          <w:rFonts w:ascii="Arial" w:cs="Arial" w:eastAsia="Arial" w:hAnsi="Arial"/>
          <w:color w:val="1E293B"/>
          <w:sz w:val="22"/>
          <w:szCs w:val="22"/>
        </w:rPr>
        <w:t xml:space="preserve">The document treats the CHRMNEXUS API at https://www.cloudsourcehrm.com/api as an existing, live, third-party endpoint. The integration code (proxy routes, apply endpoint, middleware subscription check) all assume the API is operational. If CHRMNEXUS is a separate system that is not yet live, the proxy routes will fail at runtime and the Add-on subscription flow will have nothing to connect to.</w:t>
      </w:r>
    </w:p>
    <w:p>
      <w:pPr>
        <w:spacing w:after="80" w:before="80"/>
      </w:pPr>
      <w:r>
        <w:t xml:space="preserve"/>
      </w:r>
    </w:p>
    <w:p>
      <w:pPr>
        <w:spacing w:after="100" w:before="60"/>
      </w:pPr>
      <w:r>
        <w:rPr>
          <w:rFonts w:ascii="Arial" w:cs="Arial" w:eastAsia="Arial" w:hAnsi="Arial"/>
          <w:color w:val="1E293B"/>
          <w:sz w:val="22"/>
          <w:szCs w:val="22"/>
        </w:rPr>
        <w:t xml:space="preserve">If CHRMNEXUS is not yet live: the proxy routes should be stubbed from day one with a clear 503 response and a maintenance message, so the rest of the platform works without it. The add-on Stripe product can still be created, but the apply flow should be gated behind an ‘coming soon’ indicator until the API is available.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EF4444" w:sz="8"/>
              <w:bottom w:val="single" w:color="CBD5E1" w:sz="1"/>
              <w:right w:val="single" w:color="CBD5E1" w:sz="1"/>
            </w:tcBorders>
            <w:shd w:fill="FEF2F2" w:val="clear"/>
            <w:tcMar>
              <w:top w:type="dxa" w:w="100"/>
              <w:left w:type="dxa" w:w="160"/>
              <w:bottom w:type="dxa" w:w="100"/>
              <w:right w:type="dxa" w:w="160"/>
            </w:tcMar>
          </w:tcPr>
          <w:p>
            <w:pPr>
              <w:spacing w:after="0" w:before="0"/>
            </w:pPr>
            <w:r>
              <w:rPr>
                <w:rFonts w:ascii="Arial" w:cs="Arial" w:eastAsia="Arial" w:hAnsi="Arial"/>
                <w:color w:val="991B1B"/>
                <w:sz w:val="20"/>
                <w:szCs w:val="20"/>
              </w:rPr>
              <w:t xml:space="preserve">❓ Is the CHRMNEXUS API live and ready to integrate, or does it need to be stubbed?</w:t>
            </w:r>
          </w:p>
        </w:tc>
      </w:tr>
    </w:tbl>
    <w:p>
      <w:pPr>
        <w:spacing w:after="80" w:before="80"/>
      </w:pPr>
      <w:r>
        <w:t xml:space="preserve"/>
      </w:r>
    </w:p>
    <w:p>
      <w:pPr>
        <w:pStyle w:val="Heading2"/>
        <w:spacing w:after="120" w:before="280"/>
      </w:pPr>
      <w:r>
        <w:rPr>
          <w:rFonts w:ascii="Arial" w:cs="Arial" w:eastAsia="Arial" w:hAnsi="Arial"/>
          <w:b/>
          <w:bCs/>
          <w:color w:val="1E293B"/>
          <w:sz w:val="24"/>
          <w:szCs w:val="24"/>
        </w:rPr>
        <w:t xml:space="preserve">5.4 Missing platform_settings Table</w:t>
      </w:r>
    </w:p>
    <w:p>
      <w:pPr>
        <w:spacing w:after="100" w:before="60"/>
      </w:pPr>
      <w:r>
        <w:rPr>
          <w:rFonts w:ascii="Arial" w:cs="Arial" w:eastAsia="Arial" w:hAnsi="Arial"/>
          <w:color w:val="1E293B"/>
          <w:sz w:val="22"/>
          <w:szCs w:val="22"/>
        </w:rPr>
        <w:t xml:space="preserve">Section 3.3 of the project plan references a configurable platform_settings table for storing the daily email cap and per-account overrides. This table is mentioned in the architecture but is absent from the database schema section (Section 13). It needs to be designed before migrations are written.</w:t>
      </w:r>
    </w:p>
    <w:p>
      <w:pPr>
        <w:spacing w:after="80" w:before="80"/>
      </w:pPr>
      <w:r>
        <w:t xml:space="preserve"/>
      </w:r>
    </w:p>
    <w:p>
      <w:pPr>
        <w:spacing w:after="100" w:before="60"/>
      </w:pPr>
      <w:r>
        <w:rPr>
          <w:rFonts w:ascii="Arial" w:cs="Arial" w:eastAsia="Arial" w:hAnsi="Arial"/>
          <w:color w:val="1E293B"/>
          <w:sz w:val="22"/>
          <w:szCs w:val="22"/>
        </w:rPr>
        <w:t xml:space="preserve">Proposed minimal schema: id (uuid PK), key (varchar UNIQUE), value (varchar), description (text NULL), user_id (uuid FK → users NULL for per-account overrides), created_at / updated_at (timestamptz). A NULL user_id means platform-wide default; a non-null user_id means override for that account.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EF4444" w:sz="8"/>
              <w:bottom w:val="single" w:color="CBD5E1" w:sz="1"/>
              <w:right w:val="single" w:color="CBD5E1" w:sz="1"/>
            </w:tcBorders>
            <w:shd w:fill="FEF2F2" w:val="clear"/>
            <w:tcMar>
              <w:top w:type="dxa" w:w="100"/>
              <w:left w:type="dxa" w:w="160"/>
              <w:bottom w:type="dxa" w:w="100"/>
              <w:right w:type="dxa" w:w="160"/>
            </w:tcMar>
          </w:tcPr>
          <w:p>
            <w:pPr>
              <w:spacing w:after="0" w:before="0"/>
            </w:pPr>
            <w:r>
              <w:rPr>
                <w:rFonts w:ascii="Arial" w:cs="Arial" w:eastAsia="Arial" w:hAnsi="Arial"/>
                <w:color w:val="991B1B"/>
                <w:sz w:val="20"/>
                <w:szCs w:val="20"/>
              </w:rPr>
              <w:t xml:space="preserve">❓ Confirm the platform_settings schema, or provide your own design?</w:t>
            </w:r>
          </w:p>
        </w:tc>
      </w:tr>
    </w:tbl>
    <w:p>
      <w:pPr>
        <w:spacing w:after="80" w:before="80"/>
      </w:pPr>
      <w:r>
        <w:t xml:space="preserve"/>
      </w:r>
    </w:p>
    <w:p>
      <w:r>
        <w:br w:type="page"/>
      </w:r>
    </w:p>
    <w:p>
      <w:pPr>
        <w:pStyle w:val="Heading1"/>
        <w:spacing w:after="160" w:before="360"/>
      </w:pPr>
      <w:r>
        <w:rPr>
          <w:rFonts w:ascii="Arial" w:cs="Arial" w:eastAsia="Arial" w:hAnsi="Arial"/>
          <w:b/>
          <w:bCs/>
          <w:color w:val="1E40AF"/>
          <w:sz w:val="28"/>
          <w:szCs w:val="28"/>
        </w:rPr>
        <w:t xml:space="preserve">6. Suggested Additions</w:t>
      </w:r>
    </w:p>
    <w:p>
      <w:pPr>
        <w:spacing w:after="100" w:before="60"/>
      </w:pPr>
      <w:r>
        <w:rPr>
          <w:rFonts w:ascii="Arial" w:cs="Arial" w:eastAsia="Arial" w:hAnsi="Arial"/>
          <w:color w:val="1E293B"/>
          <w:sz w:val="22"/>
          <w:szCs w:val="22"/>
        </w:rPr>
        <w:t xml:space="preserve">The following features fit cleanly within the existing architecture without introducing new complexity. Each uses tables, patterns, or infrastructure already defined in v1.3. These are suggestions only — none are required for the initial launch.</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6.1 Campaign &amp; Hotlist Templates</w:t>
      </w:r>
    </w:p>
    <w:p>
      <w:pPr>
        <w:spacing w:after="100" w:before="60"/>
      </w:pPr>
      <w:r>
        <w:rPr>
          <w:rFonts w:ascii="Arial" w:cs="Arial" w:eastAsia="Arial" w:hAnsi="Arial"/>
          <w:color w:val="1E293B"/>
          <w:sz w:val="22"/>
          <w:szCs w:val="22"/>
        </w:rPr>
        <w:t xml:space="preserve">Since campaigns already store body_html, body_text, subject, and name, a campaign_templates table mirroring these fields (plus user_id and created_at) would let recruiters save and reuse message formats. The UI addition is a ‘Save as Template’ button on the campaign builder and a ‘Load from Template’ dropdown when creating a new campaign. Zero new architectural concepts, one new CRUD table.</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6.2 Scheduled Hotlist Sends</w:t>
      </w:r>
    </w:p>
    <w:p>
      <w:pPr>
        <w:spacing w:after="100" w:before="60"/>
      </w:pPr>
      <w:r>
        <w:rPr>
          <w:rFonts w:ascii="Arial" w:cs="Arial" w:eastAsia="Arial" w:hAnsi="Arial"/>
          <w:color w:val="1E293B"/>
          <w:sz w:val="22"/>
          <w:szCs w:val="22"/>
        </w:rPr>
        <w:t xml:space="preserve">Campaigns already have a scheduled_at field and the pg-boss cron already handles deferred dispatch. Adding scheduled_at to the hotlists table and a corresponding check in the process-emails cron would let recruiters schedule a hotlist send in advance — for example, ‘every Friday at 9am’. This is a natural use case for weekly candidate availability updates and requires no new infrastructure.</w:t>
      </w:r>
    </w:p>
    <w:p>
      <w:pPr>
        <w:spacing w:after="80" w:before="80"/>
      </w:pPr>
      <w:r>
        <w:t xml:space="preserve"/>
      </w:r>
    </w:p>
    <w:p>
      <w:pPr>
        <w:pStyle w:val="Heading2"/>
        <w:spacing w:after="120" w:before="280"/>
      </w:pPr>
      <w:r>
        <w:rPr>
          <w:rFonts w:ascii="Arial" w:cs="Arial" w:eastAsia="Arial" w:hAnsi="Arial"/>
          <w:b/>
          <w:bCs/>
          <w:color w:val="1E293B"/>
          <w:sz w:val="24"/>
          <w:szCs w:val="24"/>
        </w:rPr>
        <w:t xml:space="preserve">6.3 Auto-Detect Delimiter in Copy-Paste Input</w:t>
      </w:r>
    </w:p>
    <w:p>
      <w:pPr>
        <w:spacing w:after="100" w:before="60"/>
      </w:pPr>
      <w:r>
        <w:rPr>
          <w:rFonts w:ascii="Arial" w:cs="Arial" w:eastAsia="Arial" w:hAnsi="Arial"/>
          <w:color w:val="1E293B"/>
          <w:sz w:val="22"/>
          <w:szCs w:val="22"/>
        </w:rPr>
        <w:t xml:space="preserve">The copy-paste hotlist input method relies on a user-selected column delimiter (tab, comma, or pipe). Recruiter-pasted content is unpredictable. Adding an auto-detect step that tries all three delimiters, scores each by the consistency of the resulting column count across rows, and selects the best match — then shows the recruiter the parsed preview before they confirm — would significantly reduce malformed entries and support requests. This is approximately 20 lines of parsing logic with no database changes.</w:t>
      </w:r>
    </w:p>
    <w:p>
      <w:pPr>
        <w:spacing w:after="80" w:before="80"/>
      </w:pPr>
      <w:r>
        <w:t xml:space="preserve"/>
      </w:r>
    </w:p>
    <w:p>
      <w:pPr>
        <w:pBdr>
          <w:bottom w:val="single" w:color="93C5FD" w:sz="4" w:space="1"/>
        </w:pBdr>
        <w:spacing w:after="160" w:before="160"/>
      </w:pPr>
      <w:r>
        <w:t xml:space="preserve"/>
      </w:r>
    </w:p>
    <w:p>
      <w:pPr>
        <w:spacing w:after="80" w:before="80"/>
      </w:pPr>
      <w:r>
        <w:t xml:space="preserve"/>
      </w:r>
    </w:p>
    <w:p>
      <w:pPr>
        <w:pStyle w:val="Heading1"/>
        <w:spacing w:after="160" w:before="360"/>
      </w:pPr>
      <w:r>
        <w:rPr>
          <w:rFonts w:ascii="Arial" w:cs="Arial" w:eastAsia="Arial" w:hAnsi="Arial"/>
          <w:b/>
          <w:bCs/>
          <w:color w:val="1E40AF"/>
          <w:sz w:val="28"/>
          <w:szCs w:val="28"/>
        </w:rPr>
        <w:t xml:space="preserve">7. Open Questions Summary</w:t>
      </w:r>
    </w:p>
    <w:p>
      <w:pPr>
        <w:spacing w:after="100" w:before="60"/>
      </w:pPr>
      <w:r>
        <w:rPr>
          <w:rFonts w:ascii="Arial" w:cs="Arial" w:eastAsia="Arial" w:hAnsi="Arial"/>
          <w:color w:val="1E293B"/>
          <w:sz w:val="22"/>
          <w:szCs w:val="22"/>
        </w:rPr>
        <w:t xml:space="preserve">The following five decisions must be confirmed before development begins. There are no wrong answers — each has a reasonable default, but the choice affects what gets built.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80"/>
        <w:gridCol w:w="2880"/>
      </w:tblGrid>
      <w:tr>
        <w:tc>
          <w:tcPr>
            <w:tcW w:type="dxa" w:w="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3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Question</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Option A</w:t>
            </w:r>
          </w:p>
        </w:tc>
        <w:tc>
          <w:tcPr>
            <w:tcW w:type="dxa" w:w="28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Option B</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1</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Monorepo structure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Full 4-package Turborepo as specified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Simplified 2-package (apps/web + packages/db)</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2</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CSV file storage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DigitalOcean Spaces as specified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Store content in Neon (eliminates DO Spaces)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3</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CHRMNEXUS API status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Live — integrate immediately</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Not live — stub routes, connect later</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4</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platform_settings schema</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Use proposed schema above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Provide your own design</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0" w:before="0"/>
            </w:pPr>
            <w:r>
              <w:rPr>
                <w:rFonts w:ascii="Arial" w:cs="Arial" w:eastAsia="Arial" w:hAnsi="Arial"/>
                <w:b/>
                <w:bCs/>
                <w:color w:val="1E293B"/>
                <w:sz w:val="20"/>
                <w:szCs w:val="20"/>
              </w:rPr>
              <w:t xml:space="preserve">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Suggested additions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Include all three in v1 scope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1E293B"/>
                <w:sz w:val="20"/>
                <w:szCs w:val="20"/>
              </w:rPr>
              <w:t xml:space="preserve">Exclude all / include specific ones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1E40AF"/>
                <w:sz w:val="18"/>
                <w:szCs w:val="18"/>
              </w:rPr>
              <w:t xml:space="preserve">NEXT STEP</w:t>
            </w:r>
          </w:p>
          <w:p>
            <w:pPr>
              <w:spacing w:after="0" w:before="0"/>
            </w:pPr>
            <w:r>
              <w:rPr>
                <w:rFonts w:ascii="Arial" w:cs="Arial" w:eastAsia="Arial" w:hAnsi="Arial"/>
                <w:color w:val="1E293B"/>
                <w:sz w:val="20"/>
                <w:szCs w:val="20"/>
              </w:rPr>
              <w:t xml:space="preserve">No development work will begin until all five questions above are confirmed. Once confirmed, the full codebase will be built, pushed to your GitHub repository, and Vercel import instructions will be provided.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C5FD" w:sz="4" w:space="1"/>
      </w:pBdr>
      <w:tabs>
        <w:tab w:val="right" w:pos="9026"/>
      </w:tabs>
      <w:spacing w:after="0" w:before="100"/>
    </w:pPr>
    <w:r>
      <w:rPr>
        <w:rFonts w:ascii="Arial" w:cs="Arial" w:eastAsia="Arial" w:hAnsi="Arial"/>
        <w:color w:val="475569"/>
        <w:sz w:val="18"/>
        <w:szCs w:val="18"/>
      </w:rPr>
      <w:t xml:space="preserve">April 2026 — Pre-Development Review</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tabs>
        <w:tab w:val="right" w:pos="9026"/>
      </w:tabs>
      <w:spacing w:after="100" w:before="0"/>
    </w:pPr>
    <w:r>
      <w:rPr>
        <w:rFonts w:ascii="Arial" w:cs="Arial" w:eastAsia="Arial" w:hAnsi="Arial"/>
        <w:color w:val="475569"/>
        <w:sz w:val="18"/>
        <w:szCs w:val="18"/>
      </w:rPr>
      <w:t xml:space="preserve">CloudSourceHRM v1.3 — Platform Understanding</w:t>
    </w:r>
    <w:r>
      <w:rPr>
        <w:rFonts w:ascii="Arial" w:cs="Arial" w:eastAsia="Arial" w:hAnsi="Arial"/>
        <w:color w:val="475569"/>
        <w:sz w:val="18"/>
        <w:szCs w:val="18"/>
      </w:rPr>
      <w:t xml:space="preserve">	SHIRO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0A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E293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2026-04-06T15:12:49.239Z</dcterms:created>
  <dcterms:modified xsi:type="dcterms:W3CDTF">2026-04-06T15:12:49.239Z</dcterms:modified>
</cp:coreProperties>
</file>

<file path=docProps/custom.xml><?xml version="1.0" encoding="utf-8"?>
<Properties xmlns="http://schemas.openxmlformats.org/officeDocument/2006/custom-properties" xmlns:vt="http://schemas.openxmlformats.org/officeDocument/2006/docPropsVTypes"/>
</file>