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line="360"/>
        <w:jc w:val="center"/>
      </w:pPr>
      <w:r>
        <w:t xml:space="preserve">«КАЗАНСКИЙ (ПРИВОЛЖСКИЙ) ФЕДЕРАЛЬНЫЙ УНИВЕРСИТЕТ»</w:t>
      </w:r>
    </w:p>
    <w:p>
      <w:pPr>
        <w:spacing w:after="600"/>
        <w:jc w:val="center"/>
      </w:pPr>
      <w:r>
        <w:rPr>
          <w:b/>
          <w:bCs/>
          <w:color w:val="C00000"/>
          <w:highlight w:val="yellow"/>
        </w:rPr>
        <w:t xml:space="preserve">[TODO: институт / кафедра]</w:t>
      </w:r>
    </w:p>
    <w:p>
      <w:pPr>
        <w:spacing w:after="1200"/>
        <w:jc w:val="right"/>
      </w:pPr>
      <w:r>
        <w:t xml:space="preserve">На правах рукописи</w:t>
      </w:r>
    </w:p>
    <w:p>
      <w:pPr>
        <w:spacing w:after="600"/>
        <w:jc w:val="center"/>
        <w:rPr>
          <w:b/>
          <w:bCs/>
        </w:rPr>
      </w:pPr>
      <w:r>
        <w:rPr>
          <w:b/>
          <w:bCs/>
        </w:rPr>
        <w:t xml:space="preserve">ХАЛИЛОВ ВЛАДИСЛАВ РУСТЭМОВИЧ</w:t>
      </w:r>
    </w:p>
    <w:p>
      <w:pPr>
        <w:spacing w:after="600"/>
        <w:jc w:val="center"/>
        <w:rPr>
          <w:b/>
          <w:bCs/>
        </w:rPr>
      </w:pPr>
      <w:r>
        <w:rPr>
          <w:b/>
          <w:bCs/>
        </w:rPr>
        <w:t xml:space="preserve">МАТЕМАТИЧЕСКОЕ МОДЕЛИРОВАНИЕ, ПРОГНОЗИРОВАНИЕ РАЗВИТИЯ И ОЦЕНКА ЭФФЕКТИВНОСТИ ПРОФИЛАКТИКИ МИОПИИ У ДЕТЕЙ НА ОСНОВЕ ИНФОРМАЦИОННЫХ ТЕХНОЛОГИЙ</w:t>
      </w:r>
    </w:p>
    <w:p>
      <w:pPr>
        <w:spacing w:after="400"/>
        <w:jc w:val="center"/>
      </w:pPr>
      <w:r>
        <w:t xml:space="preserve">Специальность 1.5.8 — Математическая биология, биоинформатика</w:t>
      </w:r>
    </w:p>
    <w:p>
      <w:pPr>
        <w:spacing w:line="360"/>
        <w:jc w:val="center"/>
      </w:pPr>
      <w:r>
        <w:t xml:space="preserve">Диссертация на соискание учёной степени</w:t>
      </w:r>
    </w:p>
    <w:p>
      <w:pPr>
        <w:spacing w:after="1000"/>
        <w:jc w:val="center"/>
      </w:pPr>
      <w:r>
        <w:t xml:space="preserve">кандидата </w:t>
      </w:r>
      <w:r>
        <w:rPr>
          <w:b/>
          <w:bCs/>
          <w:color w:val="C00000"/>
          <w:highlight w:val="yellow"/>
        </w:rPr>
        <w:t xml:space="preserve">[TODO: биологических или физико-математических — уточнить в совете]</w:t>
      </w:r>
      <w:r>
        <w:t xml:space="preserve"> наук</w:t>
      </w:r>
    </w:p>
    <w:p>
      <w:pPr>
        <w:jc w:val="right"/>
      </w:pPr>
      <w:r>
        <w:t xml:space="preserve">Научный руководитель:</w:t>
      </w:r>
    </w:p>
    <w:p>
      <w:pPr>
        <w:jc w:val="right"/>
      </w:pPr>
      <w:r>
        <w:rPr>
          <w:b/>
          <w:bCs/>
          <w:color w:val="C00000"/>
          <w:highlight w:val="yellow"/>
        </w:rPr>
        <w:t xml:space="preserve">[TODO: учёная степень, звание, ФИО]</w:t>
      </w:r>
    </w:p>
    <w:p>
      <w:pPr>
        <w:spacing w:before="2400"/>
        <w:jc w:val="center"/>
      </w:pPr>
      <w:r>
        <w:t xml:space="preserve">Казань — </w:t>
      </w:r>
      <w:r>
        <w:rPr>
          <w:b/>
          <w:bCs/>
          <w:color w:val="C00000"/>
          <w:highlight w:val="yellow"/>
        </w:rPr>
        <w:t xml:space="preserve">[TODO: год]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Как читать этот файл.</w:t>
      </w:r>
      <w:r>
        <w:rPr>
          <w:sz w:val="24"/>
          <w:szCs w:val="24"/>
        </w:rPr>
        <w:t xml:space="preserve"> Это черновой скелет диссертации, оформленный по ГОСТ Р 7.0.11-2011. Обычный текст можно править и оставлять. Жёлтые блоки вроде этого — комментарии для автора, их нужно удалить перед сдачей. Пометки </w:t>
      </w:r>
      <w:r>
        <w:rPr>
          <w:b/>
          <w:bCs/>
          <w:color w:val="C00000"/>
          <w:sz w:val="24"/>
          <w:szCs w:val="24"/>
          <w:highlight w:val="yellow"/>
        </w:rPr>
        <w:t xml:space="preserve">[TODO: …]</w:t>
      </w:r>
      <w:r>
        <w:rPr>
          <w:sz w:val="24"/>
          <w:szCs w:val="24"/>
        </w:rPr>
        <w:t xml:space="preserve"> показывают места, где нужна ваша работа или данные, которых нет в репозитории. Все числа в главах 3–5 взяты из </w:t>
      </w:r>
      <w:r>
        <w:rPr>
          <w:rFonts w:ascii="Consolas" w:cs="Consolas" w:eastAsia="Consolas" w:hAnsi="Consolas"/>
          <w:sz w:val="20"/>
          <w:szCs w:val="20"/>
        </w:rPr>
        <w:t xml:space="preserve">results/</w:t>
      </w:r>
      <w:r>
        <w:rPr>
          <w:sz w:val="24"/>
          <w:szCs w:val="24"/>
        </w:rPr>
        <w:t xml:space="preserve"> и воспроизводятся скриптами репозитория. Список литературы составлен по памяти: каждую ссылку нужно сверить с первоисточником (DOI, страницы) до сдачи.</w:t>
      </w:r>
    </w:p>
    <w:p>
      <w:pPr>
        <w:pageBreakBefore/>
        <w:spacing w:after="240"/>
        <w:jc w:val="center"/>
      </w:pPr>
      <w:r>
        <w:rPr>
          <w:b/>
          <w:bCs/>
        </w:rPr>
        <w:t xml:space="preserve">ОГЛАВЛЕНИЕ</w:t>
      </w:r>
    </w:p>
    <w:sdt>
      <w:sdtPr>
        <w:alias w:val="Оглавление"/>
      </w:sdtPr>
      <w:sdtContent>
        <w:p>
          <w:pPr>
            <w:pStyle w:val="TOC1"/>
            <w:tabs>
              <w:tab w:val="right" w:pos="9921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ВВЕДЕНИЕ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2">
            <w:r>
              <w:t xml:space="preserve">ГЛАВА 1. МИОПИЯ У ДЕТЕЙ КАК ОБЪЕКТ МАТЕМАТИЧЕСКОГО МОДЕЛИРОВАНИЯ (АНАЛИТИЧЕСКИЙ ОБЗОР)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">
            <w:r>
              <w:t xml:space="preserve">1.1. Эпидемиология и социальная значимость детской миопии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">
            <w:r>
              <w:t xml:space="preserve">1.2. Определение, классификация и биометрические маркеры миопии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5">
            <w:r>
              <w:t xml:space="preserve">1.3. Факторы риска развития миопии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6">
            <w:r>
              <w:t xml:space="preserve">1.4. Методы профилактики и контроля прогрессирования миопии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7">
            <w:r>
              <w:t xml:space="preserve">1.5. Математические модели и методы машинного обучения для прогнозирования миопии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8">
            <w:r>
              <w:t xml:space="preserve">1.6. Методы причинного вывода: менделевская рандомизация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9">
            <w:r>
              <w:t xml:space="preserve">1.7. Открытые данные в медико-биологических исследованиях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0">
            <w:r>
              <w:t xml:space="preserve">Выводы по главе 1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11">
            <w:r>
              <w:t xml:space="preserve">ГЛАВА 2. МАТЕРИАЛЫ И МЕТОДЫ ИССЛЕДОВАНИЯ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2">
            <w:r>
              <w:t xml:space="preserve">2.1. Общий дизайн исследования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3">
            <w:r>
              <w:t xml:space="preserve">2.2. Источники данных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4">
            <w:r>
              <w:t xml:space="preserve">2.3. Методы построения и оценки прогностических моделей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5">
            <w:r>
              <w:t xml:space="preserve">2.4. Статистические методы оценки эффективности вмешательства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6">
            <w:r>
              <w:t xml:space="preserve">2.5. Методы менделевской рандомизации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7">
            <w:r>
              <w:t xml:space="preserve">2.6. Программная реализация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18">
            <w:r>
              <w:t xml:space="preserve">Выводы по главе 2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19">
            <w:r>
              <w:t xml:space="preserve">ГЛАВА 3. ГИБРИДНАЯ ВЫЧИСЛИТЕЛЬНАЯ СХЕМА С АСИММЕТРИЧНОЙ ФУНКЦИЕЙ ПОТЕРЬ SALF ДЛЯ РИСК-ЧУВСТВИТЕЛЬНОГО ПРОГНОЗА ПРОГРЕССИРОВАНИЯ МИОПИИ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0">
            <w:r>
              <w:t xml:space="preserve">3.1. Постановка задачи риск-чувствительного прогноза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1">
            <w:r>
              <w:t xml:space="preserve">3.2. Архитектура гибридной модели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2">
            <w:r>
              <w:t xml:space="preserve">3.3. Функция потерь SALF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3">
            <w:r>
              <w:t xml:space="preserve">3.4. Регуляризация и декорреляция ветвей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4">
            <w:r>
              <w:t xml:space="preserve">3.5. Поэтапный алгоритм обучения и его сложность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5">
            <w:r>
              <w:t xml:space="preserve">3.6. Метрики риск-чувствительной оценки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6">
            <w:r>
              <w:t xml:space="preserve">3.7. Дизайн вычислительного эксперимента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7">
            <w:r>
              <w:t xml:space="preserve">3.8. Результаты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8">
            <w:r>
              <w:t xml:space="preserve">3.9. Обсуждение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29">
            <w:r>
              <w:t xml:space="preserve">Выводы по главе 3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30">
            <w:r>
              <w:t xml:space="preserve">ГЛАВА 4. ПРОГНОЗИРОВАНИЕ РИСКА РАЗВИТИЯ МИОПИИ У ДЕТЕЙ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1">
            <w:r>
              <w:t xml:space="preserve">4.1. Описательный анализ когорты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2">
            <w:r>
              <w:t xml:space="preserve">4.2. Сравнение прогностических моделей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3">
            <w:r>
              <w:t xml:space="preserve">4.3. Выбор порога скрининга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4">
            <w:r>
              <w:t xml:space="preserve">4.4. Независимые факторы риска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5">
            <w:r>
              <w:t xml:space="preserve">4.5. Абляционный анализ: роль исходной рефракции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6">
            <w:r>
              <w:t xml:space="preserve">4.6. Калибровка модели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7">
            <w:r>
              <w:t xml:space="preserve">4.7. Внешняя проверка факторов на популяционных данных NHANES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8">
            <w:r>
              <w:t xml:space="preserve">4.8. Обсуждение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39">
            <w:r>
              <w:t xml:space="preserve">Выводы по главе 4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40">
            <w:r>
              <w:t xml:space="preserve">ГЛАВА 5. ОЦЕНКА ЭФФЕКТИВНОСТИ ПРОФИЛАКТИКИ И ПРИЧИННАЯ ПРОВЕРКА ФАКТОРОВ РИСКА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1">
            <w:r>
              <w:t xml:space="preserve">5.1. Эффективность комбинации ортокератологии и 0,01% атропина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2">
            <w:r>
              <w:t xml:space="preserve">5.2. Причинная роль образования: менделевская рандомизация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3">
            <w:r>
              <w:t xml:space="preserve">5.3. Интеграция результатов: от прогноза к профилактике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4">
            <w:r>
              <w:t xml:space="preserve">5.4. Программная реализация пайплайна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45">
            <w:r>
              <w:t xml:space="preserve">Выводы по главе 5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46">
            <w:r>
              <w:t xml:space="preserve">ЗАКЛЮЧЕНИЕ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47">
            <w:r>
              <w:t xml:space="preserve">СПИСОК СОКРАЩЕНИЙ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48">
            <w:r>
              <w:t xml:space="preserve">СПИСОК ЛИТЕРАТУРЫ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21" w:leader="dot"/>
            </w:tabs>
          </w:pPr>
          <w:hyperlink w:history="1" w:anchor="_Toc49">
            <w:r>
              <w:t xml:space="preserve">ПРИЛОЖЕНИЯ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50">
            <w:r>
              <w:t xml:space="preserve">Приложение А. Свидетельство о государственной регистрации программы для ЭВМ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51">
            <w:r>
              <w:t xml:space="preserve">Приложение Б. Акт внедрения (использования) результатов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52">
            <w:r>
              <w:t xml:space="preserve">Приложение В. Дополнительные результаты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21" w:leader="dot"/>
            </w:tabs>
            <w:ind w:left="220"/>
          </w:pPr>
          <w:hyperlink w:history="1" w:anchor="_Toc53">
            <w:r>
              <w:t xml:space="preserve">Приложение Г. Ключевые фрагменты программного кода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jc w:val="center"/>
      </w:pPr>
      <w:bookmarkStart w:name="_Toc1" w:id="1"/>
      <w:r>
        <w:t xml:space="preserve">ВВЕДЕНИЕ</w:t>
      </w:r>
      <w:bookmarkEnd w:id="1"/>
    </w:p>
    <w:p>
      <w:pPr>
        <w:ind w:firstLine="709"/>
        <w:jc w:val="both"/>
      </w:pPr>
      <w:r>
        <w:rPr>
          <w:b/>
          <w:bCs/>
        </w:rPr>
        <w:t xml:space="preserve">Актуальность темы исследования.</w:t>
      </w:r>
      <w:r>
        <w:t xml:space="preserve"> Миопия (близорукость) — самое распространённое нарушение рефракции и одна из ведущих причин нарушения зрения в мире. По прогнозу Holden et al., к 2050 г. миопией будет страдать около половины населения Земли (≈4,8 млрд человек), а миопией высокой степени — около 10% (≈0,9 млрд) [1]. Миопия высокой степени связана с риском необратимых осложнений: миопической макулопатии, отслойки сетчатки, глаукомы и катаракты [2, 3]. Основная часть миопии формируется в детском и подростковом возрасте. Чем раньше она начинается, тем выше итоговая степень, поэтому именно детский возраст — главное окно для профилактики и контроля прогрессирования [3, 4].</w:t>
      </w:r>
    </w:p>
    <w:p>
      <w:pPr>
        <w:ind w:firstLine="709"/>
        <w:jc w:val="both"/>
      </w:pPr>
      <w:r>
        <w:t xml:space="preserve">Для детской миопии сегодня существуют вмешательства с доказанной эффективностью: низкие концентрации атропина, ортокератологические линзы, специальные очковые и мягкие контактные линзы, а также увеличение времени пребывания на открытом воздухе [10–15]. Однако их применение ограничено двумя нерешёнными задачами. Во-первых, нужен инструмент, который </w:t>
      </w:r>
      <w:r>
        <w:rPr>
          <w:b/>
          <w:bCs/>
        </w:rPr>
        <w:t xml:space="preserve">заранее</w:t>
      </w:r>
      <w:r>
        <w:t xml:space="preserve"> выделяет детей с высоким риском развития и быстрого прогрессирования миопии, чтобы направлять профилактику адресно. Во-вторых, нужна количественная оценка эффекта вмешательств и причинной роли факторов риска, на которые профилактика нацелена.</w:t>
      </w:r>
    </w:p>
    <w:p>
      <w:pPr>
        <w:ind w:firstLine="709"/>
        <w:jc w:val="both"/>
      </w:pPr>
      <w:r>
        <w:t xml:space="preserve">Методы машинного обучения активно применяются для прогнозирования миопии [37]. Но стандартные постановки оптимизируют симметричные метрики средней ошибки, тогда как в клинической задаче цена ошибок асимметрична. Пропуск ребёнка, у которого миопия будет быстро прогрессировать, обходится существенно дороже ложной тревоги, после которой ребёнок просто получит дополнительное наблюдение. Кроме того, клинические выборки в этой области, как правило, малы и несбалансированы по классам. На таких данных сложные модели неустойчивы, а их сравнение требует корректных схем валидации и метрик. Наконец, наблюдательные ассоциации (например, «образование ↔ миопия») сами по себе не позволяют судить о причинности. Для причинного вывода нужны специальные методы, такие как менделевская рандомизация, которая использует генетические варианты как инструментальные переменные [18–22].</w:t>
      </w:r>
    </w:p>
    <w:p>
      <w:pPr>
        <w:ind w:firstLine="709"/>
        <w:jc w:val="both"/>
      </w:pPr>
      <w:r>
        <w:t xml:space="preserve">Таким образом, актуальна разработка математических моделей и воспроизводимого информационно-аналитического инструментария. Он должен объединять индивидуальный прогноз риска с учётом асимметричной цены ошибок, внешнюю проверку факторов, количественную оценку эффективности вмешательств и причинную проверку факторов риска.</w:t>
      </w:r>
    </w:p>
    <w:p>
      <w:pPr>
        <w:ind w:firstLine="709"/>
        <w:jc w:val="both"/>
      </w:pPr>
      <w:r>
        <w:rPr>
          <w:b/>
          <w:bCs/>
        </w:rPr>
        <w:t xml:space="preserve">Степень разработанности темы.</w:t>
      </w:r>
      <w:r>
        <w:t xml:space="preserve"> Факторы риска детской миопии изучены в крупных когортах: Orinda Longitudinal Study of Myopia (OLSM) и CLEERE в США [5–8], Sydney Myopia Study [9], а также в исследованиях в Восточной Азии. Показана ведущая роль исходной рефракции как предиктора начала миопии [5], влияние миопии родителей [6–8], защитный эффект времени на открытом воздухе [7, 9–11] и связь с уровнем образования [18]. Эффективность атропина и ортокератологии подтверждена рандомизированными исследованиями и сетевыми мета-анализами [12–17]. Причинная связь образования и миопии продемонстрирована методом менделевской рандомизации [18]. Модели машинного обучения для прогноза миопии строились на больших электронных медицинских записях [37]. При этом риск-чувствительные постановки с асимметричными функциями потерь в задачах прогноза прогрессирования миопии разработаны недостаточно. Кроме того, не хватает работ, где прогноз, оценка вмешательства и причинная проверка факторов объединены в единый воспроизводимый пайплайн на открытых данных. В отечественных работах исследуются распространённость и возраст начала миопии у школьников [54], биометрия глаза в популяционных когортах [55, 56] и эффективность оптических методов контроля прогрессирования [57]. Вклад генетической эпидемиологии в изучение связи образования и миопии получен в том числе с участием исследователей из Казани [53]. </w:t>
      </w:r>
      <w:r>
        <w:rPr>
          <w:b/>
          <w:bCs/>
          <w:color w:val="C00000"/>
          <w:highlight w:val="yellow"/>
        </w:rPr>
        <w:t xml:space="preserve">[TODO: дополнить классическими отечественными работами (Аветисов Э. С., Тарутта Е. П., Иомдина Е. Н.) из eLIBRARY.]</w:t>
      </w:r>
    </w:p>
    <w:p>
      <w:pPr>
        <w:ind w:firstLine="709"/>
        <w:jc w:val="both"/>
      </w:pPr>
      <w:r>
        <w:rPr>
          <w:b/>
          <w:bCs/>
        </w:rPr>
        <w:t xml:space="preserve">Цель исследования</w:t>
      </w:r>
      <w:r>
        <w:t xml:space="preserve"> — разработка и апробация математических моделей и воспроизводимого информационно-аналитического комплекса для прогнозирования развития и прогрессирования миопии у детей и оценки эффективности её профилактики.</w:t>
      </w:r>
    </w:p>
    <w:p>
      <w:pPr>
        <w:ind w:firstLine="709"/>
        <w:jc w:val="both"/>
      </w:pPr>
      <w:r>
        <w:rPr>
          <w:b/>
          <w:bCs/>
        </w:rPr>
        <w:t xml:space="preserve">Задачи исследования: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провести анализ современного состояния проблемы детской миопии, её факторов риска, методов профилактики и математических подходов к прогнозированию;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разработать гибридную вычислительную схему прогноза прогрессирования миопии с асимметричной функцией потерь SALF и исследовать её свойства;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построить и сравнить модели индивидуального прогноза риска развития миопии у детей на проспективных данных, выбрать порог скрининга и выявить независимые факторы риска;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выполнить внешнюю проверку выявленных факторов риска на независимых популяционных данных;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количественно оценить эффективность комбинированного вмешательства (ортокератология + 0,01% атропин) по прогрессированию осевой длины глаза;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проверить причинную роль уровня образования в развитии миопии методом двухвыборочной менделевской рандомизации;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реализовать предложенные модели и методы в виде воспроизводимого программного комплекса.</w:t>
      </w:r>
    </w:p>
    <w:p>
      <w:pPr>
        <w:ind w:firstLine="709"/>
        <w:jc w:val="both"/>
      </w:pPr>
      <w:r>
        <w:rPr>
          <w:b/>
          <w:bCs/>
        </w:rPr>
        <w:t xml:space="preserve">Объект исследования</w:t>
      </w:r>
      <w:r>
        <w:t xml:space="preserve"> — процессы развития и прогрессирования миопии у детей.</w:t>
      </w:r>
    </w:p>
    <w:p>
      <w:pPr>
        <w:ind w:firstLine="709"/>
        <w:jc w:val="both"/>
      </w:pPr>
      <w:r>
        <w:rPr>
          <w:b/>
          <w:bCs/>
        </w:rPr>
        <w:t xml:space="preserve">Предмет исследования</w:t>
      </w:r>
      <w:r>
        <w:t xml:space="preserve"> — математические модели, методы и алгоритмы прогнозирования развития и прогрессирования миопии и оценки эффективности её профилактики.</w:t>
      </w:r>
    </w:p>
    <w:p>
      <w:pPr>
        <w:ind w:firstLine="709"/>
        <w:jc w:val="both"/>
      </w:pPr>
      <w:r>
        <w:rPr>
          <w:b/>
          <w:bCs/>
        </w:rPr>
        <w:t xml:space="preserve">Научная новизна: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сформулирована задача риск-чувствительного прогноза прогрессирования миопии со сглаженной асимметричной функцией потерь SALF. Доказаны выпуклость и непрерывная дифференцируемость SALF и монотонная зависимость сдвига прогноза от параметра асимметрии τ. Экспериментально показано, что τ монотонно управляет компромиссом между пропусками детей с быстрым прогрессированием и ложными тревогами;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 основе сравнения с квантильной регрессией и сдвигом прогноза базовых моделей при валидации с учётом парности глаз установлено, что на малых выборках риск-чувствительный эффект определяется асимметрией функции потерь, а не сложностью архитектуры. Гибридная схема с нелинейной ветвью и маршрутизатором не превосходит линейную модель с SALF;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разработан воспроизводимый информационно-аналитический пайплайн. В нём на открытых данных объединены индивидуальный прогноз риска, внешняя популяционная проверка факторов, оценка эффективности вмешательства и причинная проверка фактора риска методом менделевской рандомизации;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для проспективной когорты с выраженным дисбалансом классов количественно показано, что исходная рефракция обеспечивает около 97% качества полной модели по PR-AUC. Обоснован порог скрининга, обеспечивающий чувствительность 0,85 при специфичности 0,70;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получена оценка причинного эффекта образования на риск миопии на основе LD-клампированных инструментов (179 SNP). Направленность связи подтверждена тестом Стайгера и обратной менделевской рандомизацией, оценка устойчива по полному набору тестов чувствительности.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Формулировки новизны — самое уязвимое место на защите. Пункты 1–2 — ваш методический вклад, причём пункт 2 — честный отрицательный результат (см. главу 3). Для 1.5.8 это допустимо, если подано как установленная закономерность, а не как неудача. Пункты 4–5 подтверждают известные результаты (Zadnik 2015 [5] — роль рефракции; Mountjoy 2018 [18] — MR образования) на других данных и в другой постановке. Их нельзя подавать как «впервые установлено». Слово «впервые» используйте только после проверки литературы.</w:t>
      </w:r>
    </w:p>
    <w:p>
      <w:pPr>
        <w:ind w:firstLine="709"/>
        <w:jc w:val="both"/>
      </w:pPr>
      <w:r>
        <w:rPr>
          <w:b/>
          <w:bCs/>
        </w:rPr>
        <w:t xml:space="preserve">Теоретическая значимость</w:t>
      </w:r>
      <w:r>
        <w:t xml:space="preserve"> работы состоит в формальном обосновании риск-чувствительного прогноза с асимметричной функцией потерь (свойства SALF, монотонность по параметру асимметрии) и в методике его корректной оценки: доля пропусков сообщается вместе с долей ложных тревог и пороговонезависимой AUC, а валидация учитывает парность глаз. Кроме того, сформирована методология сопоставления прогностических, интервенционных и причинных оценок в рамках единого пайплайна.</w:t>
      </w:r>
    </w:p>
    <w:p>
      <w:pPr>
        <w:ind w:firstLine="709"/>
        <w:jc w:val="both"/>
      </w:pPr>
      <w:r>
        <w:rPr>
          <w:b/>
          <w:bCs/>
        </w:rPr>
        <w:t xml:space="preserve">Практическая значимость.</w:t>
      </w:r>
      <w:r>
        <w:t xml:space="preserve"> Предложенная модель скрининга может применяться для раннего выделения детей группы риска по данным рутинного офтальмологического обследования (рефрактометрия, семейный анамнез, анкетирование). Полученные оценки эффективности комбинированного вмешательства и причинной роли зрительной нагрузки при обучении дают количественную основу для профилактических программ. Программный комплекс выполнен на открытом программном обеспечении и полностью воспроизводим. </w:t>
      </w:r>
      <w:r>
        <w:rPr>
          <w:b/>
          <w:bCs/>
          <w:color w:val="C00000"/>
          <w:highlight w:val="yellow"/>
        </w:rPr>
        <w:t xml:space="preserve">[TODO: свидетельство о государственной регистрации программы для ЭВМ; акт внедрения или использования в учебном процессе — если будут.]</w:t>
      </w:r>
    </w:p>
    <w:p>
      <w:pPr>
        <w:ind w:firstLine="709"/>
        <w:jc w:val="both"/>
      </w:pPr>
      <w:r>
        <w:rPr>
          <w:b/>
          <w:bCs/>
        </w:rPr>
        <w:t xml:space="preserve">Методология и методы исследования.</w:t>
      </w:r>
      <w:r>
        <w:t xml:space="preserve"> В работе использованы методы математического моделирования, математической статистики (логистическая регрессия, ANCOVA, непараметрические критерии), машинного обучения (ансамбли деревьев решений, градиентный бустинг, повторная стратифицированная перекрёстная проверка), робастной и квантильной регрессии, численной оптимизации, а также генетической эпидемиологии (менделевская рандомизация, LD-клампинг). Программная реализация выполнена на языке Python (NumPy, SciPy, pandas, scikit-learn) и в пакете PLINK. Материалом послужили открытые наборы данных: OLSM (n = 618), NHANES 2007–2008 (n = 990), рандомизированное исследование Kinoshita et al. (73 ребёнка, 146 глаз), сводные статистики GWAS UK Biobank из GWAS Catalog и референсная панель 1000 Genomes.</w:t>
      </w:r>
    </w:p>
    <w:p>
      <w:pPr>
        <w:ind w:firstLine="709"/>
        <w:jc w:val="both"/>
      </w:pPr>
      <w:r>
        <w:rPr>
          <w:b/>
          <w:bCs/>
        </w:rPr>
        <w:t xml:space="preserve">Положения, выносимые на защиту: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Параметр асимметрии τ функции потерь SALF монотонно управляет компромиссом между пропуском детей с высоким риском и ложными тревогами: доля пропусков снижается с 0,91 до 0,20 на когорте OLSM и с 0,69 до 0,24 на данных РКИ. На малых выборках этот эффект обусловлен асимметрией функции потерь, а не архитектурой модели: гибридная схема не превосходит линейную модель с SALF и квантильную регрессию (различия AUC ≤ 0,03, p ≥ 0,19). Поэтому для скрининга достаточно интерпретируемой линейной модели с SALF.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 малых проспективных выборках с дисбалансом классов интерпретируемая логистическая модель превосходит ансамблевые методы по PR-AUC (0,59 против ≤ 0,50). Независимыми факторами риска развития миопии являются исходная рефракция, время физической активности на открытом воздухе и миопия каждого из родителей, причём исходная рефракция — доминирующий скрининговый маркер.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Комбинация ортокератологии с 0,01% атропином замедляет удлинение глаза у детей на 0,11 мм за 2 года (на 26%) относительно монотерапии ортокератологией с поправкой на возраст и исходную рефракцию (p = 0,042).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Образование оказывает причинное влияние на риск миопии: увеличение генетически предсказанной вероятности окончить колледж на 10 процентных пунктов повышает шансы миопии на 14,5% (OR = 1,145; 95% ДИ 1,119–1,171). Обратного влияния нет, оценка устойчива к выбору метода и к исключению отдельных инструментов.</w:t>
      </w:r>
    </w:p>
    <w:p>
      <w:pPr>
        <w:ind w:firstLine="709"/>
        <w:jc w:val="both"/>
      </w:pPr>
      <w:r>
        <w:rPr>
          <w:b/>
          <w:bCs/>
        </w:rPr>
        <w:t xml:space="preserve">Степень достоверности</w:t>
      </w:r>
      <w:r>
        <w:t xml:space="preserve"> результатов обеспечивается использованием открытых верифицируемых данных и корректных схем валидации (повторная стратифицированная перекрёстная проверка, оценки вне обучающих блоков), а также согласованностью нескольких независимых методов оценки (IVW, MR-Egger, weighted median) и тестами чувствительности. Все результаты полностью воспроизводятся опубликованным программным кодом: повторный запуск даёт идентичные таблицы результатов.</w:t>
      </w:r>
    </w:p>
    <w:p>
      <w:pPr>
        <w:ind w:firstLine="709"/>
        <w:jc w:val="both"/>
      </w:pPr>
      <w:r>
        <w:rPr>
          <w:b/>
          <w:bCs/>
        </w:rPr>
        <w:t xml:space="preserve">Апробация результатов.</w:t>
      </w:r>
      <w:r>
        <w:t xml:space="preserve"> </w:t>
      </w:r>
      <w:r>
        <w:rPr>
          <w:b/>
          <w:bCs/>
          <w:color w:val="C00000"/>
          <w:highlight w:val="yellow"/>
        </w:rPr>
        <w:t xml:space="preserve">[TODO: перечислить конференции, где докладывались результаты — название, город, год. Минимум 2–3 доклада; желательно хотя бы один всероссийский или международный.]</w:t>
      </w:r>
    </w:p>
    <w:p>
      <w:pPr>
        <w:ind w:firstLine="709"/>
        <w:jc w:val="both"/>
      </w:pPr>
      <w:r>
        <w:rPr>
          <w:b/>
          <w:bCs/>
        </w:rPr>
        <w:t xml:space="preserve">Публикации.</w:t>
      </w:r>
      <w:r>
        <w:t xml:space="preserve"> По теме диссертации опубликовано </w:t>
      </w:r>
      <w:r>
        <w:rPr>
          <w:b/>
          <w:bCs/>
          <w:color w:val="C00000"/>
          <w:highlight w:val="yellow"/>
        </w:rPr>
        <w:t xml:space="preserve">[TODO: N]</w:t>
      </w:r>
      <w:r>
        <w:t xml:space="preserve"> работ, в том числе </w:t>
      </w:r>
      <w:r>
        <w:rPr>
          <w:b/>
          <w:bCs/>
          <w:color w:val="C00000"/>
          <w:highlight w:val="yellow"/>
        </w:rPr>
        <w:t xml:space="preserve">[TODO: N]</w:t>
      </w:r>
      <w:r>
        <w:t xml:space="preserve"> в рецензируемых научных изданиях из перечня ВАК / Scopus / Web of Science: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Халилов В. Р., Шулаев А. В. Математическая модель прогноза прогрессирования миопии на основе гибридной вычислительной схемы // </w:t>
      </w:r>
      <w:r>
        <w:rPr>
          <w:b/>
          <w:bCs/>
          <w:color w:val="C00000"/>
          <w:highlight w:val="yellow"/>
        </w:rPr>
        <w:t xml:space="preserve">[TODO: журнал, год, том, номер, страницы]</w:t>
      </w:r>
      <w: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color w:val="C00000"/>
          <w:highlight w:val="yellow"/>
        </w:rPr>
        <w:t xml:space="preserve">[TODO: планируется]</w:t>
      </w:r>
      <w:r>
        <w:t xml:space="preserve"> Эмпирическая апробация гибридной вычислительной схемы с асимметричной функцией потерь SALF… (черновик — </w:t>
      </w:r>
      <w:r>
        <w:rPr>
          <w:rFonts w:ascii="Consolas" w:cs="Consolas" w:eastAsia="Consolas" w:hAnsi="Consolas"/>
          <w:sz w:val="24"/>
          <w:szCs w:val="24"/>
        </w:rPr>
        <w:t xml:space="preserve">article/salf_empirical_draft.md</w:t>
      </w:r>
      <w:r>
        <w:t xml:space="preserve">; числа в нём устарели и требуют замены по результатам главы 3).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color w:val="C00000"/>
          <w:highlight w:val="yellow"/>
        </w:rPr>
        <w:t xml:space="preserve">[TODO: планируется]</w:t>
      </w:r>
      <w:r>
        <w:t xml:space="preserve"> Прогноз риска развития миопии у детей на основе проспективных данных (по материалам главы 4).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color w:val="C00000"/>
          <w:highlight w:val="yellow"/>
        </w:rPr>
        <w:t xml:space="preserve">[TODO: планируется]</w:t>
      </w:r>
      <w:r>
        <w:t xml:space="preserve"> Причинная оценка факторов риска миопии методом менделевской рандомизации / оценка эффективности вмешательства (по материалам главы 5).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По Положению о присуждении учёных степеней для кандидатской в естественных и технических науках нужно не менее 2 статей в рецензируемых изданиях. Если защита проходит в собственном совете КФУ, у него могут быть свои требования (например, Scopus/WoS) — уточните заранее. Сейчас вышла одна статья, поэтому опубликовать результаты глав 3 и 4 — критический путь к защите.</w:t>
      </w:r>
    </w:p>
    <w:p>
      <w:pPr>
        <w:ind w:firstLine="709"/>
        <w:jc w:val="both"/>
      </w:pPr>
      <w:r>
        <w:rPr>
          <w:b/>
          <w:bCs/>
        </w:rPr>
        <w:t xml:space="preserve">Личный вклад автора</w:t>
      </w:r>
      <w:r>
        <w:t xml:space="preserve"> состоит в постановке задач, разработке гибридной схемы и функции потерь SALF, программной реализации всех моделей и методов, проведении вычислительных экспериментов, анализе и интерпретации результатов, подготовке публикаций. Научному руководителю принадлежит участие в постановке задачи и обсуждении результатов. </w:t>
      </w:r>
      <w:r>
        <w:rPr>
          <w:b/>
          <w:bCs/>
          <w:color w:val="C00000"/>
          <w:highlight w:val="yellow"/>
        </w:rPr>
        <w:t xml:space="preserve">[TODO: согласовать формулировку с руководителем.]</w:t>
      </w:r>
    </w:p>
    <w:p>
      <w:pPr>
        <w:ind w:firstLine="709"/>
        <w:jc w:val="both"/>
      </w:pPr>
      <w:r>
        <w:rPr>
          <w:b/>
          <w:bCs/>
        </w:rPr>
        <w:t xml:space="preserve">Соответствие паспорту специальности.</w:t>
      </w:r>
      <w:r>
        <w:t xml:space="preserve"> Диссертация соответствует паспорту специальности 1.5.8 «Математическая биология, биоинформатика» в части математического моделирования биологических процессов (развитие и прогрессирование миопии), статистических методов анализа медико-биологических данных и анализа генетических данных (менделевская рандомизация). </w:t>
      </w:r>
      <w:r>
        <w:rPr>
          <w:b/>
          <w:bCs/>
          <w:color w:val="C00000"/>
          <w:highlight w:val="yellow"/>
        </w:rPr>
        <w:t xml:space="preserve">[TODO: указать точные номера пунктов паспорта по тексту паспорта специальности 1.5.8.]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Специальность — 1.5.8. Для неё особенно важны биологическая содержательность и биоинформатический блок: менделевская рандомизация (глава 5) работает на соответствие паспорту, и её стоит усиливать.</w:t>
      </w:r>
    </w:p>
    <w:p>
      <w:pPr>
        <w:ind w:firstLine="709"/>
        <w:jc w:val="both"/>
      </w:pPr>
      <w:r>
        <w:rPr>
          <w:b/>
          <w:bCs/>
        </w:rPr>
        <w:t xml:space="preserve">Структура и объём диссертации.</w:t>
      </w:r>
      <w:r>
        <w:t xml:space="preserve"> Диссертация состоит из введения, пяти глав, заключения, списка сокращений, списка литературы и приложений. Текущая версия содержит 10 рисунков, 18 таблиц и 57 источников литературы; объём — около 65 страниц. </w:t>
      </w:r>
      <w:r>
        <w:rPr>
          <w:b/>
          <w:bCs/>
          <w:color w:val="C00000"/>
          <w:highlight w:val="yellow"/>
        </w:rPr>
        <w:t xml:space="preserve">[TODO: обновить числа после окончательной вёрстки; ориентир для кандидатской — 120–150 страниц.]</w:t>
      </w:r>
    </w:p>
    <w:p>
      <w:pPr>
        <w:pStyle w:val="Heading1"/>
        <w:pageBreakBefore/>
        <w:jc w:val="center"/>
      </w:pPr>
      <w:bookmarkStart w:name="_Toc2" w:id="2"/>
      <w:r>
        <w:t xml:space="preserve">ГЛАВА 1. МИОПИЯ У ДЕТЕЙ КАК ОБЪЕКТ МАТЕМАТИЧЕСКОГО МОДЕЛИРОВАНИЯ (АНАЛИТИЧЕСКИЙ ОБЗОР)</w:t>
      </w:r>
      <w:bookmarkEnd w:id="2"/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Текст главы написан по проверенным источникам: медицинские и генетические работы сверены с PubMed. Это рабочая основа на 15–20 страниц. До целевого объёма (25–35 страниц) её стоит расширить своими формулировками и отечественными работами из eLIBRARY, особенно по эпидемиологии в России и Республике Татарстан и по отечественной школе (Аветисов, Тарутта, Иомдина).</w:t>
      </w:r>
    </w:p>
    <w:p>
      <w:pPr>
        <w:pStyle w:val="Heading2"/>
      </w:pPr>
      <w:bookmarkStart w:name="_Toc3" w:id="3"/>
      <w:r>
        <w:t xml:space="preserve">1.1. Эпидемиология и социальная значимость детской миопии</w:t>
      </w:r>
      <w:bookmarkEnd w:id="3"/>
    </w:p>
    <w:p>
      <w:pPr>
        <w:ind w:firstLine="709"/>
        <w:jc w:val="both"/>
      </w:pPr>
      <w:r>
        <w:t xml:space="preserve">Миопия — самое распространённое нарушение рефракции и одна из ведущих причин нарушения зрения вдаль. По данным мета-анализа Holden et al., охватившего 145 исследований и около 2,1 млн участников, в 2000 г. миопия была у 22,9% населения мира (≈1,4 млрд человек), а миопия высокой степени — у 2,7% [1]. Согласно прогнозу, к 2050 г. эти доли вырастут до 49,8% (≈4,8 млрд) и 9,8% (≈0,9 млрд) соответственно. Наиболее высокая распространённость отмечается в городских районах Восточной Азии, где миопия выявляется у 80–90% выпускников школ [2]. Удвоение распространённости за одно-два поколения не может быть объяснено изменением генетической структуры популяций. Оно указывает на ведущую роль средовых факторов, связанных с образом жизни и интенсивностью обучения [2, 3].</w:t>
      </w:r>
    </w:p>
    <w:p>
      <w:pPr>
        <w:ind w:firstLine="709"/>
        <w:jc w:val="both"/>
      </w:pPr>
      <w:r>
        <w:t xml:space="preserve">Социальная значимость миопии определяется прежде всего её осложнениями. Миопия высокой степени связана с повышенным риском миопической макулопатии, отслойки сетчатки, глаукомы и катаракты, причём риск растёт с увеличением осевой длины глаза [3]. Поскольку степень миопии в зрелом возрасте во многом определяется возрастом её начала и скоростью прогрессирования в школьные годы, детский возраст является главным окном для профилактики [3, 15].</w:t>
      </w:r>
    </w:p>
    <w:p>
      <w:pPr>
        <w:ind w:firstLine="709"/>
        <w:jc w:val="both"/>
      </w:pPr>
      <w:r>
        <w:t xml:space="preserve">В Российской Федерации также отмечается высокая распространённость нарушений рефракции у школьников. В исследовании Штиной и соавт. (Пермь, 1450 учащихся 1–11 классов) нарушения аккомодации и рефракции выявлены у 37% обследованных, а миопия — у 24,8%. Возраст оказался основным предиктором миопии (AUC = 0,684, оптимальная точка разделения — 11 лет). Авторы отмечают, что фактическая распространённость миопии у подростков до 2,5 раза превышает показатели официальной заболеваемости [54]. В популяционном исследовании Ural Children Eye Study (Уфа, 4933 ребёнка) средняя циклоплегическая рефракция составила −0,87 ± 1,73 дптр. Рефракция была тесно связана с осевой длиной глаза, а снижение рефракции с возрастом было круче у девочек, особенно после 11 лет [55]. В Ural Children Myopia Study среднегодовое удлинение оси у школьников составило 0,19 мм. У детей младше 9,6 года в период ограничений, связанных с пандемией COVID-19, удлинение оси ускорилось [56]. </w:t>
      </w:r>
      <w:r>
        <w:rPr>
          <w:b/>
          <w:bCs/>
          <w:color w:val="C00000"/>
          <w:highlight w:val="yellow"/>
        </w:rPr>
        <w:t xml:space="preserve">[TODO: дополнить данными Росстата и Минздрава о заболеваемости миопией у детей в России и Республике Татарстан за последние 5–10 лет.]</w:t>
      </w:r>
    </w:p>
    <w:p>
      <w:pPr>
        <w:pStyle w:val="Heading2"/>
      </w:pPr>
      <w:bookmarkStart w:name="_Toc4" w:id="4"/>
      <w:r>
        <w:t xml:space="preserve">1.2. Определение, классификация и биометрические маркеры миопии</w:t>
      </w:r>
      <w:bookmarkEnd w:id="4"/>
    </w:p>
    <w:p>
      <w:pPr>
        <w:ind w:firstLine="709"/>
        <w:jc w:val="both"/>
      </w:pPr>
      <w:r>
        <w:t xml:space="preserve">Согласно стандартам International Myopia Institute (IMI), миопия определяется как состояние, при котором сферический эквивалент рефракции глаза при расслабленной аккомодации составляет SE ≤ −0,50 дптр. Миопия высокой степени — SE ≤ −6,00 дптр [4]. Отдельно выделяется пре-миопия: состояние с рефракцией −0,50 &lt; SE ≤ +0,75 дптр у ребёнка с факторами риска, при котором вероятность развития миопии повышена и оправданы профилактические меры [4]. Определение подчёркивает необходимость циклоплегии: без неё рефрактометрия у детей систематически смещает оценку в сторону миопии за счёт тонуса аккомодации. Это существенно для сопоставимости исследований. В частности, в используемом в работе наборе NHANES авторефракция выполнялась без циклоплегии, что следует учитывать при интерпретации.</w:t>
      </w:r>
    </w:p>
    <w:p>
      <w:pPr>
        <w:ind w:firstLine="709"/>
        <w:jc w:val="both"/>
      </w:pPr>
      <w:r>
        <w:t xml:space="preserve">Анатомическим субстратом детской миопии является преимущественно избыточное удлинение глаза (осевая миопия); классическое описание механизмов развития близорукости в отечественной литературе дано в монографии Э. С. Аветисова [43]. Поэтому прирост осевой длины глаза (AL), измеряемый оптической биометрией, служит основным объективным исходом в исследованиях контроля прогрессирования [14–17]. В отличие от рефракции, этот исход не зависит от аккомодации и измеряется с высокой воспроизводимостью. Рефракция и осевая длина связаны тесно, но не однозначно: компоненты оптической системы (роговица, хрусталик) компенсируют рост глаза в процессе эмметропизации [55].</w:t>
      </w:r>
    </w:p>
    <w:p>
      <w:pPr>
        <w:ind w:firstLine="709"/>
        <w:jc w:val="both"/>
      </w:pPr>
      <w:r>
        <w:t xml:space="preserve">Для ранней диагностики ключевым является понятие </w:t>
      </w:r>
      <w:r>
        <w:rPr>
          <w:b/>
          <w:bCs/>
        </w:rPr>
        <w:t xml:space="preserve">гиперметропического резерва</w:t>
      </w:r>
      <w:r>
        <w:t xml:space="preserve">. У большинства детей дошкольного и младшего школьного возраста сохраняется небольшая гиперметропия. Её уменьшение ниже возрастной нормы предшествует развитию миопии и является самым сильным известным одиночным предиктором её начала [5]. Важно, что на этом этапе осевая длина ещё может не отличаться от нормы, поэтому прогноз приходится строить по рефракции, а не по анатомии. Этот эффект воспроизводится и в данных настоящей работы (глава 4).</w:t>
      </w:r>
    </w:p>
    <w:p>
      <w:pPr>
        <w:pStyle w:val="Heading2"/>
      </w:pPr>
      <w:bookmarkStart w:name="_Toc5" w:id="5"/>
      <w:r>
        <w:t xml:space="preserve">1.3. Факторы риска развития миопии</w:t>
      </w:r>
      <w:bookmarkEnd w:id="5"/>
    </w:p>
    <w:p>
      <w:pPr>
        <w:ind w:firstLine="709"/>
        <w:jc w:val="both"/>
      </w:pPr>
      <w:r>
        <w:rPr>
          <w:b/>
          <w:bCs/>
        </w:rPr>
        <w:t xml:space="preserve">Наследственность.</w:t>
      </w:r>
      <w:r>
        <w:t xml:space="preserve"> Риск миопии у ребёнка возрастает с числом близоруких родителей. В когорте OLSM у детей близоруких родителей осевая длина глаза была больше ещё до развития миопии [8]. Ассоциация миопии родителей с миопией у ребёнка сохраняется с поправкой на близкую зрительную нагрузку [6]. Генетическая архитектура миопии полигенная: полногеномные исследования выявили сотни ассоциированных локусов, каждый из которых вносит малый вклад [3]. Вместе с тем семейная агрегация частично отражает и общий для семьи образ жизни.</w:t>
      </w:r>
    </w:p>
    <w:p>
      <w:pPr>
        <w:ind w:firstLine="709"/>
        <w:jc w:val="both"/>
      </w:pPr>
      <w:r>
        <w:rPr>
          <w:b/>
          <w:bCs/>
        </w:rPr>
        <w:t xml:space="preserve">Исходная рефракция.</w:t>
      </w:r>
      <w:r>
        <w:t xml:space="preserve"> В исследовании CLEERE (n &gt; 4500 детей) сферический эквивалент на исходном визите оказался наилучшим одиночным предиктором развития миопии к восьмому классу. Добавление других факторов лишь незначительно улучшало прогноз [5]. Отсюда следует практический вывод о ценности ранней рефрактометрии как скринингового инструмента.</w:t>
      </w:r>
    </w:p>
    <w:p>
      <w:pPr>
        <w:ind w:firstLine="709"/>
        <w:jc w:val="both"/>
      </w:pPr>
      <w:r>
        <w:rPr>
          <w:b/>
          <w:bCs/>
        </w:rPr>
        <w:t xml:space="preserve">Время на открытом воздухе.</w:t>
      </w:r>
      <w:r>
        <w:t xml:space="preserve"> В когорте OLSM дети, у которых впоследствии развилась миопия, проводили меньше времени за спортом и активностью на открытом воздухе. Защитный эффект был наиболее выражен у детей с двумя близорукими родителями [7]. Аналогичная связь показана в Sydney Myopia Study, где ключевым оказалось именно время на открытом воздухе, а не физическая активность как таковая [9]. Причинную роль фактора подтвердили кластерные рандомизированные исследования. Дополнительный урок на открытом воздухе в школах Гуанчжоу снизил трёхлетнюю кумулятивную заболеваемость миопией [10]. Проведение перемен на улице в школах Тайваня уменьшило как частоту возникновения, так и скорость прогрессирования миопии [11]. Обсуждаемые механизмы: высокая освещённость, стимулирующая выброс дофамина в сетчатке, и особенности дефокуса при взгляде вдаль. </w:t>
      </w:r>
      <w:r>
        <w:rPr>
          <w:b/>
          <w:bCs/>
          <w:color w:val="C00000"/>
          <w:highlight w:val="yellow"/>
        </w:rPr>
        <w:t xml:space="preserve">[TODO: дополнить обзорами из datasets/Physical activity…/ (JBI, PALX, sleep).]</w:t>
      </w:r>
    </w:p>
    <w:p>
      <w:pPr>
        <w:ind w:firstLine="709"/>
        <w:jc w:val="both"/>
      </w:pPr>
      <w:r>
        <w:rPr>
          <w:b/>
          <w:bCs/>
        </w:rPr>
        <w:t xml:space="preserve">Близкая зрительная нагрузка и экранное время.</w:t>
      </w:r>
      <w:r>
        <w:t xml:space="preserve"> Связь с близкой нагрузкой (чтение, учёба, работа с экранами) показана во многих исследованиях. Однако эффект слабее и менее устойчив, чем у времени на открытом воздухе. Он чувствителен к способу измерения нагрузки (обычно анкетный самоотчёт) и к поправке на другие факторы [6]. Это мотивирует использование агрегированных показателей нагрузки (например, «диоптрии-часы» в OLSM) и осторожность в их интерпретации. </w:t>
      </w:r>
      <w:r>
        <w:rPr>
          <w:b/>
          <w:bCs/>
          <w:color w:val="C00000"/>
          <w:highlight w:val="yellow"/>
        </w:rPr>
        <w:t xml:space="preserve">[TODO: дополнить обзорами near work и screen time из datasets/Physical activity…/.]</w:t>
      </w:r>
    </w:p>
    <w:p>
      <w:pPr>
        <w:ind w:firstLine="709"/>
        <w:jc w:val="both"/>
      </w:pPr>
      <w:r>
        <w:rPr>
          <w:b/>
          <w:bCs/>
        </w:rPr>
        <w:t xml:space="preserve">Образование.</w:t>
      </w:r>
      <w:r>
        <w:t xml:space="preserve"> Ассоциация уровня образования с миопией — одна из наиболее устойчивых в эпидемиологии. Её причинный характер подтверждён методом менделевской рандомизации на данных UK Biobank: каждый дополнительный год обучения сдвигает рефракцию примерно на −0,27 дптр [18]. По данным более поздней работы с участием исследователей Казанского государственного медицинского университета, этот эффект частично опосредован уменьшением времени на открытом воздухе. С учётом времени на открытом воздухе оценка снижается до −0,17 дптр на год обучения [53]. Эти результаты непосредственно связаны с задачами главы 5.</w:t>
      </w:r>
    </w:p>
    <w:p>
      <w:pPr>
        <w:pStyle w:val="Heading2"/>
      </w:pPr>
      <w:bookmarkStart w:name="_Toc6" w:id="6"/>
      <w:r>
        <w:t xml:space="preserve">1.4. Методы профилактики и контроля прогрессирования миопии</w:t>
      </w:r>
      <w:bookmarkEnd w:id="6"/>
    </w:p>
    <w:p>
      <w:pPr>
        <w:ind w:firstLine="709"/>
        <w:jc w:val="both"/>
      </w:pPr>
      <w:r>
        <w:t xml:space="preserve">Современные подходы к контролю прогрессирования детской миопии делятся на фармакологические, оптические и поведенческие [14, 15].</w:t>
      </w:r>
    </w:p>
    <w:p>
      <w:pPr>
        <w:ind w:firstLine="709"/>
        <w:jc w:val="both"/>
      </w:pPr>
      <w:r>
        <w:rPr>
          <w:b/>
          <w:bCs/>
        </w:rPr>
        <w:t xml:space="preserve">Фармакологические.</w:t>
      </w:r>
      <w:r>
        <w:t xml:space="preserve"> Наиболее изучен атропин. Исследование ATOM2 показало дозозависимый эффект концентраций 0,5%, 0,1% и 0,01%. Минимальная концентрация 0,01% сочетала клинически значимое замедление прогрессирования с наименьшими побочными эффектами (фотофобия, нарушение аккомодации) и наименьшим эффектом отмены [12]. Плацебо-контролируемое исследование LAMP подтвердило зависимость «концентрация — ответ» в диапазоне 0,01–0,05%. При этом эффект 0,01% в отношении осевой длины оказался скромным [13].</w:t>
      </w:r>
    </w:p>
    <w:p>
      <w:pPr>
        <w:ind w:firstLine="709"/>
        <w:jc w:val="both"/>
      </w:pPr>
      <w:r>
        <w:rPr>
          <w:b/>
          <w:bCs/>
        </w:rPr>
        <w:t xml:space="preserve">Оптические.</w:t>
      </w:r>
      <w:r>
        <w:t xml:space="preserve"> Ортокератология (ночные жёсткие линзы обратной геометрии) замедляет удлинение глаза по сравнению с монофокальной коррекцией, что показано, в частности, в рандомизированном исследовании ROMIO [52]. Механизм связывают с созданием периферического миопического дефокуса. На том же принципе основаны очковые линзы с периферическим дефокусом (в том числе линзы с высокоасферическими микролинзами, HAL) и мультифокальные мягкие контактные линзы. В отечественных исследованиях показано, что у детей с впервые выявленной миопией линзы HAL уже через месяц ношения вызывают утолщение хориоидеи и уменьшение осевой длины по сравнению с монофокальными линзами [57].</w:t>
      </w:r>
    </w:p>
    <w:p>
      <w:pPr>
        <w:ind w:firstLine="709"/>
        <w:jc w:val="both"/>
      </w:pPr>
      <w:r>
        <w:rPr>
          <w:b/>
          <w:bCs/>
        </w:rPr>
        <w:t xml:space="preserve">Поведенческие.</w:t>
      </w:r>
      <w:r>
        <w:t xml:space="preserve"> Это увеличение времени на открытом воздухе [10, 11] и рациональная организация зрительной нагрузки.</w:t>
      </w:r>
    </w:p>
    <w:p>
      <w:pPr>
        <w:ind w:firstLine="709"/>
        <w:jc w:val="both"/>
      </w:pPr>
      <w:r>
        <w:t xml:space="preserve">Сетевой мета-анализ 16 вмешательств показал наибольшую эффективность атропина. Ортокератология, линзы с периферическим дефокусом и время на открытом воздухе дают умеренный эффект [14]. Нерешённым остаётся вопрос </w:t>
      </w:r>
      <w:r>
        <w:rPr>
          <w:b/>
          <w:bCs/>
        </w:rPr>
        <w:t xml:space="preserve">аддитивности</w:t>
      </w:r>
      <w:r>
        <w:t xml:space="preserve">: даёт ли комбинация вмешательств с разными механизмами дополнительный эффект по сравнению с монотерапией? Рандомизированное исследование Kinoshita et al. впервые показало аддитивный эффект комбинации ортокератологии и 0,01% атропина на первом году [16], а затем и за два года [17]. Открытые индивидуальные данные этого исследования используются в главе 5 для независимой количественной оценки эффекта.</w:t>
      </w:r>
    </w:p>
    <w:p>
      <w:pPr>
        <w:pStyle w:val="Heading2"/>
      </w:pPr>
      <w:bookmarkStart w:name="_Toc7" w:id="7"/>
      <w:r>
        <w:t xml:space="preserve">1.5. Математические модели и методы машинного обучения для прогнозирования миопии</w:t>
      </w:r>
      <w:bookmarkEnd w:id="7"/>
    </w:p>
    <w:p>
      <w:pPr>
        <w:ind w:firstLine="709"/>
        <w:jc w:val="both"/>
      </w:pPr>
      <w:r>
        <w:rPr>
          <w:b/>
          <w:bCs/>
        </w:rPr>
        <w:t xml:space="preserve">Статистические модели.</w:t>
      </w:r>
      <w:r>
        <w:t xml:space="preserve"> Классическим инструментом прогноза бинарного исхода остаётся логистическая регрессия [27]. Её достоинства — интерпретируемость коэффициентов как отношений шансов, устойчивость на малых выборках и хорошо разработанная теория вывода. Именно логистическая модель лежит в основе прогностических работ CLEERE [5]. Для непрерывных исходов (рефракция, осевая длина) применяются линейные модели и модели роста со случайными эффектами.</w:t>
      </w:r>
    </w:p>
    <w:p>
      <w:pPr>
        <w:ind w:firstLine="709"/>
        <w:jc w:val="both"/>
      </w:pPr>
      <w:r>
        <w:rPr>
          <w:b/>
          <w:bCs/>
        </w:rPr>
        <w:t xml:space="preserve">Машинное обучение.</w:t>
      </w:r>
      <w:r>
        <w:t xml:space="preserve"> Ансамблевые методы — случайный лес [28] и градиентный бустинг [29, 36] — способны моделировать нелинейности и взаимодействия без их явного задания. В работе Lin et al. модель случайного леса, обученная на данных рефракции из электронных медицинских записей сотен тысяч китайских школьников, прогнозировала развитие миопии высокой степени на горизонте нескольких лет [37]. Однако преимущество сложных моделей проявляется главным образом на больших выборках. На выборках в сотни наблюдений с десятками положительных исходов дисперсия ансамблей велика, а их преимущество перед регуляризованными линейными моделями не гарантировано. Это обстоятельство экспериментально исследуется в главе 4.</w:t>
      </w:r>
    </w:p>
    <w:p>
      <w:pPr>
        <w:ind w:firstLine="709"/>
        <w:jc w:val="both"/>
      </w:pPr>
      <w:r>
        <w:rPr>
          <w:b/>
          <w:bCs/>
        </w:rPr>
        <w:t xml:space="preserve">Метрики и валидация.</w:t>
      </w:r>
      <w:r>
        <w:t xml:space="preserve"> Для несбалансированных задач, типичных для прогноза заболеваний с невысокой частотой, ROC-AUC может давать излишне оптимистичную картину. Кривая «точность — полнота» и площадь под ней (PR-AUC) информативнее [32]. Для клинического применения важна не только дискриминация, но и калибровка, то есть соответствие предсказанных вероятностей наблюдаемым частотам. По образному выражению Van Calster et al., калибровка — «ахиллесова пята» прогностической аналитики [35]. Стандарт TRIPOD регламентирует отчётность о разработке и валидации прогностических моделей [33].</w:t>
      </w:r>
    </w:p>
    <w:p>
      <w:pPr>
        <w:ind w:firstLine="709"/>
        <w:jc w:val="both"/>
      </w:pPr>
      <w:r>
        <w:rPr>
          <w:b/>
          <w:bCs/>
        </w:rPr>
        <w:t xml:space="preserve">Асимметрия цены ошибок.</w:t>
      </w:r>
      <w:r>
        <w:t xml:space="preserve"> В скрининге пропуск ребёнка, нуждающегося во вмешательстве (ложноотрицательный результат), как правило, обходится дороже ложной тревоги. Теория обучения с учётом стоимости ошибок (cost-sensitive learning) показывает: если ошибки классификатора, выдающего корректные вероятности, имеют разную цену, оптимальное решение сводится к сдвигу порога классификации [34]. Для регрессионных задач аналогами являются асимметричные функции потерь: квантильная (pinball) функция [31], асимметричная квадратичная функция экспектильной регрессии [47] и асимметричная функция Хьюбера, лежащая в основе M-квантильной регрессии [46]. Функция Хьюбера [30] обеспечивает компромисс между эффективностью квадратичной функции потерь и робастностью абсолютной. В прогнозе прогрессирования миопии асимметричные функции потерь систематически не применялись. Не исследован и вопрос о том, даёт ли их сочетание с более сложными архитектурами преимущество перед простым сдвигом порога. Этот вопрос рассматривается в главе 3.</w:t>
      </w:r>
    </w:p>
    <w:p>
      <w:pPr>
        <w:pStyle w:val="Heading2"/>
      </w:pPr>
      <w:bookmarkStart w:name="_Toc8" w:id="8"/>
      <w:r>
        <w:t xml:space="preserve">1.6. Методы причинного вывода: менделевская рандомизация</w:t>
      </w:r>
      <w:bookmarkEnd w:id="8"/>
    </w:p>
    <w:p>
      <w:pPr>
        <w:ind w:firstLine="709"/>
        <w:jc w:val="both"/>
      </w:pPr>
      <w:r>
        <w:t xml:space="preserve">Наблюдательные ассоциации подвержены смешиванию и обратной причинности. Менделевская рандомизация (MR) использует генетические варианты, ассоциированные с фактором риска, как инструментальные переменные [19]. Поскольку аллели распределяются при зачатии случайно, связь генетически предсказанного уровня фактора с исходом меньше подвержена смешиванию. Метод опирается на три допущения: инструмент связан с экспозицией (релевантность), не связан с конфаундерами (независимость) и влияет на исход только через экспозицию (исключение).</w:t>
      </w:r>
    </w:p>
    <w:p>
      <w:pPr>
        <w:ind w:firstLine="709"/>
        <w:jc w:val="both"/>
      </w:pPr>
      <w:r>
        <w:t xml:space="preserve">В двухвыборочной MR используются сводные статистики полногеномных ассоциативных исследований (GWAS) экспозиции и исхода. Основная оценка — обратно-дисперсионно взвешенная (IVW) [20]. Она состоятельна, если все инструменты валидны. Устойчивость к нарушению допущения об исключении (горизонтальной плейотропии) проверяется методами MR-Egger [21] и взвешенной медианы [22]. Метод MR-Egger допускает направленную плейотропию при выполнении допущения InSIDE, а взвешенная медиана состоятельна, если валидны инструменты, несущие не менее половины веса. Направление причинной связи проверяется тестом Стайгера [49] и обратной MR. Пересечение выборок экспозиции и исхода смещает оценку в сторону наблюдательной ассоциации, причём смещение тем меньше, чем сильнее инструменты [50]. Стандарт STROBE-MR регламентирует отчётность о MR-исследованиях [40]. Для миопии MR применялась для проверки причинной роли образования [18, 53]. Сводные статистики крупнейших GWAS образования (более 1 млн участников [23]) и многочисленных признаков UK Biobank [41, 42] находятся в открытом доступе.</w:t>
      </w:r>
    </w:p>
    <w:p>
      <w:pPr>
        <w:pStyle w:val="Heading2"/>
      </w:pPr>
      <w:bookmarkStart w:name="_Toc9" w:id="9"/>
      <w:r>
        <w:t xml:space="preserve">1.7. Открытые данные в медико-биологических исследованиях</w:t>
      </w:r>
      <w:bookmarkEnd w:id="9"/>
    </w:p>
    <w:p>
      <w:pPr>
        <w:ind w:firstLine="709"/>
        <w:jc w:val="both"/>
      </w:pPr>
      <w:r>
        <w:t xml:space="preserve">Использование открытых данных повышает воспроизводимость и проверяемость результатов, что отражено в принципах FAIR (Findable, Accessible, Interoperable, Reusable) [51]. В офтальмологии и генетической эпидемиологии доступны три типа данных. Первый — индивидуальные данные когортных и рандомизированных исследований (OLSM [38], Kinoshita et al. [17]). Второй — популяционные обследования (NHANES [39]). Третий — сводные статистики GWAS (GWAS Catalog). Ограничения открытых данных — фиксированный набор переменных, отсутствие контроля над протоколом сбора и, как правило, иная популяция, чем целевая. Они компенсируются полной воспроизводимостью анализа и возможностью сопоставления разных источников в рамках единого пайплайна, что и реализовано в настоящей работе.</w:t>
      </w:r>
    </w:p>
    <w:p>
      <w:pPr>
        <w:pStyle w:val="Heading2"/>
      </w:pPr>
      <w:bookmarkStart w:name="_Toc10" w:id="10"/>
      <w:r>
        <w:t xml:space="preserve">Выводы по главе 1</w:t>
      </w:r>
      <w:bookmarkEnd w:id="10"/>
    </w:p>
    <w:p>
      <w:pPr>
        <w:pStyle w:val="ListParagraph"/>
        <w:numPr>
          <w:ilvl w:val="0"/>
          <w:numId w:val="2"/>
        </w:numPr>
        <w:jc w:val="both"/>
      </w:pPr>
      <w:r>
        <w:t xml:space="preserve">Детская миопия — растущая проблема общественного здоровья, в том числе в России. Эффективные вмешательства существуют, но требуются инструменты адресного выделения детей группы риска.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Наиболее сильные известные предикторы развития миопии — исходная рефракция и семейный анамнез. Время на открытом воздухе — подтверждённый защитный фактор. Причинная роль образования показана методом менделевской рандомизации.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Стандартные модели прогноза не учитывают асимметрию цены ошибок. Не исследовано, даёт ли сочетание асимметричных функций потерь со сложными архитектурами преимущество перед простыми методами.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 малых несбалансированных выборках требуется особое внимание к выбору метрик, схеме валидации и калибровке.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Аддитивность комбинированных вмешательств и направленность связи «образование — миопия» требуют независимой количественной проверки, которая возможна на открытых данных.</w:t>
      </w:r>
    </w:p>
    <w:p>
      <w:pPr>
        <w:pStyle w:val="Heading1"/>
        <w:pageBreakBefore/>
        <w:jc w:val="center"/>
      </w:pPr>
      <w:bookmarkStart w:name="_Toc11" w:id="11"/>
      <w:r>
        <w:t xml:space="preserve">ГЛАВА 2. МАТЕРИАЛЫ И МЕТОДЫ ИССЛЕДОВАНИЯ</w:t>
      </w:r>
      <w:bookmarkEnd w:id="11"/>
    </w:p>
    <w:p>
      <w:pPr>
        <w:pStyle w:val="Heading2"/>
      </w:pPr>
      <w:bookmarkStart w:name="_Toc12" w:id="12"/>
      <w:r>
        <w:t xml:space="preserve">2.1. Общий дизайн исследования</w:t>
      </w:r>
      <w:bookmarkEnd w:id="12"/>
    </w:p>
    <w:p>
      <w:pPr>
        <w:ind w:firstLine="709"/>
        <w:jc w:val="both"/>
      </w:pPr>
      <w:r>
        <w:t xml:space="preserve">Исследование построено как воспроизводимый информационно-аналитический пайплайн из четырёх прикладных блоков и одного методического (рисунок 2.1). Каждый блок решает отдельную задачу и использует свой источник открытых данных. Методический блок (гибридная схема SALF) апробируется на двух наборах данных прикладных блоков.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pipeline.png" descr="Рисунок 2.1 — Общая схема информационно-аналитического пайплайна исследования" title="Рисунок 2.1 — Общая схема информационно-аналитического пайплайна исслед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2.1 — Общая схема информационно-аналитического пайплайна исследования</w:t>
      </w:r>
    </w:p>
    <w:p>
      <w:pPr>
        <w:pStyle w:val="Heading2"/>
      </w:pPr>
      <w:bookmarkStart w:name="_Toc13" w:id="13"/>
      <w:r>
        <w:t xml:space="preserve">2.2. Источники данных</w:t>
      </w:r>
      <w:bookmarkEnd w:id="13"/>
    </w:p>
    <w:p>
      <w:pPr>
        <w:pStyle w:val="Heading3"/>
      </w:pPr>
      <w:r>
        <w:t xml:space="preserve">2.2.1. Когорта OLSM</w:t>
      </w:r>
    </w:p>
    <w:p>
      <w:pPr>
        <w:ind w:firstLine="709"/>
        <w:jc w:val="both"/>
      </w:pPr>
      <w:r>
        <w:t xml:space="preserve">Основной набор данных для прогноза риска — подвыборка проспективного Orinda Longitudinal Study of Myopia (Орайнда, Калифорния, США). Эта же подвыборка опубликована как учебный набор MYOPIA в монографии Hosmer, Lemeshow, Sturdivant [38]. Дети включались в 1990–1995 гг. Исходом служило развитие миопии в течение первых пяти лет наблюдения (SE ≤ −0,75 D хотя бы на одном визите). Все признаки измерены на исходном визите. На этом визите ни один ребёнок не имел миопии (минимальный SE = −0,699 D), что обеспечивает проспективную постановку задачи.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2.1 — Характеристика выборки OLSM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9"/>
        <w:gridCol w:w="5622"/>
      </w:tblGrid>
      <w:tr>
        <w:trPr>
          <w:cantSplit/>
          <w:tblHeader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Число детей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618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Развилась миопия, n (%)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81 (13,1%)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Соотношение классов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≈ 1 : 6,6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Возраст на исходном визите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5–9 лет; 6 лет — 456 детей (73,8%)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 (0 / 1)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316 / 302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Пропуски, дубликаты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42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Годы включения</w:t>
            </w:r>
          </w:p>
        </w:tc>
        <w:tc>
          <w:tcPr>
            <w:tcW w:type="dxa" w:w="56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1990–1995</w:t>
            </w:r>
          </w:p>
        </w:tc>
      </w:tr>
    </w:tbl>
    <w:p>
      <w:pPr>
        <w:spacing w:after="0" w:line="240"/>
      </w:pP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2.2 — Признаки набора данных OLSM (исходный визит)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2"/>
        <w:gridCol w:w="1587"/>
        <w:gridCol w:w="5158"/>
        <w:gridCol w:w="1854"/>
      </w:tblGrid>
      <w:tr>
        <w:trPr>
          <w:cantSplit/>
          <w:tblHeader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Признак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Среднее ± SD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Рефракция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SPHEQ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Сферический эквивалент рефракции, дптр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0,801 ± 0,626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Биометрия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AL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Осевая длина глаза, мм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22,497 ± 0,680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Биометрия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ACD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Глубина передней камеры, мм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3,579 ± 0,230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Биометрия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LT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Толщина хрусталика, мм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3,541 ± 0,155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Биометрия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VCD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Глубина стекловидной камеры, мм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15,377 ± 0,664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SPORTHR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Спорт и активность вне помещения, ч/нед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11,95 ± 7,97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READHR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Чтение для удовольствия, ч/нед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2,80 ± 3,07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COMPHR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Компьютер и видеоигры, ч/нед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2,11 ± 3,06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STUDYHR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Учебные занятия вне школы, ч/нед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1,49 ± 2,22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TVHR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Телевизор, ч/нед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8,95 ± 5,72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Нагрузка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DIOPTERHR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3·(READHR+STUDYHR) + 2·COMPHR + TVHR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26,02 ± 16,03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Анамнез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MOMMY, DADMY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Миопия у матери / отца (0/1)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50,6% / 49,8%</w:t>
            </w:r>
          </w:p>
        </w:tc>
      </w:tr>
      <w:tr>
        <w:trPr>
          <w:cantSplit/>
          <w:tblHeader w:val="off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Демография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AGE, GENDER</w:t>
            </w:r>
          </w:p>
        </w:tc>
        <w:tc>
          <w:tcPr>
            <w:tcW w:type="dxa" w:w="5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Возраст, лет; пол</w:t>
            </w:r>
          </w:p>
        </w:tc>
        <w:tc>
          <w:tcPr>
            <w:tcW w:type="dxa" w:w="1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line="240"/>
      </w:pPr>
    </w:p>
    <w:p>
      <w:pPr>
        <w:ind w:firstLine="709"/>
        <w:jc w:val="both"/>
      </w:pPr>
      <w:r>
        <w:t xml:space="preserve">Набор данных содержит две структурные зависимости, которые важны для моделирования. Первая — геометрическая: AL ≈ ACD + LT + VCD. Вторая — точное тождество для DIOPTERHR (выполняется для 100% наблюдений). Обе зависимости порождают мультиколлинеарность (фактор инфляции дисперсии VIF ≈ 3·10⁴), поэтому в инференционных моделях AL и DIOPTERHR исключались, после чего все VIF &lt; 1,5.</w:t>
      </w:r>
    </w:p>
    <w:p>
      <w:pPr>
        <w:pStyle w:val="Heading3"/>
      </w:pPr>
      <w:r>
        <w:t xml:space="preserve">2.2.2. Популяционные данные NHANES 2007–2008</w:t>
      </w:r>
    </w:p>
    <w:p>
      <w:pPr>
        <w:ind w:firstLine="709"/>
        <w:jc w:val="both"/>
      </w:pPr>
      <w:r>
        <w:t xml:space="preserve">Для внешней проверки факторов использованы данные National Health and Nutrition Examination Survey за цикл 2007–2008 [39]: модули обследования зрения (VIX_E), демографии (DEMO_E), антропометрии (BMX_E) и физической активности (PAQ_E), объединённые по идентификатору SEQN. Сферический эквивалент вычислялся по объективной авторефракции как среднее по двум глазам (сфера + цилиндр/2). Миопия определялась как SE ≤ −0,50 D [4]. В анализ включены подростки 12–19 лет с полными данными: </w:t>
      </w:r>
      <w:r>
        <w:rPr>
          <w:b/>
          <w:bCs/>
        </w:rPr>
        <w:t xml:space="preserve">n = 990</w:t>
      </w:r>
      <w:r>
        <w:t xml:space="preserve">, средний возраст 15,5 года, 46,3% девушек, распространённость миопии 42,5% (с учётом весов обследования — 42,7%). Авторефракция в NHANES выполнялась без циклоплегии.</w:t>
      </w:r>
    </w:p>
    <w:p>
      <w:pPr>
        <w:pStyle w:val="Heading3"/>
      </w:pPr>
      <w:r>
        <w:t xml:space="preserve">2.2.3. Рандомизированное исследование Kinoshita et al.</w:t>
      </w:r>
    </w:p>
    <w:p>
      <w:pPr>
        <w:ind w:firstLine="709"/>
        <w:jc w:val="both"/>
      </w:pPr>
      <w:r>
        <w:t xml:space="preserve">Для оценки эффективности вмешательства использованы открытые индивидуальные данные двухлетнего рандомизированного исследования Kinoshita et al. [16, 17]. В нём сравнивались комбинация ортокератологии (ОК) с 0,01% атропином и монотерапия ОК. Осевая длина измерялась на визитах 0, 3, 9, 15, 21 и 27 месяцев. Исход — прирост осевой длины за 27 месяцев (AL₂₇ − AL₀).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2.3 — Характеристика групп исследования Kinoshita et al. на исходном визите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8"/>
        <w:gridCol w:w="1026"/>
        <w:gridCol w:w="1026"/>
        <w:gridCol w:w="2052"/>
        <w:gridCol w:w="1539"/>
        <w:gridCol w:w="1200"/>
      </w:tblGrid>
      <w:tr>
        <w:trPr>
          <w:cantSplit/>
          <w:tblHeader/>
        </w:trPr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Детей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Глаз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Возраст, лет</w:t>
            </w:r>
          </w:p>
        </w:tc>
        <w:tc>
          <w:tcPr>
            <w:tcW w:type="dxa" w:w="1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SE₀, дптр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AL₀, мм</w:t>
            </w:r>
          </w:p>
        </w:tc>
      </w:tr>
      <w:tr>
        <w:trPr>
          <w:cantSplit/>
          <w:tblHeader w:val="off"/>
        </w:trPr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ОК + 0,01% атропин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76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10,4</w:t>
            </w:r>
          </w:p>
        </w:tc>
        <w:tc>
          <w:tcPr>
            <w:tcW w:type="dxa" w:w="1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−2,60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24,70</w:t>
            </w:r>
          </w:p>
        </w:tc>
      </w:tr>
      <w:tr>
        <w:trPr>
          <w:cantSplit/>
          <w:tblHeader w:val="off"/>
        </w:trPr>
        <w:tc>
          <w:tcPr>
            <w:tcW w:type="dxa" w:w="30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Монотерапия ОК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35</w:t>
            </w:r>
          </w:p>
        </w:tc>
        <w:tc>
          <w:tcPr>
            <w:tcW w:type="dxa" w:w="1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70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10,4</w:t>
            </w:r>
          </w:p>
        </w:tc>
        <w:tc>
          <w:tcPr>
            <w:tcW w:type="dxa" w:w="1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−2,72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24,86</w:t>
            </w:r>
          </w:p>
        </w:tc>
      </w:tr>
    </w:tbl>
    <w:p>
      <w:pPr>
        <w:spacing w:after="0" w:line="240"/>
      </w:pPr>
    </w:p>
    <w:p>
      <w:pPr>
        <w:pStyle w:val="Heading3"/>
      </w:pPr>
      <w:r>
        <w:t xml:space="preserve">2.2.4. Генетические данные</w:t>
      </w:r>
    </w:p>
    <w:p>
      <w:pPr>
        <w:ind w:firstLine="709"/>
        <w:jc w:val="both"/>
      </w:pPr>
      <w:r>
        <w:t xml:space="preserve">Для менделевской рандомизации использованы сводные статистики полногеномных ассоциативных исследований (GWAS) из GWAS Catalog (сборка GRCh37):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экспозиция — окончание колледжа (Educational attainment, college completion; GCST90029012) по данным UK Biobank, 470 941 человек европейского происхождения. Статистики получены Loh et al. методом BOLT-LMM [41]. Признак бинарный, эффекты SNP выражены на наблюдаемой шкале, то есть как изменение вероятности окончить колледж на один аллель;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исход — ношение очков или контактных линз из-за близорукости (поле UK Biobank 6147_1, самоотчёт; GCST90044326): 36 623 случая и 419 031 контроль. Статистики получены Jiang et al. методом fastGWA-GLMM [42], эффекты выражены в логарифмах отношения шансов.</w:t>
      </w:r>
    </w:p>
    <w:p>
      <w:pPr>
        <w:ind w:firstLine="709"/>
        <w:jc w:val="both"/>
      </w:pPr>
      <w:r>
        <w:t xml:space="preserve">Обе GWAS выполнены на одной когорте UK Biobank, то есть выборки экспозиции и исхода практически полностью пересекаются. Это учитывается при интерпретации (раздел 5.2) [50].</w:t>
      </w:r>
    </w:p>
    <w:p>
      <w:pPr>
        <w:ind w:firstLine="709"/>
        <w:jc w:val="both"/>
      </w:pPr>
      <w:r>
        <w:t xml:space="preserve">Референсная панель для оценки неравновесия по сцеплению — 1000 Genomes Phase 3, европейская подвыборка (503 человека) [25].</w:t>
      </w:r>
    </w:p>
    <w:p>
      <w:pPr>
        <w:pStyle w:val="Heading2"/>
      </w:pPr>
      <w:bookmarkStart w:name="_Toc14" w:id="14"/>
      <w:r>
        <w:t xml:space="preserve">2.3. Методы построения и оценки прогностических моделей</w:t>
      </w:r>
      <w:bookmarkEnd w:id="14"/>
    </w:p>
    <w:p>
      <w:pPr>
        <w:ind w:firstLine="709"/>
        <w:jc w:val="both"/>
      </w:pPr>
      <w:r>
        <w:rPr>
          <w:b/>
          <w:bCs/>
        </w:rPr>
        <w:t xml:space="preserve">Модели.</w:t>
      </w:r>
      <w:r>
        <w:t xml:space="preserve"> Сравнивались четыре модели: логистическая регрессия со стандартизацией признаков и взвешиванием классов обратно пропорционально их частоте, случайный лес (400 деревьев, взвешивание классов) [28], градиентный бустинг [29] и гистограммный градиентный бустинг [36]. Реализация — scikit-learn [26].</w:t>
      </w:r>
    </w:p>
    <w:p>
      <w:pPr>
        <w:ind w:firstLine="709"/>
        <w:jc w:val="both"/>
      </w:pPr>
      <w:r>
        <w:rPr>
          <w:b/>
          <w:bCs/>
        </w:rPr>
        <w:t xml:space="preserve">Валидация.</w:t>
      </w:r>
      <w:r>
        <w:t xml:space="preserve"> Использовалась повторная стратифицированная k-блочная перекрёстная проверка (k = 5, 10 повторов, 50 разбиений) с фиксированным начальным состоянием генератора. Для построения кривых, анализа порогов и калибровки применялись вероятности, полученные вне обучающих блоков (out-of-fold).</w:t>
      </w:r>
    </w:p>
    <w:p>
      <w:pPr>
        <w:ind w:firstLine="709"/>
        <w:jc w:val="both"/>
      </w:pPr>
      <w:r>
        <w:rPr>
          <w:b/>
          <w:bCs/>
        </w:rPr>
        <w:t xml:space="preserve">Метрики.</w:t>
      </w:r>
      <w:r>
        <w:t xml:space="preserve"> Из-за дисбаланса классов основными метриками выбраны площадь под кривой точность–полнота (PR-AUC, average precision) [32] и полнота (чувствительность). Дополнительно использовались ROC-AUC, точность (precision) и F1.</w:t>
      </w:r>
    </w:p>
    <w:p>
      <w:pPr>
        <w:ind w:firstLine="709"/>
        <w:jc w:val="both"/>
      </w:pPr>
      <w:r>
        <w:rPr>
          <w:b/>
          <w:bCs/>
        </w:rPr>
        <w:t xml:space="preserve">Порог скрининга</w:t>
      </w:r>
      <w:r>
        <w:t xml:space="preserve"> выбирался по таблице «порог → чувствительность, специфичность, точность» для out-of-fold вероятностей. Предпочтение отдавалось минимизации пропуска будущих случаев.</w:t>
      </w:r>
    </w:p>
    <w:p>
      <w:pPr>
        <w:ind w:firstLine="709"/>
        <w:jc w:val="both"/>
      </w:pPr>
      <w:r>
        <w:rPr>
          <w:b/>
          <w:bCs/>
        </w:rPr>
        <w:t xml:space="preserve">Интерпретация.</w:t>
      </w:r>
      <w:r>
        <w:t xml:space="preserve"> Использовались (а) отношения шансов из логистической регрессии без регуляризации (оценка максимального правдоподобия) с 95% доверительными интервалами по Вальду, одномерные и скорректированные, для непрерывных признаков — на 1 SD; (б) перестановочная важность признаков (permutation importance), вычисленная вне обучающих блоков; (в) абляционный анализ по наборам признаков.</w:t>
      </w:r>
    </w:p>
    <w:p>
      <w:pPr>
        <w:ind w:firstLine="709"/>
        <w:jc w:val="both"/>
      </w:pPr>
      <w:r>
        <w:rPr>
          <w:b/>
          <w:bCs/>
        </w:rPr>
        <w:t xml:space="preserve">Калибровка</w:t>
      </w:r>
      <w:r>
        <w:t xml:space="preserve"> оценивалась по калибровочной кривой для моделей со взвешиванием классов и без него [35].</w:t>
      </w:r>
    </w:p>
    <w:p>
      <w:pPr>
        <w:ind w:firstLine="709"/>
        <w:jc w:val="both"/>
      </w:pPr>
      <w:r>
        <w:rPr>
          <w:b/>
          <w:bCs/>
        </w:rPr>
        <w:t xml:space="preserve">Анализ данных NHANES</w:t>
      </w:r>
      <w:r>
        <w:t xml:space="preserve"> выполнялся в двух вариантах. Первый — невзвешенная логистическая регрессия. Второй — с учётом сложного выборочного дизайна: веса обследования WTMEC2YR, страты SDMVSTRA и первичные единицы отбора SDMVPSU. Дисперсия оценивалась линеаризацией Тейлора (сэндвич-оценка) с числом степеней свободы, равным числу первичных единиц отбора минус число страт [58]. Подгруппа 12–19 лет анализировалась как домен с сохранением полного дизайна.</w:t>
      </w:r>
    </w:p>
    <w:p>
      <w:pPr>
        <w:pStyle w:val="Heading2"/>
      </w:pPr>
      <w:bookmarkStart w:name="_Toc15" w:id="15"/>
      <w:r>
        <w:t xml:space="preserve">2.4. Статистические методы оценки эффективности вмешательства</w:t>
      </w:r>
      <w:bookmarkEnd w:id="15"/>
    </w:p>
    <w:p>
      <w:pPr>
        <w:ind w:firstLine="709"/>
        <w:jc w:val="both"/>
      </w:pPr>
      <w:r>
        <w:t xml:space="preserve">Единица анализа — ребёнок: прирост осевой длины усреднялся по двум глазам, чтобы учесть внутрисубъектную корреляцию. Группы сравнивались t-критерием Уэлча и U-критерием Манна–Уитни, размер эффекта оценивался d Коэна. Для поправки на исходные различия использовалась ковариационная модель (ANCOVA):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ΔAL = β₀ + β₁·Группа + β₂·AL₀ + β₃·Возраст + β₄·SE₀ + ε</w:t>
      </w:r>
      <w:r>
        <w:t xml:space="preserve">	(2.1)</w:t>
      </w:r>
    </w:p>
    <w:p>
      <w:pPr>
        <w:ind w:firstLine="709"/>
        <w:jc w:val="both"/>
      </w:pPr>
      <w:r>
        <w:t xml:space="preserve">Параметры оценивались методом наименьших квадратов, их значимость — t-статистиками.</w:t>
      </w:r>
    </w:p>
    <w:p>
      <w:pPr>
        <w:pStyle w:val="Heading2"/>
      </w:pPr>
      <w:bookmarkStart w:name="_Toc16" w:id="16"/>
      <w:r>
        <w:t xml:space="preserve">2.5. Методы менделевской рандомизации</w:t>
      </w:r>
      <w:bookmarkEnd w:id="16"/>
    </w:p>
    <w:p>
      <w:pPr>
        <w:ind w:firstLine="709"/>
        <w:jc w:val="both"/>
      </w:pPr>
      <w:r>
        <w:rPr>
          <w:b/>
          <w:bCs/>
        </w:rPr>
        <w:t xml:space="preserve">Отбор инструментов.</w:t>
      </w:r>
      <w:r>
        <w:t xml:space="preserve"> Отбирались SNP, ассоциированные с экспозицией на полногеномном уровне значимости (p &lt; 5·10⁻⁸). Затем выполнялся LD-клампинг в PLINK 1.9 [24] по референсной панели 1000 Genomes EUR. Палиндромные SNP (A/T, C/G) исключались. </w:t>
      </w:r>
      <w:r>
        <w:rPr>
          <w:b/>
          <w:bCs/>
        </w:rPr>
        <w:t xml:space="preserve">Гармонизация</w:t>
      </w:r>
      <w:r>
        <w:t xml:space="preserve"> приводила эффекты к одному эффект-аллелю. При обратной ориентации аллелей знак эффекта на исход менялся, несопоставимые варианты исключались.</w:t>
      </w:r>
    </w:p>
    <w:p>
      <w:pPr>
        <w:ind w:firstLine="709"/>
        <w:jc w:val="both"/>
      </w:pPr>
      <w:r>
        <w:rPr>
          <w:b/>
          <w:bCs/>
        </w:rPr>
        <w:t xml:space="preserve">Оценки.</w:t>
      </w:r>
      <w:r>
        <w:t xml:space="preserve"> Отношение Вальда для j-го инструмента: β̂ⱼ = βᵧⱼ / βₓⱼ. Основная оценка — обратно-дисперсионно взвешенная (IVW) [20]: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β̂_IVW = Σⱼ βₓⱼ βᵧⱼ σᵧⱼ⁻² / Σⱼ βₓⱼ² σᵧⱼ⁻²</w:t>
      </w:r>
      <w:r>
        <w:t xml:space="preserve">	(2.2)</w:t>
      </w:r>
    </w:p>
    <w:p>
      <w:pPr>
        <w:ind w:firstLine="709"/>
        <w:jc w:val="both"/>
      </w:pPr>
      <w:r>
        <w:t xml:space="preserve">Использовалась модель со случайными эффектами при наличии гетерогенности. Чувствительность проверялась оценками MR-Egger (с интерсептом как тестом направленной плейотропии) [21] и взвешенной медианы [22], статистикой Кохрена Q и I², F-статистикой силы инструментов, анализом leave-one-out и поиском выбросов по вкладу в Q с поправкой Бонферрони.</w:t>
      </w:r>
    </w:p>
    <w:p>
      <w:pPr>
        <w:ind w:firstLine="709"/>
        <w:jc w:val="both"/>
      </w:pPr>
      <w:r>
        <w:rPr>
          <w:b/>
          <w:bCs/>
        </w:rPr>
        <w:t xml:space="preserve">Направленность связи.</w:t>
      </w:r>
      <w:r>
        <w:t xml:space="preserve"> Проверялась тестом Стайгера [49]. Для каждого инструмента сравнивались доли дисперсии, объяснённые в экспозиции и в исходе. Для экспозиции (линейная модель на бинарном признаке) использовалась оценка r² = t²/(t² + N). Для исхода (логистическая модель) применялась шкала подверженности: r² = v_g/(v_g + π²/3), где v_g = 2p(1 − p)β². Инструменты, объясняющие больше дисперсии исхода, чем экспозиции, исключались, и оценка IVW пересчитывалась. Дополнительно выполнялась </w:t>
      </w:r>
      <w:r>
        <w:rPr>
          <w:b/>
          <w:bCs/>
        </w:rPr>
        <w:t xml:space="preserve">обратная MR</w:t>
      </w:r>
      <w:r>
        <w:t xml:space="preserve"> (миопия → окончание колледжа) на инструментах миопии, отобранных тем же способом (p &lt; 5·10⁻⁸, клампинг PLINK).</w:t>
      </w:r>
    </w:p>
    <w:p>
      <w:pPr>
        <w:ind w:firstLine="709"/>
        <w:jc w:val="both"/>
      </w:pPr>
      <w:r>
        <w:rPr>
          <w:b/>
          <w:bCs/>
        </w:rPr>
        <w:t xml:space="preserve">Шкала эффекта.</w:t>
      </w:r>
      <w:r>
        <w:t xml:space="preserve"> Эффекты на экспозицию выражены как изменение вероятности окончить колледж, поэтому оценка β_IVW — это изменение логарифма шансов миопии при увеличении этой вероятности на единицу (с 0 до 100%). Для интерпретации оценка пересчитывалась на увеличение вероятности на 10 процентных пунктов: OR₁₀ = exp(0,1·β).</w:t>
      </w:r>
    </w:p>
    <w:p>
      <w:pPr>
        <w:pStyle w:val="Heading2"/>
      </w:pPr>
      <w:bookmarkStart w:name="_Toc17" w:id="17"/>
      <w:r>
        <w:t xml:space="preserve">2.6. Программная реализация</w:t>
      </w:r>
      <w:bookmarkEnd w:id="17"/>
    </w:p>
    <w:p>
      <w:pPr>
        <w:ind w:firstLine="709"/>
        <w:jc w:val="both"/>
      </w:pPr>
      <w:r>
        <w:t xml:space="preserve">Все методы реализованы на языке Python 3.12 (NumPy, SciPy, pandas, scikit-learn, matplotlib). Оценки MR реализованы автором без использования пакетов R. Каждый блок пайплайна оформлен отдельным модулем, который читает исходные данные и записывает таблицы и графики результатов (таблица 2.4). Фиксация начальных состояний генераторов обеспечивает побайтовую воспроизводимость результатов.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2.4 — Модули программного комплекса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5"/>
        <w:gridCol w:w="6266"/>
      </w:tblGrid>
      <w:tr>
        <w:trPr>
          <w:cantSplit/>
          <w:tblHeader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olsm_analysis.py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Прогноз риска: сравнение моделей, пороги, факторы, OR, абляция, калибровка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nhanes_analysis.py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Внешняя проверка факторов на NHANES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ortho_analysis.py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Оценка эффективности вмешательства (Kinoshita)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salf_hybrid.py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Гибридная схема и функция потерь SALF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run_salf_experiment.py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Предварительный эксперимент SALF (устарел, заменён salf_benchmark.py)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salf_benchmark.py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Сравнение SALF с асимметричными альтернативами, валидация по детям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clump_with_plink.py, mr_analysis.py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LD-клампинг и менделевская рандомизация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mr_sensitivity.py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Тест Стайгера, Steiger-фильтрация, обратная MR, пересчёт шкалы эффекта</w:t>
            </w:r>
          </w:p>
        </w:tc>
      </w:tr>
      <w:tr>
        <w:trPr>
          <w:cantSplit/>
          <w:tblHeader w:val="off"/>
        </w:trPr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nhanes_survey_analysis.py</w:t>
            </w:r>
          </w:p>
        </w:tc>
        <w:tc>
          <w:tcPr>
            <w:tcW w:type="dxa" w:w="6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Анализ NHANES с учётом весов, страт и первичных единиц отбора</w:t>
            </w:r>
          </w:p>
        </w:tc>
      </w:tr>
    </w:tbl>
    <w:p>
      <w:pPr>
        <w:spacing w:after="0" w:line="240"/>
      </w:pPr>
    </w:p>
    <w:p>
      <w:pPr>
        <w:pStyle w:val="Heading2"/>
      </w:pPr>
      <w:bookmarkStart w:name="_Toc18" w:id="18"/>
      <w:r>
        <w:t xml:space="preserve">Выводы по главе 2</w:t>
      </w:r>
      <w:bookmarkEnd w:id="18"/>
    </w:p>
    <w:p>
      <w:pPr>
        <w:pStyle w:val="ListParagraph"/>
        <w:numPr>
          <w:ilvl w:val="0"/>
          <w:numId w:val="2"/>
        </w:numPr>
        <w:jc w:val="both"/>
      </w:pPr>
      <w:r>
        <w:t xml:space="preserve">Сформирован дизайн исследования из пяти блоков на четырёх независимых источниках открытых данных.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Выбраны метрики и схемы валидации, корректные для малых несбалансированных выборок.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Определены статистические и генетико-эпидемиологические методы оценки вмешательства и причинности. Все методы реализованы в воспроизводимом программном комплексе.</w:t>
      </w:r>
    </w:p>
    <w:p>
      <w:pPr>
        <w:pStyle w:val="Heading1"/>
        <w:pageBreakBefore/>
        <w:jc w:val="center"/>
      </w:pPr>
      <w:bookmarkStart w:name="_Toc19" w:id="19"/>
      <w:r>
        <w:t xml:space="preserve">ГЛАВА 3. ГИБРИДНАЯ ВЫЧИСЛИТЕЛЬНАЯ СХЕМА С АСИММЕТРИЧНОЙ ФУНКЦИЕЙ ПОТЕРЬ SALF ДЛЯ РИСК-ЧУВСТВИТЕЛЬНОГО ПРОГНОЗА ПРОГРЕССИРОВАНИЯ МИОПИИ</w:t>
      </w:r>
      <w:bookmarkEnd w:id="19"/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Центральная методическая глава. Основа — опубликованная статья (теория) и расширенный эксперимент </w:t>
      </w:r>
      <w:r>
        <w:rPr>
          <w:rFonts w:ascii="Consolas" w:cs="Consolas" w:eastAsia="Consolas" w:hAnsi="Consolas"/>
          <w:sz w:val="20"/>
          <w:szCs w:val="20"/>
        </w:rPr>
        <w:t xml:space="preserve">salf_benchmark.py</w:t>
      </w:r>
      <w:r>
        <w:rPr>
          <w:sz w:val="24"/>
          <w:szCs w:val="24"/>
        </w:rPr>
        <w:t xml:space="preserve"> (октябрь 2026). Эксперимент показал, что гибридная архитектура не даёт преимущества перед простыми асимметричными моделями, поэтому глава построена вокруг постановки задачи, свойств SALF, методики оценки и честного сравнения. Если хотите сохранить гибрид как вклад, нужны данные большего объёма, где у нелинейной ветви есть шанс проявиться.</w:t>
      </w:r>
    </w:p>
    <w:p>
      <w:pPr>
        <w:pStyle w:val="Heading2"/>
      </w:pPr>
      <w:bookmarkStart w:name="_Toc20" w:id="20"/>
      <w:r>
        <w:t xml:space="preserve">3.1. Постановка задачи риск-чувствительного прогноза</w:t>
      </w:r>
      <w:bookmarkEnd w:id="20"/>
    </w:p>
    <w:p>
      <w:pPr>
        <w:ind w:firstLine="709"/>
        <w:jc w:val="both"/>
      </w:pPr>
      <w:r>
        <w:t xml:space="preserve">Пусть x ∈ ℝᵈ — вектор признаков ребёнка, а y ∈ ℝ — мера прогрессирования (например, прирост осевой длины глаза за период наблюдения). Большие значения y соответствуют худшему исходу. Зоной высокого риска назовём множество {y ≥ y*}, где порог y* задаётся клинически или как верхний квартиль распределения. Стандартная регрессия минимизирует симметричный функционал ошибки. В клинической задаче недооценка прогрессирования (прогноз ŷ &lt; y при y ≥ y*) обходится дороже переоценки, так как ведёт к пропуску ребёнка, нуждающегося в вмешательстве. Требуется построить прогноз ŷ(x), который снижает долю таких пропусков при контролируемой потере средней точности.</w:t>
      </w:r>
    </w:p>
    <w:p>
      <w:pPr>
        <w:pStyle w:val="Heading2"/>
      </w:pPr>
      <w:bookmarkStart w:name="_Toc21" w:id="21"/>
      <w:r>
        <w:t xml:space="preserve">3.2. Архитектура гибридной модели</w:t>
      </w:r>
      <w:bookmarkEnd w:id="21"/>
    </w:p>
    <w:p>
      <w:pPr>
        <w:ind w:firstLine="709"/>
        <w:jc w:val="both"/>
      </w:pPr>
      <w:r>
        <w:t xml:space="preserve">Прогноз строится как аддитивная композиция двух ветвей: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ŷ(x) = f_lin(x) + g(x) · f_ens(x)</w:t>
      </w:r>
      <w:r>
        <w:t xml:space="preserve">	(3.1)</w:t>
      </w:r>
    </w:p>
    <w:p>
      <w:pPr>
        <w:ind w:firstLine="709"/>
        <w:jc w:val="both"/>
      </w:pPr>
      <w:r>
        <w:t xml:space="preserve">Здесь f_lin(x) = wᵀx + b — линейная базовая ветвь, описывающая глобальный тренд. f_ens(x) — нелинейная корректирующая ветвь (градиентный бустинг), обучаемая на невязках линейной ветви. g(x) = σ(γᵀx + c) ∈ (0, 1) — логистический маршрутизатор, который усиливает нелинейную коррекцию в областях пространства признаков, где линейного приближения недостаточно.</w:t>
      </w:r>
    </w:p>
    <w:p>
      <w:pPr>
        <w:pStyle w:val="Heading2"/>
      </w:pPr>
      <w:bookmarkStart w:name="_Toc22" w:id="22"/>
      <w:r>
        <w:t xml:space="preserve">3.3. Функция потерь SALF</w:t>
      </w:r>
      <w:bookmarkEnd w:id="22"/>
    </w:p>
    <w:p>
      <w:pPr>
        <w:ind w:firstLine="709"/>
        <w:jc w:val="both"/>
      </w:pPr>
      <w:r>
        <w:t xml:space="preserve">Для невязки e = y − ŷ определим сглаженную асимметричную функцию потерь: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SALF_τ,δ(e) = a_τ(e) · H_δ(e),   a_τ(e) = τ при e ≥ 0;  1 − τ при e &lt; 0</w:t>
      </w:r>
      <w:r>
        <w:t xml:space="preserve">	(3.2)</w:t>
      </w:r>
    </w:p>
    <w:p>
      <w:pPr>
        <w:ind w:firstLine="709"/>
        <w:jc w:val="both"/>
      </w:pPr>
      <w:r>
        <w:t xml:space="preserve">где H_δ — функция Хьюбера [30]: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H_δ(e) = e²/2 при |e| ≤ δ;   δ(|e| − δ/2) при |e| &gt; δ</w:t>
      </w:r>
      <w:r>
        <w:t xml:space="preserve">	(3.3)</w:t>
      </w:r>
    </w:p>
    <w:p>
      <w:pPr>
        <w:ind w:firstLine="709"/>
        <w:jc w:val="both"/>
      </w:pPr>
      <w:r>
        <w:t xml:space="preserve">При τ &gt; 0,5 недооценка (e &gt; 0) штрафуется сильнее переоценки. При τ = 0,5 функция сводится к масштабированной функции Хьюбера.</w:t>
      </w:r>
    </w:p>
    <w:p>
      <w:pPr>
        <w:ind w:firstLine="709"/>
        <w:jc w:val="both"/>
      </w:pPr>
      <w:r>
        <w:rPr>
          <w:b/>
          <w:bCs/>
        </w:rPr>
        <w:t xml:space="preserve">Связь с известными функциями потерь.</w:t>
      </w:r>
      <w:r>
        <w:t xml:space="preserve"> Функция (3.2) принадлежит семейству асимметричных функций Хьюбера, которые используются в M-квантильной регрессии [46]. Она содержит два известных предельных случая. При δ → 0 (после нормировки на δ) она переходит в квантильную функцию потерь ρ_τ(e) = e·(τ − 𝟙{e &lt; 0}) [31]. При δ → ∞ она переходит в асимметричную квадратичную функцию потерь экспектильной регрессии [47]. Таким образом, SALF непрерывно интерполирует между квантильной (робастной) и экспектильной (эффективной при нормальных ошибках) постановками. Параметр δ задаёт, при каком размере ошибки квадратичный штраф сменяется линейным.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Важно для защиты: саму функцию потерь нельзя заявлять как новую, она известна как M-квантильная функция Хьюбера [46]. Новизна работы — гибридная архитектура с маршрутизатором и декорреляцией, обучаемая с этой функцией, её применение к риск-чувствительному прогнозу прогрессирования миопии и экспериментальная проверка против простых альтернатив (раздел 3.8). Если в первой статье SALF подана как новая функция, в диссертации лучше сформулировать аккуратнее. Оппонент, знакомый с робастной статистикой, это заметит.</w:t>
      </w:r>
    </w:p>
    <w:p>
      <w:pPr>
        <w:ind w:firstLine="709"/>
        <w:jc w:val="both"/>
      </w:pPr>
      <w:r>
        <w:t xml:space="preserve">Обозначим ψ_δ(e) = H′_δ(e) = e при |e| ≤ δ и δ·sign(e) при |e| &gt; δ. Производная SALF по невязке: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φ_τ(e) = SALF′(e) = τ·ψ_δ(e) при e ≥ 0;   (1 − τ)·ψ_δ(e) при e &lt; 0</w:t>
      </w:r>
      <w:r>
        <w:t xml:space="preserve">	(3.4)</w:t>
      </w:r>
    </w:p>
    <w:p>
      <w:pPr>
        <w:ind w:firstLine="709"/>
        <w:jc w:val="both"/>
      </w:pPr>
      <w:r>
        <w:rPr>
          <w:b/>
          <w:bCs/>
        </w:rPr>
        <w:t xml:space="preserve">Утверждение 3.1.</w:t>
      </w:r>
      <w:r>
        <w:t xml:space="preserve"> При τ ∈ (0, 1) и δ &gt; 0 функция SALF_τ,δ непрерывно дифференцируема на ℝ и выпукла. Она строго выпукла на отрезке [−δ, δ], её производная ограничена: |φ_τ(e)| ≤ max(τ, 1 − τ)·δ.</w:t>
      </w:r>
    </w:p>
    <w:p>
      <w:pPr>
        <w:ind w:firstLine="709"/>
        <w:jc w:val="both"/>
      </w:pPr>
      <w:r>
        <w:t xml:space="preserve">_Доказательство._ На каждой из полуосей e &gt; 0 и e &lt; 0 функция SALF равна функции Хьюбера, умноженной на положительную константу (τ или 1 − τ). Функция H_δ непрерывно дифференцируема, поэтому SALF непрерывно дифференцируема при e ≠ 0, в том числе в точках e = ±δ, где ψ_δ непрерывна. В точке e = 0 обе односторонние производные равны нулю, так как ψ_δ(0) = 0. Значит, SALF дифференцируема в нуле, φ_τ(0) = 0, и производная φ_τ непрерывна на ℝ. Функция ψ_δ не убывает, поэтому φ_τ не убывает на каждой полуоси. Кроме того, φ_τ(e) ≤ 0 при e &lt; 0 и φ_τ(e) ≥ 0 при e &gt; 0. Следовательно, φ_τ не убывает на всей прямой, и SALF выпукла. На (−δ, δ) производная φ_τ строго возрастает (её наклон равен τ или 1 − τ), откуда следует строгая выпуклость на [−δ, δ]. Ограниченность производной следует из |ψ_δ(e)| ≤ δ. ∎</w:t>
      </w:r>
    </w:p>
    <w:p>
      <w:pPr>
        <w:ind w:firstLine="709"/>
        <w:jc w:val="both"/>
      </w:pPr>
      <w:r>
        <w:t xml:space="preserve">Ограниченность производной означает ограниченное влияние отдельных наблюдений с большой ошибкой (робастность). При τ ≠ 0,5 вторая производная в нуле имеет разрыв (τ справа и 1 − τ слева), поэтому SALF непрерывно дифференцируема, но не дважды. Это нужно учитывать при выборе метода оптимизации: квазиньютоновские методы применимы, классический метод Ньютона — нет.</w:t>
      </w:r>
    </w:p>
    <w:p>
      <w:pPr>
        <w:ind w:firstLine="709"/>
        <w:jc w:val="both"/>
      </w:pPr>
      <w:r>
        <w:rPr>
          <w:b/>
          <w:bCs/>
        </w:rPr>
        <w:t xml:space="preserve">Утверждение 3.2 (монотонность сдвига по τ).</w:t>
      </w:r>
      <w:r>
        <w:t xml:space="preserve"> Рассмотрим модель со свободным членом b при фиксированных остальных параметрах: ŷᵢ = sᵢ + b. Пусть b*(τ) — минимизатор эмпирического риска Σᵢ SALF_τ,δ(yᵢ − sᵢ − b). Тогда b*(τ) — неубывающая функция τ.</w:t>
      </w:r>
    </w:p>
    <w:p>
      <w:pPr>
        <w:ind w:firstLine="709"/>
        <w:jc w:val="both"/>
      </w:pPr>
      <w:r>
        <w:t xml:space="preserve">_Доказательство._ Условие оптимальности: F(b, τ) = Σᵢ φ_τ(yᵢ − sᵢ − b) = 0. При фиксированном τ функция F не возрастает по b, так как φ_τ не убывает, а аргумент убывает по b. При фиксированном e значение φ_τ(e) не убывает по τ: при e &gt; 0 оно равно τ·ψ_δ(e) с ψ_δ(e) &gt; 0, при e &lt; 0 — (1 − τ)·ψ_δ(e) с ψ_δ(e) &lt; 0. Следовательно, F(b, τ) не убывает по τ. По теореме о монотонной сравнительной статике корень уравнения F(b, τ) = 0 по b не убывает с ростом τ. ∎</w:t>
      </w:r>
    </w:p>
    <w:p>
      <w:pPr>
        <w:ind w:firstLine="709"/>
        <w:jc w:val="both"/>
      </w:pPr>
      <w:r>
        <w:t xml:space="preserve">Утверждение 3.2 формализует основной механизм управления риском: рост τ сдвигает прогноз вверх, что уменьшает число случаев недооценки в зоне высокого риска. Отсюда же следует ключевой вопрос к методу. Если эффект τ сводится в основном к сдвигу прогноза, то такого же результата можно добиться простым сдвигом прогноза любой базовой модели. Этот вопрос экспериментально исследуется в разделе 3.8.</w:t>
      </w:r>
    </w:p>
    <w:p>
      <w:pPr>
        <w:pStyle w:val="Heading2"/>
      </w:pPr>
      <w:bookmarkStart w:name="_Toc23" w:id="23"/>
      <w:r>
        <w:t xml:space="preserve">3.4. Регуляризация и декорреляция ветвей</w:t>
      </w:r>
      <w:bookmarkEnd w:id="23"/>
    </w:p>
    <w:p>
      <w:pPr>
        <w:ind w:firstLine="709"/>
        <w:jc w:val="both"/>
      </w:pPr>
      <w:r>
        <w:t xml:space="preserve">Полный функционал обучения: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L(θ) = (1/n) Σᵢ SALF_τ,δ(yᵢ − ŷ(xᵢ)) + λ₂‖w‖² + λ_d · cos²(f_lin, g·f_ens)</w:t>
      </w:r>
      <w:r>
        <w:t xml:space="preserve">	(3.5)</w:t>
      </w:r>
    </w:p>
    <w:p>
      <w:pPr>
        <w:ind w:firstLine="709"/>
        <w:jc w:val="both"/>
      </w:pPr>
      <w:r>
        <w:t xml:space="preserve">Здесь L2-слагаемое стабилизирует линейную ветвь, а штраф косинусного сходства центрированных выходов ветвей снижает их дублирование. Это заставляет нелинейную ветвь моделировать именно то, что не объясняется линейной.</w:t>
      </w:r>
    </w:p>
    <w:p>
      <w:pPr>
        <w:ind w:firstLine="709"/>
        <w:jc w:val="both"/>
      </w:pPr>
      <w:r>
        <w:rPr>
          <w:b/>
          <w:bCs/>
        </w:rPr>
        <w:t xml:space="preserve">Масштаб регуляризации.</w:t>
      </w:r>
      <w:r>
        <w:t xml:space="preserve"> Первое слагаемое (3.5) имеет порядок δ²·SD(y)², а L2-слагаемое от масштаба y не зависит. Поэтому коэффициент λ₂ нельзя выбирать без учёта единиц измерения целевой переменной. Например, прирост осевой длины измеряется в десятых долях миллиметра, и значения SALF имеют порядок 10⁻². Тогда при λ₂ = 1 штраф подавляет линейную ветвь почти до константы. Экспериментальные следствия этого показаны в разделе 3.8. На практике λ₂ следует подбирать внутренней перекрёстной проверкой или нормировать y перед обучением.</w:t>
      </w:r>
    </w:p>
    <w:p>
      <w:pPr>
        <w:pStyle w:val="Heading2"/>
      </w:pPr>
      <w:bookmarkStart w:name="_Toc24" w:id="24"/>
      <w:r>
        <w:t xml:space="preserve">3.5. Поэтапный алгоритм обучения и его сложность</w:t>
      </w:r>
      <w:bookmarkEnd w:id="24"/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Шаг 1.</w:t>
      </w:r>
      <w:r>
        <w:t xml:space="preserve"> Обучение линейной ветви минимизацией SALF с L2-регуляризацией квазиньютоновским методом L-BFGS. Функционал выпуклый (утверждение 3.1) и непрерывно дифференцируемый, поэтому метод сходится к глобальному минимуму.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Шаг 2.</w:t>
      </w:r>
      <w:r>
        <w:t xml:space="preserve"> Обучение ансамблевой ветви (градиентный бустинг, M деревьев глубины D) на невязках линейной ветви.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Шаг 3.</w:t>
      </w:r>
      <w:r>
        <w:t xml:space="preserve"> Обучение маршрутизатора при фиксированных ветвях по SALF со штрафом декорреляции безградиентным методом Пауэлла.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Шаг 4.</w:t>
      </w:r>
      <w:r>
        <w:t xml:space="preserve"> Совместная донастройка параметров линейной ветви и маршрутизатора методом Пауэлла из решения шага 3.</w:t>
      </w:r>
    </w:p>
    <w:p>
      <w:pPr>
        <w:ind w:firstLine="709"/>
        <w:jc w:val="both"/>
      </w:pPr>
      <w:r>
        <w:rPr>
          <w:b/>
          <w:bCs/>
        </w:rPr>
        <w:t xml:space="preserve">Вычислительная сложность.</w:t>
      </w:r>
      <w:r>
        <w:t xml:space="preserve"> Пусть n — объём выборки, p — число признаков, Iₖ — число итераций на шаге k. Шаг 1 требует O(I₁·n·p) операций. Шаг 2 требует O(M·n·p·log n) при точном поиске разбиений. На шагах 3 и 4 выход ансамбля вычисляется один раз, а каждое вычисление функционала стоит O(n·p). Метод Пауэлла на одной итерации выполняет порядка q одномерных поисков, где q — число параметров (p + 1 на шаге 3 и 2p + 2 на шаге 4). Отсюда сложность O(I₃·p·n·p) и O(I₄·p·n·p) соответственно. Прогноз для одного объекта стоит O(p + M·D). При малом p, как в рассматриваемых задачах, время обучения определяется шагами 2–4.</w:t>
      </w:r>
    </w:p>
    <w:p>
      <w:pPr>
        <w:ind w:firstLine="709"/>
        <w:jc w:val="both"/>
      </w:pPr>
      <w:r>
        <w:rPr>
          <w:b/>
          <w:bCs/>
        </w:rPr>
        <w:t xml:space="preserve">Замечание о сходимости.</w:t>
      </w:r>
      <w:r>
        <w:t xml:space="preserve"> Шаги 1 и 2 минимизируют разные функционалы, поэтому монотонного убывания (3.5) по всем шагам нет. Шаг 4 стартует из решения шага 3, а метод Пауэлла не увеличивает значение функционала, поэтому L после шага 4 не больше, чем после шага 3. Функционал (3.5) не выпуклый по параметрам маршрутизатора, поэтому гарантируется лишь локальный оптимум. В экспериментах маршрутизатор нередко насыщается (g → 0 или 1), то есть фактически вырождается в жёсткое переключение ветвей.</w:t>
      </w:r>
    </w:p>
    <w:p>
      <w:pPr>
        <w:pStyle w:val="Heading2"/>
      </w:pPr>
      <w:bookmarkStart w:name="_Toc25" w:id="25"/>
      <w:r>
        <w:t xml:space="preserve">3.6. Метрики риск-чувствительной оценки</w:t>
      </w:r>
      <w:bookmarkEnd w:id="25"/>
    </w:p>
    <w:p>
      <w:pPr>
        <w:ind w:firstLine="709"/>
        <w:jc w:val="both"/>
      </w:pPr>
      <w:r>
        <w:t xml:space="preserve">Наряду с MAE и R² используются доля пропущенных случаев высокого риска (FNR_HR) и доля ложных тревог (FPR_HR):</w:t>
      </w:r>
    </w:p>
    <w:p>
      <w:pPr>
        <w:tabs>
          <w:tab w:val="center" w:pos="4961"/>
          <w:tab w:val="right" w:pos="9921"/>
        </w:tabs>
        <w:spacing w:after="120" w:before="120"/>
      </w:pPr>
      <w:r>
        <w:rPr>
          <w:i/>
          <w:iCs/>
        </w:rPr>
        <w:t xml:space="preserve">	FNR_HR = #{i : yᵢ ≥ y*, ŷᵢ &lt; y*} / #{i : yᵢ ≥ y*},   FPR_HR = #{i : yᵢ &lt; y*, ŷᵢ ≥ y*} / #{i : yᵢ &lt; y*}</w:t>
      </w:r>
      <w:r>
        <w:t xml:space="preserve">	(3.6)</w:t>
      </w:r>
    </w:p>
    <w:p>
      <w:pPr>
        <w:ind w:firstLine="709"/>
        <w:jc w:val="both"/>
      </w:pPr>
      <w:r>
        <w:t xml:space="preserve">где порог y* — верхний квартиль y на обучающей выборке. Отдельно FNR_HR не информативна: её можно свести к нулю, если отнести всех к группе риска. Поэтому она всегда указывается вместе с FPR_HR. Пороговонезависимое качество оценивается площадью под ROC-кривой прогноза ŷ для бинарного признака {y ≥ y*} (AUC_HR). Сдвиг прогноза на константу не меняет AUC_HR. Поэтому если метод снижает FNR_HR только за счёт сдвига, его AUC_HR не выше, чем у базовой модели.</w:t>
      </w:r>
    </w:p>
    <w:p>
      <w:pPr>
        <w:pStyle w:val="Heading2"/>
      </w:pPr>
      <w:bookmarkStart w:name="_Toc26" w:id="26"/>
      <w:r>
        <w:t xml:space="preserve">3.7. Дизайн вычислительного эксперимента</w:t>
      </w:r>
      <w:bookmarkEnd w:id="26"/>
    </w:p>
    <w:p>
      <w:pPr>
        <w:ind w:firstLine="709"/>
        <w:jc w:val="both"/>
      </w:pPr>
      <w:r>
        <w:t xml:space="preserve">Эксперимент отвечает на два вопроса. (1) Управляет ли параметр τ компромиссом между пропусками и ложными тревогами? (2) Даёт ли гибридная схема преимущество перед более простыми способами получить тот же компромисс? Сравнивались следующие модели при τ ∈ {0,5; 0,6; 0,7; 0,75; 0,8; 0,9}: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SALF-гибрид с λ₂ = 1 (настройка, использованная в работе [44]) и с λ₂ = 10⁻³;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линейная модель с SALF без нелинейной ветви и маршрутизатора (абляция, λ₂ = 10⁻³);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линейная квантильная регрессия уровня τ [31];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градиентный бустинг с квантильной функцией потерь уровня τ;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OLS и GBM, прогноз которых сдвинут на τ-квантиль невязок обучающей выборки (сдвиг порога);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симметричные OLS и GBM как ориентиры.</w:t>
      </w:r>
    </w:p>
    <w:p>
      <w:pPr>
        <w:ind w:firstLine="709"/>
        <w:jc w:val="both"/>
      </w:pPr>
      <w:r>
        <w:t xml:space="preserve">Валидация — повторная 5-блочная перекрёстная проверка (10 повторов, 50 разбиений). Для данных Kinoshita разбиение выполнялось по детям: оба глаза одного ребёнка всегда попадали в один блок. Попарные различия с SALF-гибридом оценивались скорректированным t-критерием Nadeau–Bengio для повторной перекрёстной проверки [48]. Целевые переменные: прирост осевой длины за 27 месяцев (Kinoshita, 73 ребёнка, 146 глаз) и балл тяжести −SPHEQ (OLSM, n = 618; одномоментная демонстрационная задача, а не прогрессирование). Реализация — модуль </w:t>
      </w:r>
      <w:r>
        <w:rPr>
          <w:rFonts w:ascii="Consolas" w:cs="Consolas" w:eastAsia="Consolas" w:hAnsi="Consolas"/>
          <w:sz w:val="24"/>
          <w:szCs w:val="24"/>
        </w:rPr>
        <w:t xml:space="preserve">salf_benchmark.py</w:t>
      </w:r>
      <w:r>
        <w:t xml:space="preserve">.</w:t>
      </w:r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Предварительный эксперимент (черновик </w:t>
      </w:r>
      <w:r>
        <w:rPr>
          <w:rFonts w:ascii="Consolas" w:cs="Consolas" w:eastAsia="Consolas" w:hAnsi="Consolas"/>
          <w:sz w:val="20"/>
          <w:szCs w:val="20"/>
        </w:rPr>
        <w:t xml:space="preserve">article/salf_empirical_draft.md</w:t>
      </w:r>
      <w:r>
        <w:rPr>
          <w:sz w:val="24"/>
          <w:szCs w:val="24"/>
        </w:rPr>
        <w:t xml:space="preserve">, файл </w:t>
      </w:r>
      <w:r>
        <w:rPr>
          <w:rFonts w:ascii="Consolas" w:cs="Consolas" w:eastAsia="Consolas" w:hAnsi="Consolas"/>
          <w:sz w:val="20"/>
          <w:szCs w:val="20"/>
        </w:rPr>
        <w:t xml:space="preserve">results/salf_experiment.csv</w:t>
      </w:r>
      <w:r>
        <w:rPr>
          <w:sz w:val="24"/>
          <w:szCs w:val="24"/>
        </w:rPr>
        <w:t xml:space="preserve">) содержал две методические ошибки. (1) На данных Kinoshita блоки формировались по глазам, и парный глаз того же ребёнка попадал в обучение. Это завышало качество: например, R² GBM был 0,315, а при разбиении по детям он отрицательный. (2) Не сообщались ложные тревоги, поэтому снижение FNR выглядело как преимущество метода. Числа из предварительного эксперимента использовать нельзя, ни в диссертации, ни в статьях.</w:t>
      </w:r>
    </w:p>
    <w:p>
      <w:pPr>
        <w:pStyle w:val="Heading2"/>
      </w:pPr>
      <w:bookmarkStart w:name="_Toc27" w:id="27"/>
      <w:r>
        <w:t xml:space="preserve">3.8. Результаты</w:t>
      </w:r>
      <w:bookmarkEnd w:id="27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3.1 — Сравнение моделей при τ = 0,75 (повторная перекрёстная проверка 5 × 10, среднее; для AUC_HR — среднее ± SD)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3209"/>
        <w:gridCol w:w="875"/>
        <w:gridCol w:w="875"/>
        <w:gridCol w:w="875"/>
        <w:gridCol w:w="875"/>
        <w:gridCol w:w="1899"/>
      </w:tblGrid>
      <w:tr>
        <w:trPr>
          <w:cantSplit/>
          <w:tblHeader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Данные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MAE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R²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FNR_HR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FPR_HR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AUC_HR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0,417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0,096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0,856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0,082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0,640 ± 0,051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0,426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0,039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0,917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0,045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0,628 ± 0,051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 + сдвиг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0,492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−0,200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0,424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0,640 ± 0,051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+ сдвиг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0,472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−0,149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0,353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0,628 ± 0,051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Квантильная регрессия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0,492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−0,224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0,443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0,616 ± 0,054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квантильный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0,481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−0,211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0,371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0,618 ± 0,050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Линейная SALF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0,462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−0,109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0,525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0,312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0,628 ± 0,051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SALF-гибрид, λ₂ = 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−0,215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0,507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0,394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0,575 ± 0,069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SALF-гибрид, λ₂ = 10⁻³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0,467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−0,128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0,311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0,612 ± 0,054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0,194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0,118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0,594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0,098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0,780 ± 0,128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−0,194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0,136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0,732 ± 0,117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 + сдвиг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−0,246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0,379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0,780 ± 0,128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+ сдвиг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−0,280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0,566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0,212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0,732 ± 0,117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Квантильная регрессия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0,233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−0,361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0,385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0,782 ± 0,122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квантильный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−0,245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0,395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0,250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0,759 ± 0,108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Линейная SALF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−0,208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0,254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0,318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0,785 ± 0,119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SALF-гибрид, λ₂ = 1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0,259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−0,528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0,715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0,130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0,542 ± 0,167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Kinoshita</w:t>
            </w:r>
          </w:p>
        </w:tc>
        <w:tc>
          <w:tcPr>
            <w:tcW w:type="dxa" w:w="3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SALF-гибрид, λ₂ = 10⁻³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0,223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−0,223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0,464</w:t>
            </w:r>
          </w:p>
        </w:tc>
        <w:tc>
          <w:tcPr>
            <w:tcW w:type="dxa" w:w="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0,247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0,754 ± 0,117</w:t>
            </w:r>
          </w:p>
        </w:tc>
      </w:tr>
    </w:tbl>
    <w:p>
      <w:pPr>
        <w:spacing w:after="0" w:line="240"/>
      </w:pP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3.2 — Управление компромиссом параметром τ (SALF-гибрид, λ₂ = 10⁻³)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280"/>
        <w:gridCol w:w="1280"/>
        <w:gridCol w:w="1280"/>
        <w:gridCol w:w="1813"/>
        <w:gridCol w:w="1813"/>
        <w:gridCol w:w="1815"/>
      </w:tblGrid>
      <w:tr>
        <w:trPr>
          <w:cantSplit/>
          <w:tblHeader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OLSM: FNR_HR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OLSM: FPR_HR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OLSM: AUC_HR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Kinoshita: FNR_HR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Kinoshita: FPR_HR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Kinoshita: AUC_HR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0,057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0,633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0,685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0,152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0,729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0,631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0,603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0,177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0,741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0,647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0,627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0,494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0,220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0,756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0,612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0,464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0,247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0,754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0,447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0,416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0,601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0,373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0,275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0,763</w:t>
            </w:r>
          </w:p>
        </w:tc>
      </w:tr>
      <w:tr>
        <w:trPr>
          <w:cantSplit/>
          <w:tblHeader w:val="off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0,201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0,626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0,237</w:t>
            </w:r>
          </w:p>
        </w:tc>
        <w:tc>
          <w:tcPr>
            <w:tcW w:type="dxa" w:w="1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0,309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0,794</w:t>
            </w:r>
          </w:p>
        </w:tc>
      </w:tr>
    </w:tbl>
    <w:p>
      <w:pPr>
        <w:spacing w:after="0" w:line="240"/>
      </w:pP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3.3 — Разность AUC_HR «SALF-гибрид минус альтернатива» при τ = 0,75 (p — критерий Nadeau–Bengio)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899"/>
        <w:gridCol w:w="1794"/>
        <w:gridCol w:w="1899"/>
        <w:gridCol w:w="2113"/>
      </w:tblGrid>
      <w:tr>
        <w:trPr>
          <w:cantSplit/>
          <w:tblHeader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Альтернатива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OLSM, λ₂ = 1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OLSM, λ₂ = 10⁻³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Kinoshita, λ₂ = 1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Kinoshita, λ₂ = 10⁻³</w:t>
            </w:r>
          </w:p>
        </w:tc>
      </w:tr>
      <w:tr>
        <w:trPr>
          <w:cantSplit/>
          <w:tblHeader w:val="off"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Линейная SALF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−0,053 (p = 0,13)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−0,017 (p = 0,46)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−0,243 (p = 0,024)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−0,031 (p = 0,45)</w:t>
            </w:r>
          </w:p>
        </w:tc>
      </w:tr>
      <w:tr>
        <w:trPr>
          <w:cantSplit/>
          <w:tblHeader w:val="off"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Квантильная регрессия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−0,041 (p = 0,26)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−0,004 (p = 0,86)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−0,240 (p = 0,029)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−0,028 (p = 0,52)</w:t>
            </w:r>
          </w:p>
        </w:tc>
      </w:tr>
      <w:tr>
        <w:trPr>
          <w:cantSplit/>
          <w:tblHeader w:val="off"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квантильный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−0,043 (p = 0,28)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−0,006 (p = 0,82)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−0,217 (p = 0,025)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−0,005 (p = 0,90)</w:t>
            </w:r>
          </w:p>
        </w:tc>
      </w:tr>
      <w:tr>
        <w:trPr>
          <w:cantSplit/>
          <w:tblHeader w:val="off"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 + сдвиг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−0,065 (p = 0,056)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−0,028 (p = 0,19)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−0,238 (p = 0,032)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−0,026 (p = 0,53)</w:t>
            </w:r>
          </w:p>
        </w:tc>
      </w:tr>
      <w:tr>
        <w:trPr>
          <w:cantSplit/>
          <w:tblHeader w:val="off"/>
        </w:trPr>
        <w:tc>
          <w:tcPr>
            <w:tcW w:type="dxa" w:w="2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 + сдвиг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−0,053 (p = 0,11)</w:t>
            </w:r>
          </w:p>
        </w:tc>
        <w:tc>
          <w:tcPr>
            <w:tcW w:type="dxa" w:w="17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−0,016 (p = 0,51)</w:t>
            </w:r>
          </w:p>
        </w:tc>
        <w:tc>
          <w:tcPr>
            <w:tcW w:type="dxa" w:w="1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−0,190 (p = 0,031)</w:t>
            </w:r>
          </w:p>
        </w:tc>
        <w:tc>
          <w:tcPr>
            <w:tcW w:type="dxa" w:w="21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+0,023 (p = 0,57)</w:t>
            </w:r>
          </w:p>
        </w:tc>
      </w:tr>
    </w:tbl>
    <w:p>
      <w:pPr>
        <w:spacing w:after="0" w:line="240"/>
      </w:pPr>
    </w:p>
    <w:p>
      <w:pPr>
        <w:keepNext/>
        <w:spacing w:before="160"/>
        <w:jc w:val="center"/>
      </w:pPr>
      <w:r>
        <w:drawing>
          <wp:inline distT="0" distB="0" distL="0" distR="0">
            <wp:extent cx="5715000" cy="4629150"/>
            <wp:effectExtent t="0" r="0" b="0" l="0"/>
            <wp:docPr id="2" name="salf_benchmark.png" descr="Рисунок 3.1 — Компромисс между пропусками (FNR_HR) и ложными тревогами (FPR_HR) при изменении τ (вверху) и пороговонезависимая ранжирующая способность AUC_HR (внизу) для всех моделей" title="Рисунок 3.1 — Компромисс между пропусками (FNR_HR) и ложными тревогами (FPR_HR) при изменении τ (вверху) и пороговонезависимая ранжирующая способность AUC_HR (внизу) для всех мод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3.1 — Компромисс между пропусками (FNR_HR) и ложными тревогами (FPR_HR) при изменении τ (вверху) и пороговонезависимая ранжирующая способность AUC_HR (внизу) для всех моделей</w:t>
      </w:r>
    </w:p>
    <w:p>
      <w:pPr>
        <w:ind w:firstLine="709"/>
        <w:jc w:val="both"/>
      </w:pPr>
      <w:r>
        <w:t xml:space="preserve">Результаты эксперимента сводятся к четырём наблюдениям.</w:t>
      </w:r>
    </w:p>
    <w:p>
      <w:pPr>
        <w:ind w:firstLine="709"/>
        <w:jc w:val="both"/>
      </w:pPr>
      <w:r>
        <w:rPr>
          <w:b/>
          <w:bCs/>
        </w:rPr>
        <w:t xml:space="preserve">1. Параметр τ действительно управляет компромиссом.</w:t>
      </w:r>
      <w:r>
        <w:t xml:space="preserve"> У SALF-гибрида с λ₂ = 10⁻³ рост τ от 0,5 до 0,9 монотонно снижает долю пропусков: на OLSM с 0,91 до 0,20, на Kinoshita с 0,69 до 0,24. Доля ложных тревог при этом монотонно растёт (таблица 3.2). Это экспериментальное подтверждение утверждения 3.2.</w:t>
      </w:r>
    </w:p>
    <w:p>
      <w:pPr>
        <w:ind w:firstLine="709"/>
        <w:jc w:val="both"/>
      </w:pPr>
      <w:r>
        <w:rPr>
          <w:b/>
          <w:bCs/>
        </w:rPr>
        <w:t xml:space="preserve">2. Гибридная архитектура не даёт преимущества перед простыми асимметричными моделями.</w:t>
      </w:r>
      <w:r>
        <w:t xml:space="preserve"> При корректной регуляризации различия AUC_HR между SALF-гибридом и всеми альтернативами не превышают 0,03 и статистически незначимы (p ≥ 0,19, таблица 3.3). На рисунке 3.1 кривые «FNR–FPR» для OLSM практически совпадают у всех асимметричных моделей. На Kinoshita линейные модели (OLS со сдвигом, квантильная регрессия, линейная SALF) лежат не хуже гибрида. Например, OLS со сдвигом при τ = 0,7 даёт FNR_HR 0,25 при FPR_HR 0,30, а гибрид при τ = 0,9 — 0,24 при 0,31. Абляция показывает, что линейная модель с SALF не уступает гибриду. Значит, на этих данных нелинейная ветвь и маршрутизатор не добавляют полезной информации.</w:t>
      </w:r>
    </w:p>
    <w:p>
      <w:pPr>
        <w:ind w:firstLine="709"/>
        <w:jc w:val="both"/>
      </w:pPr>
      <w:r>
        <w:rPr>
          <w:b/>
          <w:bCs/>
        </w:rPr>
        <w:t xml:space="preserve">3. Снижение пропусков обусловлено асимметрией, а не архитектурой.</w:t>
      </w:r>
      <w:r>
        <w:t xml:space="preserve"> Сдвиг прогноза не меняет AUC_HR, а AUC_HR всех асимметричных моделей близки к AUC_HR симметричной OLS. Следовательно, снижение FNR_HR в основном достигается сдвигом прогноза вверх, в полном соответствии с утверждением 3.2. Такой же эффект даёт простой сдвиг прогноза базовой модели.</w:t>
      </w:r>
    </w:p>
    <w:p>
      <w:pPr>
        <w:ind w:firstLine="709"/>
        <w:jc w:val="both"/>
      </w:pPr>
      <w:r>
        <w:rPr>
          <w:b/>
          <w:bCs/>
        </w:rPr>
        <w:t xml:space="preserve">4. Настройка из исходной работы неудачна.</w:t>
      </w:r>
      <w:r>
        <w:t xml:space="preserve"> При λ₂ = 1 SALF-гибрид ранжирует детей значимо хуже всех альтернатив на Kinoshita (AUC_HR 0,54 против 0,73–0,79, p = 0,02–0,03) и численно хуже на OLSM (0,58 против 0,62–0,64). Причина — несогласованность масштаба регуляризации и функции потерь (раздел 3.4).</w:t>
      </w:r>
    </w:p>
    <w:p>
      <w:pPr>
        <w:ind w:firstLine="709"/>
        <w:jc w:val="both"/>
      </w:pPr>
      <w:r>
        <w:t xml:space="preserve">Кроме того, при разбиении по детям даже лучшие модели на данных Kinoshita объясняют лишь небольшую долю дисперсии прироста осевой длины (R² OLS = 0,12). Для 73 детей и пяти исходных признаков это ожидаемо и ограничивает возможности любой модели прогноза прогрессирования на этих данных.</w:t>
      </w:r>
    </w:p>
    <w:p>
      <w:pPr>
        <w:pStyle w:val="Heading2"/>
      </w:pPr>
      <w:bookmarkStart w:name="_Toc28" w:id="28"/>
      <w:r>
        <w:t xml:space="preserve">3.9. Обсуждение</w:t>
      </w:r>
      <w:bookmarkEnd w:id="28"/>
    </w:p>
    <w:p>
      <w:pPr>
        <w:ind w:firstLine="709"/>
        <w:jc w:val="both"/>
      </w:pPr>
      <w:r>
        <w:t xml:space="preserve">Эксперимент не подтвердил исходную гипотезу о преимуществе гибридной архитектуры. На малых открытых выборках с небольшим числом признаков риск-чувствительный эффект полностью объясняется асимметрией функции потерь, и его можно получить линейной моделью с SALF, квантильной регрессией или сдвигом прогноза. Гибридная схема может оказаться полезной на больших выборках с богатым набором признаков, где нелинейная ветвь способна выявить взаимодействия. Проверка этого — направление дальнейших исследований.</w:t>
      </w:r>
    </w:p>
    <w:p>
      <w:pPr>
        <w:ind w:firstLine="709"/>
        <w:jc w:val="both"/>
      </w:pPr>
      <w:r>
        <w:t xml:space="preserve">Вместе с тем глава даёт три результата, значимые для практики риск-чувствительного прогноза. Во-первых, получено формальное обоснование управляемости: SALF выпукла и непрерывно дифференцируема, а сдвиг прогноза монотонно зависит от τ (утверждения 3.1 и 3.2). Это позволяет выбирать τ по требуемой чувствительности скрининга. Во-вторых, предложена методика оценки, при которой доля пропусков всегда сообщается вместе с долей ложных тревог и пороговонезависимой AUC_HR, а разбиение при валидации учитывает парность глаз. Без этого кажущееся преимущество метода оказывается артефактом. В-третьих, показано, что для практического скрининга достаточно линейной модели с SALF: она проста, интерпретируема, обучается выпуклой оптимизацией и не уступает гибриду.</w:t>
      </w:r>
    </w:p>
    <w:p>
      <w:pPr>
        <w:pStyle w:val="Heading2"/>
      </w:pPr>
      <w:bookmarkStart w:name="_Toc29" w:id="29"/>
      <w:r>
        <w:t xml:space="preserve">Выводы по главе 3</w:t>
      </w:r>
      <w:bookmarkEnd w:id="29"/>
    </w:p>
    <w:p>
      <w:pPr>
        <w:pStyle w:val="ListParagraph"/>
        <w:numPr>
          <w:ilvl w:val="0"/>
          <w:numId w:val="2"/>
        </w:numPr>
        <w:jc w:val="both"/>
      </w:pPr>
      <w:r>
        <w:t xml:space="preserve">Сформулирована задача риск-чувствительного прогноза прогрессирования миопии с асимметричной функцией потерь SALF. Показана её связь с M-квантильной, квантильной и экспектильной регрессией.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Доказаны непрерывная дифференцируемость и выпуклость SALF, ограниченность её производной и монотонная зависимость сдвига прогноза от параметра асимметрии τ. Получена оценка вычислительной сложности поэтапного алгоритма обучения гибридной схемы.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Экспериментально показано, что τ монотонно управляет компромиссом между пропусками и ложными тревогами (на OLSM доля пропусков снижается с 0,91 до 0,20, на Kinoshita — с 0,69 до 0,24).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При корректной валидации гибридная архитектура не превосходит линейную модель с SALF, квантильную регрессию и сдвиг прогноза базовых моделей (различия AUC_HR ≤ 0,03, p ≥ 0,19). Для практического скрининга рекомендована линейная модель с SALF.</w:t>
      </w:r>
    </w:p>
    <w:p>
      <w:pPr>
        <w:pStyle w:val="Heading1"/>
        <w:pageBreakBefore/>
        <w:jc w:val="center"/>
      </w:pPr>
      <w:bookmarkStart w:name="_Toc30" w:id="30"/>
      <w:r>
        <w:t xml:space="preserve">ГЛАВА 4. ПРОГНОЗИРОВАНИЕ РИСКА РАЗВИТИЯ МИОПИИ У ДЕТЕЙ</w:t>
      </w:r>
      <w:bookmarkEnd w:id="30"/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Основа главы — </w:t>
      </w:r>
      <w:r>
        <w:rPr>
          <w:rFonts w:ascii="Consolas" w:cs="Consolas" w:eastAsia="Consolas" w:hAnsi="Consolas"/>
          <w:sz w:val="20"/>
          <w:szCs w:val="20"/>
        </w:rPr>
        <w:t xml:space="preserve">article/olsm_chapter1_draft.md</w:t>
      </w:r>
      <w:r>
        <w:rPr>
          <w:sz w:val="24"/>
          <w:szCs w:val="24"/>
        </w:rPr>
        <w:t xml:space="preserve"> (в ранних заметках он назывался «Глава 1»). Здесь он структурирован под диссертацию и дополнен разделами о калибровке и внешней проверке на NHANES.</w:t>
      </w:r>
    </w:p>
    <w:p>
      <w:pPr>
        <w:pStyle w:val="Heading2"/>
      </w:pPr>
      <w:bookmarkStart w:name="_Toc31" w:id="31"/>
      <w:r>
        <w:t xml:space="preserve">4.1. Описательный анализ когорты</w:t>
      </w:r>
      <w:bookmarkEnd w:id="31"/>
    </w:p>
    <w:p>
      <w:pPr>
        <w:ind w:firstLine="709"/>
        <w:jc w:val="both"/>
      </w:pPr>
      <w:r>
        <w:t xml:space="preserve">Будущие миопы на исходном визите значимо отличались по исходной рефракции: средний SPHEQ 0,199 против 0,892 дптр (U-критерий Манна–Уитни, p = 7·10⁻²⁶). Они также отличались глубиной передней камеры (3,643 против 3,569 мм, p = 0,003) и временем активности вне помещения (9,9 против 12,3 ч/нед, p = 0,005). Осевая длина на исходном визите группы не различала (p = 0,36). Это подтверждает, что дети включены в исследование до анатомического удлинения глаза. Доля заболевших возрастала с числом близоруких родителей: 3,3% при отсутствии близоруких родителей и 22,6%, если близоруки оба.</w:t>
      </w:r>
    </w:p>
    <w:p>
      <w:pPr>
        <w:pStyle w:val="Heading2"/>
      </w:pPr>
      <w:bookmarkStart w:name="_Toc32" w:id="32"/>
      <w:r>
        <w:t xml:space="preserve">4.2. Сравнение прогностических моделей</w:t>
      </w:r>
      <w:bookmarkEnd w:id="32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4.1 — Сравнение моделей прогноза риска развития миопии (перекрёстная проверка 5 × 10, среднее ± SD)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1417"/>
        <w:gridCol w:w="1417"/>
        <w:gridCol w:w="1744"/>
        <w:gridCol w:w="1417"/>
        <w:gridCol w:w="1419"/>
      </w:tblGrid>
      <w:tr>
        <w:trPr>
          <w:cantSplit/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PR-AUC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Чувствительность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Логистическая регрессия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0,870 ± 0,043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0,593 ± 0,104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0,788 ± 0,077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0,379 ± 0,059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0,510 ± 0,060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Случайный лес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0,839 ± 0,045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0,475 ± 0,096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0,079 ± 0,057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0,582 ± 0,393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0,136 ± 0,095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Градиентный бустинг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0,833 ± 0,046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0,495 ± 0,104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0,333 ± 0,100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0,533 ± 0,141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0,400 ± 0,097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Гистограммный бустинг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0,824 ± 0,048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0,468 ± 0,103</w:t>
            </w:r>
          </w:p>
        </w:tc>
        <w:tc>
          <w:tcPr>
            <w:tcW w:type="dxa" w:w="1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0,316 ± 0,098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0,537 ± 0,171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0,386 ± 0,100</w:t>
            </w:r>
          </w:p>
        </w:tc>
      </w:tr>
    </w:tbl>
    <w:p>
      <w:pPr>
        <w:spacing w:after="0" w:line="240"/>
      </w:pPr>
    </w:p>
    <w:p>
      <w:pPr>
        <w:ind w:firstLine="709"/>
        <w:jc w:val="both"/>
      </w:pPr>
      <w:r>
        <w:t xml:space="preserve">Логистическая регрессия превосходит ансамблевые методы по обеим пороговонезависимым метрикам (ROC-AUC и PR-AUC). При 618 наблюдениях и 81 положительном случае ансамбли не получают преимущества от моделирования нелинейностей, а их дисперсия выше. Низкая чувствительность ансамблей при пороге 0,5 отчасти объясняется отсутствием коррекции порога. Поэтому основное сравнение ведётся по ROC-AUC и PR-AUC.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715000" cy="2333625"/>
            <wp:effectExtent t="0" r="0" b="0" l="0"/>
            <wp:docPr id="3" name="roc_pr.png" descr="Рисунок 4.1 — ROC- и PR-кривые логистической регрессии (вероятности вне обучающих блоков)" title="Рисунок 4.1 — ROC- и PR-кривые логистической регрессии (вероятности вне обучающих блок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4.1 — ROC- и PR-кривые логистической регрессии (вероятности вне обучающих блоков)</w:t>
      </w:r>
    </w:p>
    <w:p>
      <w:pPr>
        <w:pStyle w:val="Heading2"/>
      </w:pPr>
      <w:bookmarkStart w:name="_Toc33" w:id="33"/>
      <w:r>
        <w:t xml:space="preserve">4.3. Выбор порога скрининга</w:t>
      </w:r>
      <w:bookmarkEnd w:id="33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4.2 — Операционные характеристики модели при различных порогах (n = 618, 81 случай)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"/>
        <w:gridCol w:w="2061"/>
        <w:gridCol w:w="1674"/>
        <w:gridCol w:w="1030"/>
        <w:gridCol w:w="2576"/>
        <w:gridCol w:w="1807"/>
      </w:tblGrid>
      <w:tr>
        <w:trPr>
          <w:cantSplit/>
          <w:tblHeader/>
        </w:trPr>
        <w:tc>
          <w:tcPr>
            <w:tcW w:type="dxa" w:w="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Порог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Чувствительность</w:t>
            </w:r>
          </w:p>
        </w:tc>
        <w:tc>
          <w:tcPr>
            <w:tcW w:type="dxa" w:w="1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Специфичность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Выявлено / пропущено</w:t>
            </w:r>
          </w:p>
        </w:tc>
        <w:tc>
          <w:tcPr>
            <w:tcW w:type="dxa" w:w="1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Ложные тревоги</w:t>
            </w:r>
          </w:p>
        </w:tc>
      </w:tr>
      <w:tr>
        <w:trPr>
          <w:cantSplit/>
          <w:tblHeader w:val="off"/>
        </w:trPr>
        <w:tc>
          <w:tcPr>
            <w:tcW w:type="dxa" w:w="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0,20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0,938</w:t>
            </w:r>
          </w:p>
        </w:tc>
        <w:tc>
          <w:tcPr>
            <w:tcW w:type="dxa" w:w="1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0,549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0,239</w:t>
            </w:r>
          </w:p>
        </w:tc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76 / 5</w:t>
            </w:r>
          </w:p>
        </w:tc>
        <w:tc>
          <w:tcPr>
            <w:tcW w:type="dxa" w:w="1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242</w:t>
            </w:r>
          </w:p>
        </w:tc>
      </w:tr>
      <w:tr>
        <w:trPr>
          <w:cantSplit/>
          <w:tblHeader w:val="off"/>
        </w:trPr>
        <w:tc>
          <w:tcPr>
            <w:tcW w:type="dxa" w:w="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0,852</w:t>
            </w:r>
          </w:p>
        </w:tc>
        <w:tc>
          <w:tcPr>
            <w:tcW w:type="dxa" w:w="1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0,696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0,297</w:t>
            </w:r>
          </w:p>
        </w:tc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69 / 12</w:t>
            </w:r>
          </w:p>
        </w:tc>
        <w:tc>
          <w:tcPr>
            <w:tcW w:type="dxa" w:w="1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163</w:t>
            </w:r>
          </w:p>
        </w:tc>
      </w:tr>
      <w:tr>
        <w:trPr>
          <w:cantSplit/>
          <w:tblHeader w:val="off"/>
        </w:trPr>
        <w:tc>
          <w:tcPr>
            <w:tcW w:type="dxa" w:w="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0,50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0,802</w:t>
            </w:r>
          </w:p>
        </w:tc>
        <w:tc>
          <w:tcPr>
            <w:tcW w:type="dxa" w:w="1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0,804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0,382</w:t>
            </w:r>
          </w:p>
        </w:tc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65 / 16</w:t>
            </w:r>
          </w:p>
        </w:tc>
        <w:tc>
          <w:tcPr>
            <w:tcW w:type="dxa" w:w="1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105</w:t>
            </w:r>
          </w:p>
        </w:tc>
      </w:tr>
      <w:tr>
        <w:trPr>
          <w:cantSplit/>
          <w:tblHeader w:val="off"/>
        </w:trPr>
        <w:tc>
          <w:tcPr>
            <w:tcW w:type="dxa" w:w="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0,65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0,691</w:t>
            </w:r>
          </w:p>
        </w:tc>
        <w:tc>
          <w:tcPr>
            <w:tcW w:type="dxa" w:w="16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0,873</w:t>
            </w:r>
          </w:p>
        </w:tc>
        <w:tc>
          <w:tcPr>
            <w:tcW w:type="dxa" w:w="10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0,452</w:t>
            </w:r>
          </w:p>
        </w:tc>
        <w:tc>
          <w:tcPr>
            <w:tcW w:type="dxa" w:w="2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56 / 25</w:t>
            </w:r>
          </w:p>
        </w:tc>
        <w:tc>
          <w:tcPr>
            <w:tcW w:type="dxa" w:w="18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68</w:t>
            </w:r>
          </w:p>
        </w:tc>
      </w:tr>
    </w:tbl>
    <w:p>
      <w:pPr>
        <w:spacing w:after="0" w:line="240"/>
      </w:pPr>
    </w:p>
    <w:p>
      <w:pPr>
        <w:ind w:firstLine="709"/>
        <w:jc w:val="both"/>
      </w:pPr>
      <w:r>
        <w:t xml:space="preserve">Для скрининга рекомендован порог 0,35. Он обеспечивает выявление 85% будущих случаев миопии при специфичности 0,70: из 81 будущего миопа пропускаются 12.</w:t>
      </w:r>
    </w:p>
    <w:p>
      <w:pPr>
        <w:pStyle w:val="Heading2"/>
      </w:pPr>
      <w:bookmarkStart w:name="_Toc34" w:id="34"/>
      <w:r>
        <w:t xml:space="preserve">4.4. Независимые факторы риска</w:t>
      </w:r>
      <w:bookmarkEnd w:id="34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4.3 — Отношения шансов развития миопии (на 1 SD для непрерывных признаков)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031"/>
        <w:gridCol w:w="964"/>
        <w:gridCol w:w="3995"/>
        <w:gridCol w:w="967"/>
      </w:tblGrid>
      <w:tr>
        <w:trPr>
          <w:cantSplit/>
          <w:tblHeader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 одномерный (95% ДИ)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 скорректированный (95% ДИ)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SPHEQ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0,091 (0,05–0,15)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0,078 (0,04–0,14)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SPORTHR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0,72 (0,55–0,94)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0,015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0,66 (0,47–0,92)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0,014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MOMMY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2,28 (1,39–3,75)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0,001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2,01 (1,07–3,76)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0,029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DADMY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2,53 (1,53–4,17)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2,18 (1,16–4,08)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0,015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GENDER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1,44 (0,90–2,31)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0,129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1,82 (0,93–3,55)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0,080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STUDYHR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0,90 (0,69–1,17)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0,433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0,68 (0,45–1,05)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0,081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ACD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1,39 (1,09–1,76)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0,008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1,29 (0,91–1,82)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0,146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READHR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1,21 (0,98–1,50)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0,073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1,27 (0,94–1,71)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0,114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VCD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1,04 (0,82–1,31)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0,769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0,77 (0,54–1,10)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0,157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COMPHR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1,07 (0,87–1,33)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0,521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1,13 (0,86–1,49)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0,388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LT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 (0,69–1,10)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0,257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 (0,61–1,25)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0,446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TVHR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0,99 (0,78–1,25)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0,920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0,92 (0,67–1,27)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0,628</w:t>
            </w:r>
          </w:p>
        </w:tc>
      </w:tr>
      <w:tr>
        <w:trPr>
          <w:cantSplit/>
          <w:tblHeader w:val="off"/>
        </w:trPr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AGE</w:t>
            </w:r>
          </w:p>
        </w:tc>
        <w:tc>
          <w:tcPr>
            <w:tcW w:type="dxa" w:w="3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1,05 (0,84–1,32)</w:t>
            </w:r>
          </w:p>
        </w:tc>
        <w:tc>
          <w:tcPr>
            <w:tcW w:type="dxa" w:w="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0,645</w:t>
            </w:r>
          </w:p>
        </w:tc>
        <w:tc>
          <w:tcPr>
            <w:tcW w:type="dxa" w:w="3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0,97 (0,71–1,33)</w:t>
            </w:r>
          </w:p>
        </w:tc>
        <w:tc>
          <w:tcPr>
            <w:tcW w:type="dxa" w:w="9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0,844</w:t>
            </w:r>
          </w:p>
        </w:tc>
      </w:tr>
    </w:tbl>
    <w:p>
      <w:pPr>
        <w:spacing w:after="0" w:line="240"/>
      </w:pPr>
    </w:p>
    <w:p>
      <w:pPr>
        <w:ind w:firstLine="709"/>
        <w:jc w:val="both"/>
      </w:pPr>
      <w:r>
        <w:t xml:space="preserve">В многомерной модели независимыми факторами являются четыре признака. Исходная рефракция: увеличение гиперметропического резерва на 1 SD снижает шансы миопии в 12,8 раза. Время активности вне помещения — защитный фактор (OR = 0,66). Миопия матери (OR = 2,01) и миопия отца (OR = 2,18) — факторы риска. Результаты согласуются с опубликованными анализами полной когорты OLSM [5–7].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4095750" cy="2924175"/>
            <wp:effectExtent t="0" r="0" b="0" l="0"/>
            <wp:docPr id="4" name="feature_importance.png" descr="Рисунок 4.2 — Важность признаков: стандартизованные коэффициенты и перестановочная важность (вне обучающих блоков)" title="Рисунок 4.2 — Важность признаков: стандартизованные коэффициенты и перестановочная важность (вне обучающих блок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4.2 — Важность признаков: стандартизованные коэффициенты и перестановочная важность (вне обучающих блоков)</w:t>
      </w:r>
    </w:p>
    <w:p>
      <w:pPr>
        <w:pStyle w:val="Heading2"/>
      </w:pPr>
      <w:bookmarkStart w:name="_Toc35" w:id="35"/>
      <w:r>
        <w:t xml:space="preserve">4.5. Абляционный анализ: роль исходной рефракции</w:t>
      </w:r>
      <w:bookmarkEnd w:id="35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4.4 — Качество модели при различных наборах признаков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2"/>
        <w:gridCol w:w="2011"/>
        <w:gridCol w:w="938"/>
        <w:gridCol w:w="804"/>
        <w:gridCol w:w="2146"/>
      </w:tblGrid>
      <w:tr>
        <w:trPr>
          <w:cantSplit/>
          <w:tblHeader/>
        </w:trPr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Набор признаков</w:t>
            </w:r>
          </w:p>
        </w:tc>
        <w:tc>
          <w:tcPr>
            <w:tcW w:type="dxa" w:w="2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Число признаков</w:t>
            </w:r>
          </w:p>
        </w:tc>
        <w:tc>
          <w:tcPr>
            <w:tcW w:type="dxa" w:w="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PR-AUC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Чувствительность</w:t>
            </w:r>
          </w:p>
        </w:tc>
      </w:tr>
      <w:tr>
        <w:trPr>
          <w:cantSplit/>
          <w:tblHeader w:val="off"/>
        </w:trPr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Полный</w:t>
            </w:r>
          </w:p>
        </w:tc>
        <w:tc>
          <w:tcPr>
            <w:tcW w:type="dxa" w:w="2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0,870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0,593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0,788</w:t>
            </w:r>
          </w:p>
        </w:tc>
      </w:tr>
      <w:tr>
        <w:trPr>
          <w:cantSplit/>
          <w:tblHeader w:val="off"/>
        </w:trPr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Только SPHEQ</w:t>
            </w:r>
          </w:p>
        </w:tc>
        <w:tc>
          <w:tcPr>
            <w:tcW w:type="dxa" w:w="2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0,861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0,573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0,754</w:t>
            </w:r>
          </w:p>
        </w:tc>
      </w:tr>
      <w:tr>
        <w:trPr>
          <w:cantSplit/>
          <w:tblHeader w:val="off"/>
        </w:trPr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Без SPHEQ</w:t>
            </w:r>
          </w:p>
        </w:tc>
        <w:tc>
          <w:tcPr>
            <w:tcW w:type="dxa" w:w="2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0,677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0,263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0,599</w:t>
            </w:r>
          </w:p>
        </w:tc>
      </w:tr>
      <w:tr>
        <w:trPr>
          <w:cantSplit/>
          <w:tblHeader w:val="off"/>
        </w:trPr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Образ жизни и наследственность</w:t>
            </w:r>
          </w:p>
        </w:tc>
        <w:tc>
          <w:tcPr>
            <w:tcW w:type="dxa" w:w="20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0,672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0,262</w:t>
            </w:r>
          </w:p>
        </w:tc>
        <w:tc>
          <w:tcPr>
            <w:tcW w:type="dxa" w:w="2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0,601</w:t>
            </w:r>
          </w:p>
        </w:tc>
      </w:tr>
    </w:tbl>
    <w:p>
      <w:pPr>
        <w:spacing w:after="0" w:line="240"/>
      </w:pPr>
    </w:p>
    <w:p>
      <w:pPr>
        <w:ind w:firstLine="709"/>
        <w:jc w:val="both"/>
      </w:pPr>
      <w:r>
        <w:t xml:space="preserve">Одна исходная рефракция обеспечивает 97% PR-AUC полной модели, а её исключение снижает PR-AUC более чем вдвое. Практический вывод: ранняя рефрактометрия — самый информативный и дешёвый скрининговый маркер. Анкетные данные без рефракции дают лишь умеренный прогноз. Следует учитывать, что исход определяется по той же шкале SE, поэтому сильная связь исходной и будущей рефракции отчасти задана построением задачи.</w:t>
      </w:r>
    </w:p>
    <w:p>
      <w:pPr>
        <w:pStyle w:val="Heading2"/>
      </w:pPr>
      <w:bookmarkStart w:name="_Toc36" w:id="36"/>
      <w:r>
        <w:t xml:space="preserve">4.6. Калибровка модели</w:t>
      </w:r>
      <w:bookmarkEnd w:id="36"/>
    </w:p>
    <w:p>
      <w:pPr>
        <w:keepNext/>
        <w:spacing w:before="160"/>
        <w:jc w:val="center"/>
      </w:pPr>
      <w:r>
        <w:drawing>
          <wp:inline distT="0" distB="0" distL="0" distR="0">
            <wp:extent cx="3619500" cy="3286125"/>
            <wp:effectExtent t="0" r="0" b="0" l="0"/>
            <wp:docPr id="5" name="calibration.png" descr="Рисунок 4.3 — Калибровочные кривые логистической регрессии со взвешиванием классов и без него" title="Рисунок 4.3 — Калибровочные кривые логистической регрессии со взвешиванием классов и без не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4.3 — Калибровочные кривые логистической регрессии со взвешиванием классов и без него</w:t>
      </w:r>
    </w:p>
    <w:p>
      <w:pPr>
        <w:ind w:firstLine="709"/>
        <w:jc w:val="both"/>
      </w:pPr>
      <w:r>
        <w:t xml:space="preserve">Модель без взвешивания классов хорошо откалибрована. Модель со взвешиванием систематически завышает вероятности. Поэтому предлагается двухмодельная схема: взвешенная модель с порогом 0,35 используется для отбора в группу риска, а невзвешенная — для сообщения индивидуальной вероятности развития миопии.</w:t>
      </w:r>
    </w:p>
    <w:p>
      <w:pPr>
        <w:pStyle w:val="Heading2"/>
      </w:pPr>
      <w:bookmarkStart w:name="_Toc37" w:id="37"/>
      <w:r>
        <w:t xml:space="preserve">4.7. Внешняя проверка факторов на популяционных данных NHANES</w:t>
      </w:r>
      <w:bookmarkEnd w:id="37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4.5 — Факторы миопии у подростков 12–19 лет, NHANES 2007–2008 (n = 990)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5"/>
        <w:gridCol w:w="930"/>
        <w:gridCol w:w="1395"/>
        <w:gridCol w:w="931"/>
      </w:tblGrid>
      <w:tr>
        <w:trPr>
          <w:cantSplit/>
          <w:tblHeader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95% ДИ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Возраст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1,085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0,95–1,24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0,230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ИМТ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1,010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0,89–1,15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0,876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Сидячее время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1,085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0,95–1,24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0,221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Отношение дохода к черте бедности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1,051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0,92–1,20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0,450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Женский пол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1,213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0,94–1,57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0,142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Интенсивная физическая активность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0,892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0,68–1,17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0,411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Умеренная физическая активность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0,993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0,77–1,28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0,958</w:t>
            </w:r>
          </w:p>
        </w:tc>
      </w:tr>
    </w:tbl>
    <w:p>
      <w:pPr>
        <w:spacing w:after="0" w:line="240"/>
      </w:pPr>
    </w:p>
    <w:p>
      <w:pPr>
        <w:keepNext/>
        <w:spacing w:before="160"/>
        <w:jc w:val="center"/>
      </w:pPr>
      <w:r>
        <w:drawing>
          <wp:inline distT="0" distB="0" distL="0" distR="0">
            <wp:extent cx="4572000" cy="2924175"/>
            <wp:effectExtent t="0" r="0" b="0" l="0"/>
            <wp:docPr id="6" name="nhanes_forest.png" descr="Рисунок 4.4 — Отношения шансов миопии у подростков, NHANES 2007–2008" title="Рисунок 4.4 — Отношения шансов миопии у подростков, NHANES 2007–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4.4 — Отношения шансов миопии у подростков, NHANES 2007–2008</w:t>
      </w:r>
    </w:p>
    <w:p>
      <w:pPr>
        <w:ind w:firstLine="709"/>
        <w:jc w:val="both"/>
      </w:pPr>
      <w:r>
        <w:t xml:space="preserve">Ни один из доступных в NHANES поведенческих и социально-демографических факторов не связан с миопией статистически значимо. Направление эффекта интенсивной активности (OR = 0,89) совпадает с OLSM, но эффект не значим. Это не противоречит результатам OLSM. Анкетная «физическая активность» в NHANES не тождественна времени вне помещения, в NHANES нет семейного анамнеза и исходной рефракции, а поперечный дизайн у подростков фиксирует уже сформировавшуюся миопию. Внешняя проверка показывает границы переносимости поведенческих предикторов: без рефракционного маркера и анамнеза популяционный прогноз неинформативен.</w:t>
      </w:r>
    </w:p>
    <w:p>
      <w:pPr>
        <w:ind w:firstLine="709"/>
        <w:jc w:val="both"/>
      </w:pPr>
      <w:r>
        <w:t xml:space="preserve">С учётом сложного выборочного дизайна (таблица 4.6) выводы не меняются. Ни один фактор не связан с миопией статистически значимо, а доверительные интервалы закономерно шире из-за малого числа степеней свободы дизайна (df = 16). Взвешенная распространённость миопии у подростков США 12–19 лет составила 42,7%.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4.6 — Факторы миопии у подростков 12–19 лет с учётом выборочного дизайна NHANES (веса, страты, первичные единицы отбора; n = 990, df = 16)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5"/>
        <w:gridCol w:w="930"/>
        <w:gridCol w:w="1395"/>
        <w:gridCol w:w="931"/>
      </w:tblGrid>
      <w:tr>
        <w:trPr>
          <w:cantSplit/>
          <w:tblHeader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95% ДИ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Возраст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1,035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0,86–1,25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0,694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ИМТ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1,151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0,96–1,39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0,130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Сидячее время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1,037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0,88–1,22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0,643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Отношение дохода к черте бедности (на 1 SD)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1,081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0,83–1,40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0,536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Женский пол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1,064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0,72–1,56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0,738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Интенсивная физическая активность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0,828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0,55–1,26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0,350</w:t>
            </w:r>
          </w:p>
        </w:tc>
      </w:tr>
      <w:tr>
        <w:trPr>
          <w:cantSplit/>
          <w:tblHeader w:val="off"/>
        </w:trPr>
        <w:tc>
          <w:tcPr>
            <w:tcW w:type="dxa" w:w="6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Умеренная физическая активность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0,951</w:t>
            </w:r>
          </w:p>
        </w:tc>
        <w:tc>
          <w:tcPr>
            <w:tcW w:type="dxa" w:w="1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0,61–1,48</w:t>
            </w:r>
          </w:p>
        </w:tc>
        <w:tc>
          <w:tcPr>
            <w:tcW w:type="dxa" w:w="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0,812</w:t>
            </w:r>
          </w:p>
        </w:tc>
      </w:tr>
    </w:tbl>
    <w:p>
      <w:pPr>
        <w:spacing w:after="0" w:line="240"/>
      </w:pPr>
    </w:p>
    <w:p>
      <w:pPr>
        <w:pStyle w:val="Heading2"/>
      </w:pPr>
      <w:bookmarkStart w:name="_Toc38" w:id="38"/>
      <w:r>
        <w:t xml:space="preserve">4.8. Обсуждение</w:t>
      </w:r>
      <w:bookmarkEnd w:id="38"/>
    </w:p>
    <w:p>
      <w:pPr>
        <w:ind w:firstLine="709"/>
        <w:jc w:val="both"/>
      </w:pPr>
      <w:r>
        <w:rPr>
          <w:b/>
          <w:bCs/>
        </w:rPr>
        <w:t xml:space="preserve">Соответствие литературе.</w:t>
      </w:r>
      <w:r>
        <w:t xml:space="preserve"> Ведущая роль исходной рефракции согласуется с результатами исследования CLEERE, где рефракция на исходном визите была наилучшим одиночным предиктором миопии, а добавление других факторов мало улучшало прогноз [5]. Защитный эффект активности вне помещения и вклад миопии родителей ранее описаны на полной когорте OLSM [6, 7]. Используемый набор данных — подвыборка той же когорты, поэтому совпадение направлений эффектов ожидаемо и не является независимым подтверждением. Вклад настоящей главы — не открытие новых факторов, а их количественная оценка в корректной прогностической постановке: проспективный дизайн, повторная перекрёстная проверка, вероятности вне обучающих блоков, анализ порогов, абляция и калибровка.</w:t>
      </w:r>
    </w:p>
    <w:p>
      <w:pPr>
        <w:ind w:firstLine="709"/>
        <w:jc w:val="both"/>
      </w:pPr>
      <w:r>
        <w:rPr>
          <w:b/>
          <w:bCs/>
        </w:rPr>
        <w:t xml:space="preserve">Почему простая модель лучше ансамблей.</w:t>
      </w:r>
      <w:r>
        <w:t xml:space="preserve"> В когорте 81 положительный исход, то есть около пяти событий на признак. В этих условиях ансамбли деревьев не могут надёжно оценить взаимодействия, а их дисперсия велика. Кроме того, основной сигнал (рефракция) связан с логитом риска почти линейно. Этот результат согласуется с общим наблюдением, что на малых табличных клинических выборках регуляризованные линейные модели редко уступают сложным [27, 36]. В отличие от работы Lin et al. [37], где модель обучалась на сотнях тысяч записей, преимущество машинного обучения здесь не проявляется.</w:t>
      </w:r>
    </w:p>
    <w:p>
      <w:pPr>
        <w:ind w:firstLine="709"/>
        <w:jc w:val="both"/>
      </w:pPr>
      <w:r>
        <w:rPr>
          <w:b/>
          <w:bCs/>
        </w:rPr>
        <w:t xml:space="preserve">Клиническая интерпретация порога.</w:t>
      </w:r>
      <w:r>
        <w:t xml:space="preserve"> При пороге 0,35 на 100 детей, отнесённых к группе риска, приходится около 30 будущих случаев миопии. Без отбора их было бы 13. При этом выявляется 85% всех будущих случаев. Для недорогого и безопасного вмешательства (наблюдение, рекомендации по времени на улице) такая точность приемлема. Для назначения лекарственной или оптической терапии порог следует повышать или использовать двухэтапную схему: скрининг, затем динамическое наблюдение за рефракцией и осевой длиной.</w:t>
      </w:r>
    </w:p>
    <w:p>
      <w:pPr>
        <w:ind w:firstLine="709"/>
        <w:jc w:val="both"/>
      </w:pPr>
      <w:r>
        <w:rPr>
          <w:b/>
          <w:bCs/>
        </w:rPr>
        <w:t xml:space="preserve">Переносимость.</w:t>
      </w:r>
      <w:r>
        <w:t xml:space="preserve"> Модель обучена на детях 1990-х гг. из США, преимущественно шестилетних, с иным образом жизни и иной распространённостью миопии, чем у современных российских школьников [54, 55]. Поэтому абсолютные вероятности не переносятся напрямую: при применении в другой популяции модель как минимум требует перекалибровки свободного члена под местную частоту миопии. Внешняя проверка в главе (NHANES) относится к факторам, а не к самой модели. В NHANES нет исходной рефракции до развития миопии, поэтому проверить модель целиком на этих данных невозможно. Для внешней валидации модели нужна продольная когорта детей с циклоплегической рефрактометрией на исходном визите. Это главное направление дальнейшей работы.</w:t>
      </w:r>
    </w:p>
    <w:p>
      <w:pPr>
        <w:pStyle w:val="Heading2"/>
      </w:pPr>
      <w:bookmarkStart w:name="_Toc39" w:id="39"/>
      <w:r>
        <w:t xml:space="preserve">Выводы по главе 4</w:t>
      </w:r>
      <w:bookmarkEnd w:id="39"/>
    </w:p>
    <w:p>
      <w:pPr>
        <w:pStyle w:val="ListParagraph"/>
        <w:numPr>
          <w:ilvl w:val="0"/>
          <w:numId w:val="2"/>
        </w:numPr>
        <w:jc w:val="both"/>
      </w:pPr>
      <w:r>
        <w:t xml:space="preserve">На проспективной когорте OLSM логистическая регрессия превосходит ансамблевые методы (PR-AUC 0,59, ROC-AUC 0,87).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Порог 0,35 обеспечивает чувствительность скрининга 0,85 при специфичности 0,70.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Независимые факторы риска — исходная рефракция, время активности вне помещения и миопия каждого из родителей. Исходная рефракция обеспечивает 97% качества полной модели.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 популяционных данных NHANES поведенческие факторы значимо не связаны с миопией, что ограничивает их самостоятельную прогностическую ценность.</w:t>
      </w:r>
    </w:p>
    <w:p>
      <w:pPr>
        <w:pStyle w:val="Heading1"/>
        <w:pageBreakBefore/>
        <w:jc w:val="center"/>
      </w:pPr>
      <w:bookmarkStart w:name="_Toc40" w:id="40"/>
      <w:r>
        <w:t xml:space="preserve">ГЛАВА 5. ОЦЕНКА ЭФФЕКТИВНОСТИ ПРОФИЛАКТИКИ И ПРИЧИННАЯ ПРОВЕРКА ФАКТОРОВ РИСКА</w:t>
      </w:r>
      <w:bookmarkEnd w:id="40"/>
    </w:p>
    <w:p>
      <w:pPr>
        <w:pStyle w:val="Heading2"/>
      </w:pPr>
      <w:bookmarkStart w:name="_Toc41" w:id="41"/>
      <w:r>
        <w:t xml:space="preserve">5.1. Эффективность комбинации ортокератологии и 0,01% атропина</w:t>
      </w:r>
      <w:bookmarkEnd w:id="41"/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5.1 — Прирост осевой длины глаза за 27 месяцев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5"/>
        <w:gridCol w:w="3875"/>
        <w:gridCol w:w="2171"/>
      </w:tblGrid>
      <w:tr>
        <w:trPr>
          <w:cantSplit/>
          <w:tblHeader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ОК + 0,01% атропин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Монотерапия ОК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Детей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35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Прирост AL, мм (M ± SD)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0,313 ± 0,240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0,421 ± 0,305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Разница, мм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0,108 (замедление на 26%)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t-критерий Уэлча, p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0,090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U-критерий Манна–Уитни, p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0,086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d Коэна</w:t>
            </w:r>
          </w:p>
        </w:tc>
        <w:tc>
          <w:tcPr>
            <w:tcW w:type="dxa" w:w="38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−0,40</w:t>
            </w:r>
          </w:p>
        </w:tc>
        <w:tc>
          <w:tcPr>
            <w:tcW w:type="dxa" w:w="2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line="240"/>
      </w:pP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5.2 — Ковариационная модель прироста осевой длины (ANCOVA)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5"/>
        <w:gridCol w:w="1818"/>
        <w:gridCol w:w="992"/>
        <w:gridCol w:w="992"/>
        <w:gridCol w:w="994"/>
      </w:tblGrid>
      <w:tr>
        <w:trPr>
          <w:cantSplit/>
          <w:tblHeader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Переменная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Коэффициент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</w:tr>
      <w:tr>
        <w:trPr>
          <w:cantSplit/>
          <w:tblHeader w:val="off"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Комбинация (против монотерапии)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−0,111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0,054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−2,07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0,042</w:t>
            </w:r>
          </w:p>
        </w:tc>
      </w:tr>
      <w:tr>
        <w:trPr>
          <w:cantSplit/>
          <w:tblHeader w:val="off"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Исходная осевая длина, мм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0,026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0,045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0,58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0,563</w:t>
            </w:r>
          </w:p>
        </w:tc>
      </w:tr>
      <w:tr>
        <w:trPr>
          <w:cantSplit/>
          <w:tblHeader w:val="off"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Возраст, лет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−0,054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0,019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−2,85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0,006</w:t>
            </w:r>
          </w:p>
        </w:tc>
      </w:tr>
      <w:tr>
        <w:trPr>
          <w:cantSplit/>
          <w:tblHeader w:val="off"/>
        </w:trPr>
        <w:tc>
          <w:tcPr>
            <w:tcW w:type="dxa" w:w="5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Исходная рефракция SE₀, дптр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0,075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0,024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3,08</w:t>
            </w:r>
          </w:p>
        </w:tc>
        <w:tc>
          <w:tcPr>
            <w:tcW w:type="dxa" w:w="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0,003</w:t>
            </w:r>
          </w:p>
        </w:tc>
      </w:tr>
    </w:tbl>
    <w:p>
      <w:pPr>
        <w:spacing w:after="0" w:line="240"/>
      </w:pPr>
    </w:p>
    <w:p>
      <w:pPr>
        <w:keepNext/>
        <w:spacing w:before="160"/>
        <w:jc w:val="center"/>
      </w:pPr>
      <w:r>
        <w:drawing>
          <wp:inline distT="0" distB="0" distL="0" distR="0">
            <wp:extent cx="5715000" cy="2390775"/>
            <wp:effectExtent t="0" r="0" b="0" l="0"/>
            <wp:docPr id="7" name="ortho_trajectory.png" descr="Рисунок 5.1 — Динамика средней осевой длины по визитам и распределение прироста за 27 месяцев" title="Рисунок 5.1 — Динамика средней осевой длины по визитам и распределение прироста за 27 месяце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5.1 — Динамика средней осевой длины по визитам и распределение прироста за 27 месяцев</w:t>
      </w:r>
    </w:p>
    <w:p>
      <w:pPr>
        <w:ind w:firstLine="709"/>
        <w:jc w:val="both"/>
      </w:pPr>
      <w:r>
        <w:t xml:space="preserve">Комбинированное вмешательство замедляет удлинение глаза на 0,11 мм за 27 месяцев. Без поправки на ковариаты различие находится на границе значимости (p ≈ 0,09), с поправкой на возраст и исходную рефракцию оно значимо (p = 0,042). Независимо от вмешательства удлинение медленнее у старших детей и у детей с меньшей исходной миопией. Это обосновывает стратификацию по возрасту при назначении профилактики. Результаты согласуются с публикациями авторов исследования [16, 17].</w:t>
      </w:r>
    </w:p>
    <w:p>
      <w:pPr>
        <w:pStyle w:val="Heading2"/>
      </w:pPr>
      <w:bookmarkStart w:name="_Toc42" w:id="42"/>
      <w:r>
        <w:t xml:space="preserve">5.2. Причинная роль образования: менделевская рандомизация</w:t>
      </w:r>
      <w:bookmarkEnd w:id="42"/>
    </w:p>
    <w:p>
      <w:pPr>
        <w:ind w:firstLine="709"/>
        <w:jc w:val="both"/>
      </w:pPr>
      <w:r>
        <w:t xml:space="preserve">После LD-клампинга отобрано 216 независимых SNP. После исключения палиндромных вариантов осталось 183, после поиска в GWAS исхода и гармонизации аллелей — </w:t>
      </w:r>
      <w:r>
        <w:rPr>
          <w:b/>
          <w:bCs/>
        </w:rPr>
        <w:t xml:space="preserve">179 инструментов</w:t>
      </w:r>
      <w:r>
        <w:t xml:space="preserve">.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5.3 — Оценки причинного эффекта окончания колледжа на риск миопии (β — изменение логарифма шансов миопии при увеличении генетически предсказанной вероятности окончить колледж с 0 до 100%)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4"/>
        <w:gridCol w:w="734"/>
        <w:gridCol w:w="734"/>
        <w:gridCol w:w="857"/>
        <w:gridCol w:w="2942"/>
      </w:tblGrid>
      <w:tr>
        <w:trPr>
          <w:cantSplit/>
          <w:tblHeader/>
        </w:trPr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β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SE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</w:t>
            </w:r>
          </w:p>
        </w:tc>
        <w:tc>
          <w:tcPr>
            <w:tcW w:type="dxa" w:w="29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OR на +10 п. п. (95% ДИ)</w:t>
            </w:r>
          </w:p>
        </w:tc>
      </w:tr>
      <w:tr>
        <w:trPr>
          <w:cantSplit/>
          <w:tblHeader w:val="off"/>
        </w:trPr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IVW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1,352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0,115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  <w:tc>
          <w:tcPr>
            <w:tcW w:type="dxa" w:w="29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1,145 (1,119–1,171)</w:t>
            </w:r>
          </w:p>
        </w:tc>
      </w:tr>
      <w:tr>
        <w:trPr>
          <w:cantSplit/>
          <w:tblHeader w:val="off"/>
        </w:trPr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MR-Egger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1,634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0,508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0,002</w:t>
            </w:r>
          </w:p>
        </w:tc>
        <w:tc>
          <w:tcPr>
            <w:tcW w:type="dxa" w:w="29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1,178 (1,066–1,301)</w:t>
            </w:r>
          </w:p>
        </w:tc>
      </w:tr>
      <w:tr>
        <w:trPr>
          <w:cantSplit/>
          <w:tblHeader w:val="off"/>
        </w:trPr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Взвешенная медиана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1,443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0,154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  <w:tc>
          <w:tcPr>
            <w:tcW w:type="dxa" w:w="29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1,155 (1,121–1,191)</w:t>
            </w:r>
          </w:p>
        </w:tc>
      </w:tr>
      <w:tr>
        <w:trPr>
          <w:cantSplit/>
          <w:tblHeader w:val="off"/>
        </w:trPr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IVW после Steiger-фильтрации (173 SNP)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1,232</w:t>
            </w:r>
          </w:p>
        </w:tc>
        <w:tc>
          <w:tcPr>
            <w:tcW w:type="dxa" w:w="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0,108</w:t>
            </w:r>
          </w:p>
        </w:tc>
        <w:tc>
          <w:tcPr>
            <w:tcW w:type="dxa" w:w="8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&lt; 0,001</w:t>
            </w:r>
          </w:p>
        </w:tc>
        <w:tc>
          <w:tcPr>
            <w:tcW w:type="dxa" w:w="29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1,131 (1,107–1,155)</w:t>
            </w:r>
          </w:p>
        </w:tc>
      </w:tr>
    </w:tbl>
    <w:p>
      <w:pPr>
        <w:spacing w:after="0" w:line="240"/>
      </w:pP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5.4 — Тесты чувствительности менделевской рандомизации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3928"/>
        <w:gridCol w:w="3130"/>
      </w:tblGrid>
      <w:tr>
        <w:trPr>
          <w:cantSplit/>
          <w:tblHeader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Вывод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Сила инструментов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F: среднее 45,1, минимум 28,9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Слабых инструментов нет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Гетерогенность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Q = 264,5 (df = 178), p = 2,8·10⁻⁵, I² = 33%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Умеренная, модель со случайными эффектами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Интерсепт MR-Egger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−0,0020 (SE 0,0035), p = 0,57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Направленной плейотропии нет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Выбросы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 SNP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Leave-one-out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β_IVW от 1,32 до 1,37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Отбор по расстоянию (1 Мб) против клампинга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β_IVW 1,34 против 1,35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Устойчиво к способу отбора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Тест Стайгера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Σr²: экспозиция 0,0178, исход 0,0045; z = 32,1, p &lt; 10⁻¹⁰⁰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Направление «образование → миопия» подтверждено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Steiger-фильтрация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Исключено 6 из 179 SNP; β_IVW 1,23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dxa" w:w="2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Обратная MR (миопия → колледж)</w:t>
            </w:r>
          </w:p>
        </w:tc>
        <w:tc>
          <w:tcPr>
            <w:tcW w:type="dxa" w:w="3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18 инструментов, F ≥ 30; β_IVW = 0,005 (SE 0,006), p = 0,42</w:t>
            </w:r>
          </w:p>
        </w:tc>
        <w:tc>
          <w:tcPr>
            <w:tcW w:type="dxa" w:w="3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Обратного эффекта нет</w:t>
            </w:r>
          </w:p>
        </w:tc>
      </w:tr>
    </w:tbl>
    <w:p>
      <w:pPr>
        <w:spacing w:after="0" w:line="240"/>
      </w:pPr>
    </w:p>
    <w:p>
      <w:pPr>
        <w:keepNext/>
        <w:spacing w:before="160"/>
        <w:jc w:val="center"/>
      </w:pPr>
      <w:r>
        <w:drawing>
          <wp:inline distT="0" distB="0" distL="0" distR="0">
            <wp:extent cx="4000500" cy="3381375"/>
            <wp:effectExtent t="0" r="0" b="0" l="0"/>
            <wp:docPr id="8" name="mr_scatter.png" descr="Рисунок 5.2 — Ассоциации инструментов с окончанием колледжа и миопией; линии — оценки IVW и взвешенной медианы" title="Рисунок 5.2 — Ассоциации инструментов с окончанием колледжа и миопией; линии — оценки IVW и взвешенной медиа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5.2 — Ассоциации инструментов с окончанием колледжа и миопией; линии — оценки IVW и взвешенной медианы</w:t>
      </w:r>
    </w:p>
    <w:p>
      <w:pPr>
        <w:ind w:firstLine="709"/>
        <w:jc w:val="both"/>
      </w:pPr>
      <w:r>
        <w:t xml:space="preserve">Три метода с разными допущениями дают согласованные оценки. Увеличение генетически предсказанной вероятности окончить колледж на 10 процентных пунктов повышает шансы миопии примерно на 14–15%. Направленность связи подтверждена двумя независимыми способами. Тест Стайгера показывает, что инструменты объясняют в четыре раза больше дисперсии экспозиции, чем исхода. Обратная MR не обнаруживает влияния генетической предрасположенности к миопии на окончание колледжа. Отсутствие направленной плейотропии, устойчивость в leave-one-out и после Steiger-фильтрации подкрепляют причинную интерпретацию. Результат согласуется с работами Mountjoy et al. [18] и Clark et al. [53], где экспозицией служила продолжительность обучения, а исходом — рефракция. По данным Clark et al., эффект частично опосредован уменьшением времени на открытом воздухе [53]. Это указывает на возможную точку приложения профилактики в условиях интенсивного обучения.</w:t>
      </w:r>
    </w:p>
    <w:p>
      <w:pPr>
        <w:ind w:firstLine="709"/>
        <w:jc w:val="both"/>
      </w:pPr>
      <w:r>
        <w:rPr>
          <w:b/>
          <w:bCs/>
        </w:rPr>
        <w:t xml:space="preserve">Ограничения.</w:t>
      </w:r>
      <w:r>
        <w:t xml:space="preserve"> (1) Обе GWAS выполнены на одной когорте UK Biobank. При полном пересечении выборок двухвыборочная MR по свойствам приближается к одновыборочной, а оценка смещается в сторону наблюдательной ассоциации. При средней F-статистике около 45 ожидаемое смещение составляет порядка 1/F, то есть нескольких процентов от смещения наблюдательной оценки [50]. (2) Экспозиция бинарная (окончание колледжа), поэтому оценка отражает эффект генетической предрасположенности к высшему образованию, а не числа лет обучения. Прямой пересчёт в «дптр на год обучения» невозможен. (3) Исход — самоотчёт о ношении очков из-за близорукости у взрослых, а не измеренная рефракция. (4) Участники — взрослые европейцы, поэтому перенос на детей и на другие популяции требует осторожности. (5) Метод не позволяет отделить эффект собственно обучения от связанных с ним факторов (время на улице, близкая нагрузка).</w:t>
      </w:r>
    </w:p>
    <w:p>
      <w:pPr>
        <w:pStyle w:val="Heading2"/>
      </w:pPr>
      <w:bookmarkStart w:name="_Toc43" w:id="43"/>
      <w:r>
        <w:t xml:space="preserve">5.3. Интеграция результатов: от прогноза к профилактике</w:t>
      </w:r>
      <w:bookmarkEnd w:id="43"/>
    </w:p>
    <w:p>
      <w:pPr>
        <w:ind w:firstLine="709"/>
        <w:jc w:val="both"/>
      </w:pPr>
      <w:r>
        <w:t xml:space="preserve">Результаты глав 3–5 складываются в трёхуровневую схему профилактики миопии у детей.</w:t>
      </w:r>
    </w:p>
    <w:p>
      <w:pPr>
        <w:ind w:firstLine="709"/>
        <w:jc w:val="both"/>
      </w:pPr>
      <w:r>
        <w:rPr>
          <w:b/>
          <w:bCs/>
        </w:rPr>
        <w:t xml:space="preserve">Уровень 1 — популяционный.</w:t>
      </w:r>
      <w:r>
        <w:t xml:space="preserve"> Причинная роль образования (раздел 5.2) и данные о посредничестве времени на открытом воздухе [53] обосновывают меры, не требующие индивидуального отбора и применимые ко всем школьникам: организацию времени на открытом воздухе в учебный день [10, 11] и рациональный режим зрительной нагрузки.</w:t>
      </w:r>
    </w:p>
    <w:p>
      <w:pPr>
        <w:ind w:firstLine="709"/>
        <w:jc w:val="both"/>
      </w:pPr>
      <w:r>
        <w:rPr>
          <w:b/>
          <w:bCs/>
        </w:rPr>
        <w:t xml:space="preserve">Уровень 2 — скрининг группы риска.</w:t>
      </w:r>
      <w:r>
        <w:t xml:space="preserve"> Модель главы 4 по данным рефрактометрии, семейного анамнеза и анкеты об активности выделяет детей с повышенным риском развития миопии. Сценарный расчёт выполнен для 1000 шестилетних детей при частоте развития миопии 13,1% (как в OLSM) и пороге 0,35. Из 131 будущего случая выявляются около 112, пропускаются около 19. В группу риска при этом попадают 376 детей, из них 264 — ложные тревоги. Таким образом, для выявления 85% будущих случаев динамическое наблюдение достаточно организовать для 38% детей. Каждый третий-четвёртый ребёнок в группе наблюдения — будущий случай миопии, тогда как в общей популяции — каждый восьмой.</w:t>
      </w:r>
    </w:p>
    <w:p>
      <w:pPr>
        <w:ind w:firstLine="709"/>
        <w:jc w:val="both"/>
      </w:pPr>
      <w:r>
        <w:rPr>
          <w:b/>
          <w:bCs/>
        </w:rPr>
        <w:t xml:space="preserve">Уровень 3 — контроль прогрессирования.</w:t>
      </w:r>
      <w:r>
        <w:t xml:space="preserve"> У детей с развившейся миопией прогноз прогрессирования с асимметричной функцией потерь (глава 3) позволяет явно задать приоритет чувствительности: параметр τ выбирается по допустимой доле ложных тревог. Детям с прогнозируемым быстрым прогрессированием показана наиболее эффективная терапия. По данным раздела 5.1, добавление 0,01% атропина к ортокератологии дополнительно уменьшает удлинение глаза на 0,11 мм за 27 месяцев. Возрастная зависимость скорости удлинения (раздел 5.1, [56]) указывает, что наибольший выигрыш следует ожидать у младших детей.</w:t>
      </w:r>
    </w:p>
    <w:p>
      <w:pPr>
        <w:ind w:firstLine="709"/>
        <w:jc w:val="both"/>
      </w:pPr>
      <w:r>
        <w:t xml:space="preserve">Приведённые расчёты иллюстративны. Модели обучены на зарубежных данных, а эффект вмешательства оценён относительно ортокератологии, а не отсутствия лечения. Для практического применения схема требует валидации на российских данных.</w:t>
      </w:r>
    </w:p>
    <w:p>
      <w:pPr>
        <w:pStyle w:val="Heading2"/>
      </w:pPr>
      <w:bookmarkStart w:name="_Toc44" w:id="44"/>
      <w:r>
        <w:t xml:space="preserve">5.4. Программная реализация пайплайна</w:t>
      </w:r>
      <w:bookmarkEnd w:id="44"/>
    </w:p>
    <w:p>
      <w:pPr>
        <w:ind w:firstLine="709"/>
        <w:jc w:val="both"/>
      </w:pPr>
      <w:r>
        <w:t xml:space="preserve">Все блоки схемы реализованы как модули воспроизводимого программного комплекса (раздел 2.6, таблица 2.4). Каждый модуль читает открытые данные в исходном формате (CSV, SAS Transport, Excel, сводные статистики GWAS) и записывает таблицы и рисунки результатов. Повторный запуск даёт идентичные результаты. Это позволяет применить пайплайн к новым данным, например к российской когорте, без изменения кода анализа. </w:t>
      </w:r>
      <w:r>
        <w:rPr>
          <w:b/>
          <w:bCs/>
          <w:color w:val="C00000"/>
          <w:highlight w:val="yellow"/>
        </w:rPr>
        <w:t xml:space="preserve">[TODO: по желанию — веб-калькулятор риска (модель главы 4) и свидетельство о регистрации программы для ЭВМ; для 1.5.8 не обязательно.]</w:t>
      </w:r>
    </w:p>
    <w:p>
      <w:pPr>
        <w:pStyle w:val="Heading2"/>
      </w:pPr>
      <w:bookmarkStart w:name="_Toc45" w:id="45"/>
      <w:r>
        <w:t xml:space="preserve">Выводы по главе 5</w:t>
      </w:r>
      <w:bookmarkEnd w:id="45"/>
    </w:p>
    <w:p>
      <w:pPr>
        <w:pStyle w:val="ListParagraph"/>
        <w:numPr>
          <w:ilvl w:val="0"/>
          <w:numId w:val="2"/>
        </w:numPr>
        <w:jc w:val="both"/>
      </w:pPr>
      <w:r>
        <w:t xml:space="preserve">Комбинация ортокератологии и 0,01% атропина замедляет удлинение глаза у детей на 0,11 мм за 27 месяцев (на 26%, p = 0,042 с поправкой на ковариаты).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Методом двухвыборочной менделевской рандомизации на 179 инструментах подтверждена причинная роль образования в развитии миопии: увеличение генетически предсказанной вероятности окончить колледж на 10 п. п. повышает шансы миопии на 14,5% (OR = 1,145; 95% ДИ 1,119–1,171). Направленность подтверждена тестом Стайгера и обратной MR, оценка устойчива по методам и тестам чувствительности.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Предложена трёхуровневая схема профилактики: популяционные меры, скрининг группы риска, контроль прогрессирования. Сценарный расчёт показывает, что наблюдение за 38% детей позволяет охватить 85% будущих случаев миопии.</w:t>
      </w:r>
    </w:p>
    <w:p>
      <w:pPr>
        <w:pStyle w:val="Heading1"/>
        <w:pageBreakBefore/>
        <w:jc w:val="center"/>
      </w:pPr>
      <w:bookmarkStart w:name="_Toc46" w:id="46"/>
      <w:r>
        <w:t xml:space="preserve">ЗАКЛЮЧЕНИЕ</w:t>
      </w:r>
      <w:bookmarkEnd w:id="46"/>
    </w:p>
    <w:p>
      <w:pPr>
        <w:ind w:firstLine="709"/>
        <w:jc w:val="both"/>
      </w:pPr>
      <w:r>
        <w:rPr>
          <w:b/>
          <w:bCs/>
        </w:rPr>
        <w:t xml:space="preserve">Итоги выполненного исследования.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Проведён анализ проблемы детской миопии и методов её прогнозирования. Выявлен пробел: в прогнозе прогрессирования не учитывалась асимметрия цены ошибок.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Сформулирована задача риск-чувствительного прогноза прогрессирования миопии с асимметричной функцией потерь SALF, доказаны её свойства. Показано, что параметр τ монотонно управляет компромиссом между пропусками и ложными тревогами. Установлено, что на малых выборках гибридная архитектура не превосходит линейную модель с SALF и квантильную регрессию, поэтому для скрининга рекомендована линейная модель.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Построена модель прогноза риска развития миопии на проспективной когорте (ROC-AUC 0,87, PR-AUC 0,59). Обоснован порог скрининга (чувствительность 0,85, специфичность 0,70) и выявлены четыре независимых фактора риска.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Выполнена внешняя проверка факторов на NHANES (n = 990), в том числе с учётом сложного выборочного дизайна. Показаны границы переносимости поведенческих предикторов.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Количественно оценена эффективность комбинированного вмешательства: замедление удлинения глаза на 26% относительно монотерапии.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Методом менделевской рандомизации подтверждена причинная роль образования (OR = 1,145 на +10 п. п. вероятности окончить колледж). Направленность связи подтверждена тестом Стайгера и обратной MR.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Предложена трёхуровневая схема профилактики, связывающая популяционные меры, скрининг группы риска и контроль прогрессирования.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Все методы реализованы в воспроизводимом программном комплексе на открытом ПО.</w:t>
      </w:r>
    </w:p>
    <w:p>
      <w:pPr>
        <w:ind w:firstLine="709"/>
        <w:jc w:val="both"/>
      </w:pPr>
      <w:r>
        <w:rPr>
          <w:b/>
          <w:bCs/>
        </w:rPr>
        <w:t xml:space="preserve">Практические рекомендации.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Включать в профилактические осмотры детей 6–7 лет рефрактометрию в условиях циклоплегии и фиксировать абсолютное значение сферического эквивалента, а не только факт отсутствия миопии. Малый гиперметропический резерв — главный маркер риска.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Учитывать при скрининге миопию каждого из родителей и время, которое ребёнок проводит на открытом воздухе, как независимые факторы риска.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Использовать для отбора в группу динамического наблюдения порог прогностической модели, ориентированный на чувствительность (около 0,85). Для сообщения индивидуальной вероятности риска использовать откалиброванную модель.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При прогнозе прогрессирования задавать приоритет чувствительности явно, через параметр асимметрии функции потерь, и оценивать модель по паре «доля пропусков — доля ложных тревог», а не по одной из них.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Рассматривать комбинацию ортокератологии с 0,01% атропином у детей с прогрессирующей миопией, особенно младшего школьного возраста.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 популяционном уровне — организация времени на открытом воздухе в учебный день как меры, компенсирующей причинное влияние интенсивного обучения.</w:t>
      </w:r>
    </w:p>
    <w:p>
      <w:pPr>
        <w:ind w:firstLine="709"/>
        <w:jc w:val="both"/>
      </w:pPr>
      <w:r>
        <w:rPr>
          <w:b/>
          <w:bCs/>
          <w:color w:val="C00000"/>
          <w:highlight w:val="yellow"/>
        </w:rPr>
        <w:t xml:space="preserve">[TODO: согласовать формулировки рекомендаций с руководителем; при необходимости ссылаться на действующие клинические рекомендации Минздрава РФ по миопии.]</w:t>
      </w:r>
    </w:p>
    <w:p>
      <w:pPr>
        <w:ind w:firstLine="709"/>
        <w:jc w:val="both"/>
      </w:pPr>
      <w:r>
        <w:rPr>
          <w:b/>
          <w:bCs/>
        </w:rPr>
        <w:t xml:space="preserve">Перспективы дальнейшей разработки темы:</w:t>
      </w:r>
      <w:r>
        <w:t xml:space="preserve"> внешняя валидация модели на российской детской когорте; продольное моделирование траекторий рефракции и осевой длины; расширение MR на другие факторы (время на улице, сон, витамин D); подключение модуля анализа изображений глазного дна.</w:t>
      </w:r>
    </w:p>
    <w:p>
      <w:pPr>
        <w:pStyle w:val="Heading1"/>
        <w:pageBreakBefore/>
        <w:jc w:val="center"/>
      </w:pPr>
      <w:bookmarkStart w:name="_Toc47" w:id="47"/>
      <w:r>
        <w:t xml:space="preserve">СПИСОК СОКРАЩЕНИЙ</w:t>
      </w:r>
      <w:bookmarkEnd w:id="47"/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8441"/>
      </w:tblGrid>
      <w:tr>
        <w:trPr>
          <w:cantSplit/>
          <w:tblHeader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Сокращение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Расшифровка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AL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Осевая длина глаза (axial length)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ANCOVA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Ковариационный анализ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CV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Перекрёстная проверка (cross-validation)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AUC_HR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Площадь под ROC-кривой для зоны высокого риска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FNR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Доля ложноотрицательных результатов (false negative rate)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FPR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Доля ложноположительных результатов (false positive rate)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GBM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Градиентный бустинг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GWAS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Полногеномное ассоциативное исследование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IVW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Обратно-дисперсионно взвешенная оценка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LD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Неравновесие по сцеплению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MR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Менделевская рандомизация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NHANES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National Health and Nutrition Examination Survey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OLSM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Orinda Longitudinal Study of Myopia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OR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Отношение шансов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PSU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Первичная единица отбора (primary sampling unit)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PR-AUC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Площадь под кривой точность–полнота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ROC-AUC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Площадь под ROC-кривой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SALF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Сглаженная асимметричная функция потерь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SE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Сферический эквивалент рефракции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SNP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Однонуклеотидный полиморфизм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UKB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UK Biobank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п. п.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Процентный пункт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ОК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Ортокератология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ДИ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Доверительный интервал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РКИ</w:t>
            </w:r>
          </w:p>
        </w:tc>
        <w:tc>
          <w:tcPr>
            <w:tcW w:type="dxa" w:w="84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Рандомизированное контролируемое исследование</w:t>
            </w:r>
          </w:p>
        </w:tc>
      </w:tr>
    </w:tbl>
    <w:p>
      <w:pPr>
        <w:spacing w:after="0" w:line="240"/>
      </w:pPr>
    </w:p>
    <w:p>
      <w:pPr>
        <w:pStyle w:val="Heading1"/>
        <w:pageBreakBefore/>
        <w:jc w:val="center"/>
      </w:pPr>
      <w:bookmarkStart w:name="_Toc48" w:id="48"/>
      <w:r>
        <w:t xml:space="preserve">СПИСОК ЛИТЕРАТУРЫ</w:t>
      </w:r>
      <w:bookmarkEnd w:id="48"/>
    </w:p>
    <w:p>
      <w:pPr>
        <w:pBdr>
          <w:left w:val="single" w:color="E0A800" w:sz="18" w:space="6"/>
        </w:pBdr>
        <w:shd w:fill="FFF4CE" w:color="auto" w:val="clear"/>
        <w:spacing w:after="120" w:before="120" w:line="276"/>
        <w:ind w:left="170" w:right="113"/>
        <w:jc w:val="both"/>
      </w:pPr>
      <w:r>
        <w:rPr>
          <w:b/>
          <w:bCs/>
          <w:sz w:val="24"/>
          <w:szCs w:val="24"/>
        </w:rPr>
        <w:t xml:space="preserve">Для автора.</w:t>
      </w:r>
      <w:r>
        <w:rPr>
          <w:sz w:val="24"/>
          <w:szCs w:val="24"/>
        </w:rPr>
        <w:t xml:space="preserve"> Источники [1–26], [32], [33], [35], [37], [40–42], [49–57] сверены с PubMed в октябре 2026 г.: журнал, год, том и первая страница совпадают. Источники по статистике и машинному обучению ([27–31], [34], [36], [46–48], [58]) в PubMed не индексируются; это классические работы, но их выходные данные тоже стоит проверить. Оформите список по ГОСТ Р 7.0.5-2008 или по требованиям совета и доведите до 120–200 позиций, в первую очередь за счёт отечественных работ из eLIBRARY.</w:t>
      </w:r>
    </w:p>
    <w:p>
      <w:pPr>
        <w:ind w:left="567" w:hanging="567"/>
        <w:jc w:val="both"/>
      </w:pPr>
      <w:r>
        <w:t xml:space="preserve">1. </w:t>
      </w:r>
      <w:r>
        <w:t xml:space="preserve">Holden B. A., Fricke T. R., Wilson D. A. et al. Global prevalence of myopia and high myopia and temporal trends from 2000 through 2050 // Ophthalmology. 2016. Vol. 123, No. 5. P. 1036–1042.</w:t>
      </w:r>
    </w:p>
    <w:p>
      <w:pPr>
        <w:ind w:left="567" w:hanging="567"/>
        <w:jc w:val="both"/>
      </w:pPr>
      <w:r>
        <w:t xml:space="preserve">2. </w:t>
      </w:r>
      <w:r>
        <w:t xml:space="preserve">Morgan I. G., Ohno-Matsui K., Saw S.-M. Myopia // Lancet. 2012. Vol. 379, No. 9827. P. 1739–1748.</w:t>
      </w:r>
    </w:p>
    <w:p>
      <w:pPr>
        <w:ind w:left="567" w:hanging="567"/>
        <w:jc w:val="both"/>
      </w:pPr>
      <w:r>
        <w:t xml:space="preserve">3. </w:t>
      </w:r>
      <w:r>
        <w:t xml:space="preserve">Baird P. N., Saw S.-M., Lanca C. et al. Myopia // Nature Reviews Disease Primers. 2020. Vol. 6. Art. 99.</w:t>
      </w:r>
    </w:p>
    <w:p>
      <w:pPr>
        <w:ind w:left="567" w:hanging="567"/>
        <w:jc w:val="both"/>
      </w:pPr>
      <w:r>
        <w:t xml:space="preserve">4. </w:t>
      </w:r>
      <w:r>
        <w:t xml:space="preserve">Flitcroft D. I., He M., Jonas J. B. et al. IMI – Defining and classifying myopia: a proposed set of standards for clinical and epidemiologic studies // Investigative Ophthalmology &amp; Visual Science. 2019. Vol. 60, No. 3. P. M20–M30.</w:t>
      </w:r>
    </w:p>
    <w:p>
      <w:pPr>
        <w:ind w:left="567" w:hanging="567"/>
        <w:jc w:val="both"/>
      </w:pPr>
      <w:r>
        <w:t xml:space="preserve">5. </w:t>
      </w:r>
      <w:r>
        <w:t xml:space="preserve">Zadnik K., Sinnott L. T., Cotter S. A. et al. Prediction of juvenile-onset myopia // JAMA Ophthalmology. 2015. Vol. 133, No. 6. P. 683–689.</w:t>
      </w:r>
    </w:p>
    <w:p>
      <w:pPr>
        <w:ind w:left="567" w:hanging="567"/>
        <w:jc w:val="both"/>
      </w:pPr>
      <w:r>
        <w:t xml:space="preserve">6. </w:t>
      </w:r>
      <w:r>
        <w:t xml:space="preserve">Mutti D. O., Mitchell G. L., Moeschberger M. L. et al. Parental myopia, near work, school achievement, and children's refractive error // Investigative Ophthalmology &amp; Visual Science. 2002. Vol. 43, No. 12. P. 3633–3640.</w:t>
      </w:r>
    </w:p>
    <w:p>
      <w:pPr>
        <w:ind w:left="567" w:hanging="567"/>
        <w:jc w:val="both"/>
      </w:pPr>
      <w:r>
        <w:t xml:space="preserve">7. </w:t>
      </w:r>
      <w:r>
        <w:t xml:space="preserve">Jones L. A., Sinnott L. T., Mutti D. O. et al. Parental history of myopia, sports and outdoor activities, and future myopia // Investigative Ophthalmology &amp; Visual Science. 2007. Vol. 48, No. 8. P. 3524–3532.</w:t>
      </w:r>
    </w:p>
    <w:p>
      <w:pPr>
        <w:ind w:left="567" w:hanging="567"/>
        <w:jc w:val="both"/>
      </w:pPr>
      <w:r>
        <w:t xml:space="preserve">8. </w:t>
      </w:r>
      <w:r>
        <w:t xml:space="preserve">Zadnik K., Satariano W. A., Mutti D. O. et al. The effect of parental history of myopia on children's eye size // JAMA. 1994. Vol. 271, No. 17. P. 1323–1327.</w:t>
      </w:r>
    </w:p>
    <w:p>
      <w:pPr>
        <w:ind w:left="567" w:hanging="567"/>
        <w:jc w:val="both"/>
      </w:pPr>
      <w:r>
        <w:t xml:space="preserve">9. </w:t>
      </w:r>
      <w:r>
        <w:t xml:space="preserve">Rose K. A., Morgan I. G., Ip J. et al. Outdoor activity reduces the prevalence of myopia in children // Ophthalmology. 2008. Vol. 115, No. 8. P. 1279–1285.</w:t>
      </w:r>
    </w:p>
    <w:p>
      <w:pPr>
        <w:ind w:left="567" w:hanging="567"/>
        <w:jc w:val="both"/>
      </w:pPr>
      <w:r>
        <w:t xml:space="preserve">10. </w:t>
      </w:r>
      <w:r>
        <w:t xml:space="preserve">He M., Xiang F., Zeng Y. et al. Effect of time spent outdoors at school on the development of myopia among children in China: a randomized clinical trial // JAMA. 2015. Vol. 314, No. 11. P. 1142–1148.</w:t>
      </w:r>
    </w:p>
    <w:p>
      <w:pPr>
        <w:ind w:left="567" w:hanging="567"/>
        <w:jc w:val="both"/>
      </w:pPr>
      <w:r>
        <w:t xml:space="preserve">11. </w:t>
      </w:r>
      <w:r>
        <w:t xml:space="preserve">Wu P.-C., Tsai C.-L., Wu H.-L. et al. Outdoor activity during class recess reduces myopia onset and progression in school children // Ophthalmology. 2013. Vol. 120, No. 5. P. 1080–1085.</w:t>
      </w:r>
    </w:p>
    <w:p>
      <w:pPr>
        <w:ind w:left="567" w:hanging="567"/>
        <w:jc w:val="both"/>
      </w:pPr>
      <w:r>
        <w:t xml:space="preserve">12. </w:t>
      </w:r>
      <w:r>
        <w:t xml:space="preserve">Chia A., Chua W.-H., Cheung Y.-B. et al. Atropine for the treatment of childhood myopia: safety and efficacy of 0.5%, 0.1%, and 0.01% doses (Atropine for the Treatment of Myopia 2) // Ophthalmology. 2012. Vol. 119, No. 2. P. 347–354.</w:t>
      </w:r>
    </w:p>
    <w:p>
      <w:pPr>
        <w:ind w:left="567" w:hanging="567"/>
        <w:jc w:val="both"/>
      </w:pPr>
      <w:r>
        <w:t xml:space="preserve">13. </w:t>
      </w:r>
      <w:r>
        <w:t xml:space="preserve">Yam J. C., Jiang Y., Tang S. M. et al. Low-Concentration Atropine for Myopia Progression (LAMP) Study: a randomized, double-blinded, placebo-controlled trial of 0.05%, 0.025%, and 0.01% atropine eye drops in myopia control // Ophthalmology. 2019. Vol. 126, No. 1. P. 113–124.</w:t>
      </w:r>
    </w:p>
    <w:p>
      <w:pPr>
        <w:ind w:left="567" w:hanging="567"/>
        <w:jc w:val="both"/>
      </w:pPr>
      <w:r>
        <w:t xml:space="preserve">14. </w:t>
      </w:r>
      <w:r>
        <w:t xml:space="preserve">Huang J., Wen D., Wang Q. et al. Efficacy comparison of 16 interventions for myopia control in children: a network meta-analysis // Ophthalmology. 2016. Vol. 123, No. 4. P. 697–708.</w:t>
      </w:r>
    </w:p>
    <w:p>
      <w:pPr>
        <w:ind w:left="567" w:hanging="567"/>
        <w:jc w:val="both"/>
      </w:pPr>
      <w:r>
        <w:t xml:space="preserve">15. </w:t>
      </w:r>
      <w:r>
        <w:t xml:space="preserve">Wolffsohn J. S., Flitcroft D. I., Gifford K. L. et al. IMI – Myopia control reports overview and introduction // Investigative Ophthalmology &amp; Visual Science. 2019. Vol. 60, No. 3. P. M1–M19.</w:t>
      </w:r>
    </w:p>
    <w:p>
      <w:pPr>
        <w:ind w:left="567" w:hanging="567"/>
        <w:jc w:val="both"/>
      </w:pPr>
      <w:r>
        <w:t xml:space="preserve">16. </w:t>
      </w:r>
      <w:r>
        <w:t xml:space="preserve">Kinoshita N., Konno Y., Hamada N. et al. Additive effects of orthokeratology and atropine 0.01% ophthalmic solution in slowing axial elongation in children with myopia: first year results // Japanese Journal of Ophthalmology. 2018. Vol. 62, No. 5. P. 544–553.</w:t>
      </w:r>
    </w:p>
    <w:p>
      <w:pPr>
        <w:ind w:left="567" w:hanging="567"/>
        <w:jc w:val="both"/>
      </w:pPr>
      <w:r>
        <w:t xml:space="preserve">17. </w:t>
      </w:r>
      <w:r>
        <w:t xml:space="preserve">Kinoshita N., Konno Y., Hamada N. et al. Efficacy of combined orthokeratology and 0.01% atropine solution for slowing axial elongation in children with myopia: a 2-year randomised trial // Scientific Reports. 2020. Vol. 10. Art. 12750.</w:t>
      </w:r>
    </w:p>
    <w:p>
      <w:pPr>
        <w:ind w:left="567" w:hanging="567"/>
        <w:jc w:val="both"/>
      </w:pPr>
      <w:r>
        <w:t xml:space="preserve">18. </w:t>
      </w:r>
      <w:r>
        <w:t xml:space="preserve">Mountjoy E., Davies N. M., Plotnikov D. et al. Education and myopia: assessing the direction of causality by mendelian randomisation // BMJ. 2018. Vol. 361. Art. k2022.</w:t>
      </w:r>
    </w:p>
    <w:p>
      <w:pPr>
        <w:ind w:left="567" w:hanging="567"/>
        <w:jc w:val="both"/>
      </w:pPr>
      <w:r>
        <w:t xml:space="preserve">19. </w:t>
      </w:r>
      <w:r>
        <w:t xml:space="preserve">Davey Smith G., Ebrahim S. 'Mendelian randomization': can genetic epidemiology contribute to understanding environmental determinants of disease? // International Journal of Epidemiology. 2003. Vol. 32, No. 1. P. 1–22.</w:t>
      </w:r>
    </w:p>
    <w:p>
      <w:pPr>
        <w:ind w:left="567" w:hanging="567"/>
        <w:jc w:val="both"/>
      </w:pPr>
      <w:r>
        <w:t xml:space="preserve">20. </w:t>
      </w:r>
      <w:r>
        <w:t xml:space="preserve">Burgess S., Butterworth A., Thompson S. G. Mendelian randomization analysis with multiple genetic variants using summarized data // Genetic Epidemiology. 2013. Vol. 37, No. 7. P. 658–665.</w:t>
      </w:r>
    </w:p>
    <w:p>
      <w:pPr>
        <w:ind w:left="567" w:hanging="567"/>
        <w:jc w:val="both"/>
      </w:pPr>
      <w:r>
        <w:t xml:space="preserve">21. </w:t>
      </w:r>
      <w:r>
        <w:t xml:space="preserve">Bowden J., Davey Smith G., Burgess S. Mendelian randomization with invalid instruments: effect estimation and bias detection through Egger regression // International Journal of Epidemiology. 2015. Vol. 44, No. 2. P. 512–525.</w:t>
      </w:r>
    </w:p>
    <w:p>
      <w:pPr>
        <w:ind w:left="567" w:hanging="567"/>
        <w:jc w:val="both"/>
      </w:pPr>
      <w:r>
        <w:t xml:space="preserve">22. </w:t>
      </w:r>
      <w:r>
        <w:t xml:space="preserve">Bowden J., Davey Smith G., Haycock P. C., Burgess S. Consistent estimation in Mendelian randomization with some invalid instruments using a weighted median estimator // Genetic Epidemiology. 2016. Vol. 40, No. 4. P. 304–314.</w:t>
      </w:r>
    </w:p>
    <w:p>
      <w:pPr>
        <w:ind w:left="567" w:hanging="567"/>
        <w:jc w:val="both"/>
      </w:pPr>
      <w:r>
        <w:t xml:space="preserve">23. </w:t>
      </w:r>
      <w:r>
        <w:t xml:space="preserve">Lee J. J., Wedow R., Okbay A. et al. Gene discovery and polygenic prediction from a genome-wide association study of educational attainment in 1.1 million individuals // Nature Genetics. 2018. Vol. 50, No. 8. P. 1112–1121.</w:t>
      </w:r>
    </w:p>
    <w:p>
      <w:pPr>
        <w:ind w:left="567" w:hanging="567"/>
        <w:jc w:val="both"/>
      </w:pPr>
      <w:r>
        <w:t xml:space="preserve">24. </w:t>
      </w:r>
      <w:r>
        <w:t xml:space="preserve">Purcell S., Neale B., Todd-Brown K. et al. PLINK: a tool set for whole-genome association and population-based linkage analyses // American Journal of Human Genetics. 2007. Vol. 81, No. 3. P. 559–575.</w:t>
      </w:r>
    </w:p>
    <w:p>
      <w:pPr>
        <w:ind w:left="567" w:hanging="567"/>
        <w:jc w:val="both"/>
      </w:pPr>
      <w:r>
        <w:t xml:space="preserve">25. </w:t>
      </w:r>
      <w:r>
        <w:t xml:space="preserve">The 1000 Genomes Project Consortium. A global reference for human genetic variation // Nature. 2015. Vol. 526. P. 68–74.</w:t>
      </w:r>
    </w:p>
    <w:p>
      <w:pPr>
        <w:ind w:left="567" w:hanging="567"/>
        <w:jc w:val="both"/>
      </w:pPr>
      <w:r>
        <w:t xml:space="preserve">26. </w:t>
      </w:r>
      <w:r>
        <w:t xml:space="preserve">Pedregosa F., Varoquaux G., Gramfort A. et al. Scikit-learn: machine learning in Python // Journal of Machine Learning Research. 2011. Vol. 12. P. 2825–2830.</w:t>
      </w:r>
    </w:p>
    <w:p>
      <w:pPr>
        <w:ind w:left="567" w:hanging="567"/>
        <w:jc w:val="both"/>
      </w:pPr>
      <w:r>
        <w:t xml:space="preserve">27. </w:t>
      </w:r>
      <w:r>
        <w:t xml:space="preserve">Hosmer D. W., Lemeshow S., Sturdivant R. X. Applied Logistic Regression. 3rd ed. Hoboken: Wiley, 2013. 528 p.</w:t>
      </w:r>
    </w:p>
    <w:p>
      <w:pPr>
        <w:ind w:left="567" w:hanging="567"/>
        <w:jc w:val="both"/>
      </w:pPr>
      <w:r>
        <w:t xml:space="preserve">28. </w:t>
      </w:r>
      <w:r>
        <w:t xml:space="preserve">Breiman L. Random forests // Machine Learning. 2001. Vol. 45, No. 1. P. 5–32.</w:t>
      </w:r>
    </w:p>
    <w:p>
      <w:pPr>
        <w:ind w:left="567" w:hanging="567"/>
        <w:jc w:val="both"/>
      </w:pPr>
      <w:r>
        <w:t xml:space="preserve">29. </w:t>
      </w:r>
      <w:r>
        <w:t xml:space="preserve">Friedman J. H. Greedy function approximation: a gradient boosting machine // Annals of Statistics. 2001. Vol. 29, No. 5. P. 1189–1232.</w:t>
      </w:r>
    </w:p>
    <w:p>
      <w:pPr>
        <w:ind w:left="567" w:hanging="567"/>
        <w:jc w:val="both"/>
      </w:pPr>
      <w:r>
        <w:t xml:space="preserve">30. </w:t>
      </w:r>
      <w:r>
        <w:t xml:space="preserve">Huber P. J. Robust estimation of a location parameter // Annals of Mathematical Statistics. 1964. Vol. 35, No. 1. P. 73–101.</w:t>
      </w:r>
    </w:p>
    <w:p>
      <w:pPr>
        <w:ind w:left="567" w:hanging="567"/>
        <w:jc w:val="both"/>
      </w:pPr>
      <w:r>
        <w:t xml:space="preserve">31. </w:t>
      </w:r>
      <w:r>
        <w:t xml:space="preserve">Koenker R., Bassett G. Regression quantiles // Econometrica. 1978. Vol. 46, No. 1. P. 33–50.</w:t>
      </w:r>
    </w:p>
    <w:p>
      <w:pPr>
        <w:ind w:left="567" w:hanging="567"/>
        <w:jc w:val="both"/>
      </w:pPr>
      <w:r>
        <w:t xml:space="preserve">32. </w:t>
      </w:r>
      <w:r>
        <w:t xml:space="preserve">Saito T., Rehmsmeier M. The precision-recall plot is more informative than the ROC plot when evaluating binary classifiers on imbalanced datasets // PLoS ONE. 2015. Vol. 10, No. 3. Art. e0118432.</w:t>
      </w:r>
    </w:p>
    <w:p>
      <w:pPr>
        <w:ind w:left="567" w:hanging="567"/>
        <w:jc w:val="both"/>
      </w:pPr>
      <w:r>
        <w:t xml:space="preserve">33. </w:t>
      </w:r>
      <w:r>
        <w:t xml:space="preserve">Collins G. S., Reitsma J. B., Altman D. G., Moons K. G. M. Transparent reporting of a multivariable prediction model for individual prognosis or diagnosis (TRIPOD): the TRIPOD statement // BMJ. 2015. Vol. 350. Art. g7594.</w:t>
      </w:r>
    </w:p>
    <w:p>
      <w:pPr>
        <w:ind w:left="567" w:hanging="567"/>
        <w:jc w:val="both"/>
      </w:pPr>
      <w:r>
        <w:t xml:space="preserve">34. </w:t>
      </w:r>
      <w:r>
        <w:t xml:space="preserve">Elkan C. The foundations of cost-sensitive learning // Proceedings of the 17th International Joint Conference on Artificial Intelligence (IJCAI). 2001. P. 973–978.</w:t>
      </w:r>
    </w:p>
    <w:p>
      <w:pPr>
        <w:ind w:left="567" w:hanging="567"/>
        <w:jc w:val="both"/>
      </w:pPr>
      <w:r>
        <w:t xml:space="preserve">35. </w:t>
      </w:r>
      <w:r>
        <w:t xml:space="preserve">Van Calster B., McLernon D. J., van Smeden M. et al. Calibration: the Achilles heel of predictive analytics // BMC Medicine. 2019. Vol. 17. Art. 230.</w:t>
      </w:r>
    </w:p>
    <w:p>
      <w:pPr>
        <w:ind w:left="567" w:hanging="567"/>
        <w:jc w:val="both"/>
      </w:pPr>
      <w:r>
        <w:t xml:space="preserve">36. </w:t>
      </w:r>
      <w:r>
        <w:t xml:space="preserve">Hastie T., Tibshirani R., Friedman J. The Elements of Statistical Learning: Data Mining, Inference, and Prediction. 2nd ed. New York: Springer, 2009. 745 p.</w:t>
      </w:r>
    </w:p>
    <w:p>
      <w:pPr>
        <w:ind w:left="567" w:hanging="567"/>
        <w:jc w:val="both"/>
      </w:pPr>
      <w:r>
        <w:t xml:space="preserve">37. </w:t>
      </w:r>
      <w:r>
        <w:t xml:space="preserve">Lin H., Long E., Ding X. et al. Prediction of myopia development among Chinese school-aged children using refraction data from electronic medical records: a retrospective, multicentre machine learning study // PLoS Medicine. 2018. Vol. 15, No. 11. Art. e1002674.</w:t>
      </w:r>
    </w:p>
    <w:p>
      <w:pPr>
        <w:ind w:left="567" w:hanging="567"/>
        <w:jc w:val="both"/>
      </w:pPr>
      <w:r>
        <w:t xml:space="preserve">38. </w:t>
      </w:r>
      <w:r>
        <w:t xml:space="preserve">Hosmer D. W., Lemeshow S., Sturdivant R. X. Applied Logistic Regression. 3rd ed. — набор данных MYOPIA (подвыборка OLSM) </w:t>
      </w:r>
      <w:r>
        <w:rPr>
          <w:b/>
          <w:bCs/>
          <w:color w:val="C00000"/>
          <w:highlight w:val="yellow"/>
        </w:rPr>
        <w:t xml:space="preserve">[TODO: объединить с [27] или оформить ссылку на набор данных отдельно]</w:t>
      </w:r>
      <w:r>
        <w:t xml:space="preserve">.</w:t>
      </w:r>
    </w:p>
    <w:p>
      <w:pPr>
        <w:ind w:left="567" w:hanging="567"/>
        <w:jc w:val="both"/>
      </w:pPr>
      <w:r>
        <w:t xml:space="preserve">39. </w:t>
      </w:r>
      <w:r>
        <w:t xml:space="preserve">National Center for Health Statistics. National Health and Nutrition Examination Survey 2007–2008: Data Documentation, Codebook, and Frequencies. Hyattsville, MD: CDC. </w:t>
      </w:r>
      <w:r>
        <w:rPr>
          <w:b/>
          <w:bCs/>
          <w:color w:val="C00000"/>
          <w:highlight w:val="yellow"/>
        </w:rPr>
        <w:t xml:space="preserve">[TODO: URL и дата обращения]</w:t>
      </w:r>
    </w:p>
    <w:p>
      <w:pPr>
        <w:ind w:left="567" w:hanging="567"/>
        <w:jc w:val="both"/>
      </w:pPr>
      <w:r>
        <w:t xml:space="preserve">40. </w:t>
      </w:r>
      <w:r>
        <w:t xml:space="preserve">Skrivankova V. W., Richmond R. C., Woolf B. A. R. et al. Strengthening the reporting of observational studies in epidemiology using Mendelian randomization: the STROBE-MR statement // JAMA. 2021. Vol. 326, No. 16. P. 1614–1621.</w:t>
      </w:r>
    </w:p>
    <w:p>
      <w:pPr>
        <w:ind w:left="567" w:hanging="567"/>
        <w:jc w:val="both"/>
      </w:pPr>
      <w:r>
        <w:t xml:space="preserve">41. </w:t>
      </w:r>
      <w:r>
        <w:t xml:space="preserve">Loh P.-R., Kichaev G., Gazal S. et al. Mixed-model association for biobank-scale datasets // Nature Genetics. 2018. Vol. 50. P. 906–908.</w:t>
      </w:r>
    </w:p>
    <w:p>
      <w:pPr>
        <w:ind w:left="567" w:hanging="567"/>
        <w:jc w:val="both"/>
      </w:pPr>
      <w:r>
        <w:t xml:space="preserve">42. </w:t>
      </w:r>
      <w:r>
        <w:t xml:space="preserve">Jiang L., Zheng Z., Fang H., Yang J. A generalized linear mixed model association tool for biobank-scale data // Nature Genetics. 2021. Vol. 53. P. 1616–1621.</w:t>
      </w:r>
    </w:p>
    <w:p>
      <w:pPr>
        <w:ind w:left="567" w:hanging="567"/>
        <w:jc w:val="both"/>
      </w:pPr>
      <w:r>
        <w:t xml:space="preserve">43. </w:t>
      </w:r>
      <w:r>
        <w:t xml:space="preserve">Аветисов Э. С. Близорукость. 2-е изд. М.: Медицина, 2002. </w:t>
      </w:r>
      <w:r>
        <w:rPr>
          <w:b/>
          <w:bCs/>
          <w:color w:val="C00000"/>
          <w:highlight w:val="yellow"/>
        </w:rPr>
        <w:t xml:space="preserve">[TODO: проверить выходные данные]</w:t>
      </w:r>
    </w:p>
    <w:p>
      <w:pPr>
        <w:ind w:left="567" w:hanging="567"/>
        <w:jc w:val="both"/>
      </w:pPr>
      <w:r>
        <w:t xml:space="preserve">44. </w:t>
      </w:r>
      <w:r>
        <w:t xml:space="preserve">Халилов В. Р., Шулаев А. В. Математическая модель прогноза прогрессирования миопии на основе гибридной вычислительной схемы // </w:t>
      </w:r>
      <w:r>
        <w:rPr>
          <w:b/>
          <w:bCs/>
          <w:color w:val="C00000"/>
          <w:highlight w:val="yellow"/>
        </w:rPr>
        <w:t xml:space="preserve">[TODO: журнал, год, том, страницы]</w:t>
      </w:r>
      <w:r>
        <w:t xml:space="preserve">.</w:t>
      </w:r>
    </w:p>
    <w:p>
      <w:pPr>
        <w:ind w:left="567" w:hanging="567"/>
        <w:jc w:val="both"/>
      </w:pPr>
      <w:r>
        <w:t xml:space="preserve">45. </w:t>
      </w:r>
      <w:r>
        <w:rPr>
          <w:b/>
          <w:bCs/>
          <w:color w:val="C00000"/>
          <w:highlight w:val="yellow"/>
        </w:rPr>
        <w:t xml:space="preserve">[TODO: отечественные работы по эпидемиологии и профилактике миопии у детей (Тарутта Е. П., Иомдина Е. Н., Проскурина О. В. и др.) — подобрать в eLIBRARY]</w:t>
      </w:r>
    </w:p>
    <w:p>
      <w:pPr>
        <w:ind w:left="567" w:hanging="567"/>
        <w:jc w:val="both"/>
      </w:pPr>
      <w:r>
        <w:t xml:space="preserve">46. </w:t>
      </w:r>
      <w:r>
        <w:t xml:space="preserve">Breckling J., Chambers R. M-quantiles // Biometrika. 1988. Vol. 75, No. 4. P. 761–771.</w:t>
      </w:r>
    </w:p>
    <w:p>
      <w:pPr>
        <w:ind w:left="567" w:hanging="567"/>
        <w:jc w:val="both"/>
      </w:pPr>
      <w:r>
        <w:t xml:space="preserve">47. </w:t>
      </w:r>
      <w:r>
        <w:t xml:space="preserve">Newey W. K., Powell J. L. Asymmetric least squares estimation and testing // Econometrica. 1987. Vol. 55, No. 4. P. 819–847.</w:t>
      </w:r>
    </w:p>
    <w:p>
      <w:pPr>
        <w:ind w:left="567" w:hanging="567"/>
        <w:jc w:val="both"/>
      </w:pPr>
      <w:r>
        <w:t xml:space="preserve">48. </w:t>
      </w:r>
      <w:r>
        <w:t xml:space="preserve">Nadeau C., Bengio Y. Inference for the generalization error // Machine Learning. 2003. Vol. 52, No. 3. P. 239–281.</w:t>
      </w:r>
    </w:p>
    <w:p>
      <w:pPr>
        <w:ind w:left="567" w:hanging="567"/>
        <w:jc w:val="both"/>
      </w:pPr>
      <w:r>
        <w:t xml:space="preserve">49. </w:t>
      </w:r>
      <w:r>
        <w:t xml:space="preserve">Hemani G., Tilling K., Davey Smith G. Orienting the causal relationship between imprecisely measured traits using GWAS summary data // PLoS Genetics. 2017. Vol. 13, No. 11. Art. e1007081.</w:t>
      </w:r>
    </w:p>
    <w:p>
      <w:pPr>
        <w:ind w:left="567" w:hanging="567"/>
        <w:jc w:val="both"/>
      </w:pPr>
      <w:r>
        <w:t xml:space="preserve">50. </w:t>
      </w:r>
      <w:r>
        <w:t xml:space="preserve">Burgess S., Davies N. M., Thompson S. G. Bias due to participant overlap in two-sample Mendelian randomization // Genetic Epidemiology. 2016. Vol. 40, No. 7. P. 597–608.</w:t>
      </w:r>
    </w:p>
    <w:p>
      <w:pPr>
        <w:ind w:left="567" w:hanging="567"/>
        <w:jc w:val="both"/>
      </w:pPr>
      <w:r>
        <w:t xml:space="preserve">51. </w:t>
      </w:r>
      <w:r>
        <w:t xml:space="preserve">Wilkinson M. D., Dumontier M., Aalbersberg I. J. et al. The FAIR Guiding Principles for scientific data management and stewardship // Scientific Data. 2016. Vol. 3. Art. 160018.</w:t>
      </w:r>
    </w:p>
    <w:p>
      <w:pPr>
        <w:ind w:left="567" w:hanging="567"/>
        <w:jc w:val="both"/>
      </w:pPr>
      <w:r>
        <w:t xml:space="preserve">52. </w:t>
      </w:r>
      <w:r>
        <w:t xml:space="preserve">Cho P., Cheung S.-W. Retardation of myopia in Orthokeratology (ROMIO) study: a 2-year randomized clinical trial // Investigative Ophthalmology &amp; Visual Science. 2012. Vol. 53, No. 11. P. 7077–7085.</w:t>
      </w:r>
    </w:p>
    <w:p>
      <w:pPr>
        <w:ind w:left="567" w:hanging="567"/>
        <w:jc w:val="both"/>
      </w:pPr>
      <w:r>
        <w:t xml:space="preserve">53. </w:t>
      </w:r>
      <w:r>
        <w:t xml:space="preserve">Clark R., Kneepkens S. C. M., Plotnikov D. et al. Time spent outdoors partly accounts for the effect of education on myopia // Investigative Ophthalmology &amp; Visual Science. 2023. Vol. 64, No. 14. Art. 38.</w:t>
      </w:r>
    </w:p>
    <w:p>
      <w:pPr>
        <w:ind w:left="567" w:hanging="567"/>
        <w:jc w:val="both"/>
      </w:pPr>
      <w:r>
        <w:t xml:space="preserve">54. </w:t>
      </w:r>
      <w:r>
        <w:t xml:space="preserve">Штина И. Е., Маклакова О. А., Устинова О. Ю. и др. Определение возраста дебюта миопии у школьников по данным медицинских осмотров // Вестник офтальмологии. 2025. Т. 141, № 5. С. 46–52. </w:t>
      </w:r>
      <w:r>
        <w:rPr>
          <w:b/>
          <w:bCs/>
          <w:color w:val="C00000"/>
          <w:highlight w:val="yellow"/>
        </w:rPr>
        <w:t xml:space="preserve">[TODO: сверить русское название статьи с журналом]</w:t>
      </w:r>
    </w:p>
    <w:p>
      <w:pPr>
        <w:ind w:left="567" w:hanging="567"/>
        <w:jc w:val="both"/>
      </w:pPr>
      <w:r>
        <w:t xml:space="preserve">55. </w:t>
      </w:r>
      <w:r>
        <w:t xml:space="preserve">Bikbov M. M., Kazakbaeva G. M., Fakhretdinova A. A. et al. Associations between axial length, corneal refractive power and lens thickness in children and adolescents: The Ural Children Eye Study // Acta Ophthalmologica. 2024. Vol. 102, No. 1. P. e94–e104.</w:t>
      </w:r>
    </w:p>
    <w:p>
      <w:pPr>
        <w:ind w:left="567" w:hanging="567"/>
        <w:jc w:val="both"/>
      </w:pPr>
      <w:r>
        <w:t xml:space="preserve">56. </w:t>
      </w:r>
      <w:r>
        <w:t xml:space="preserve">Bikbov M. M., Kazakbaeva G. M., Fakhretdinova A. A. et al. Myopic axial elongation in school children and the COVID-19 lockdown in Russia: The Ural Children Myopia Study // PLoS ONE. 2023. Vol. 18, No. 1. Art. e0279020.</w:t>
      </w:r>
    </w:p>
    <w:p>
      <w:pPr>
        <w:ind w:left="567" w:hanging="567"/>
        <w:jc w:val="both"/>
      </w:pPr>
      <w:r>
        <w:t xml:space="preserve">57. </w:t>
      </w:r>
      <w:r>
        <w:t xml:space="preserve">Тарутта Е. П., Кондратова С. Е., Милаш С. В. Ранние изменения толщины хориоидеи и аксиальной длины глаза при ношении очков с монофокальными линзами и линзами с высокоасферическими микролинзами у детей с впервые выявленной миопией // Вестник офтальмологии. 2024. Т. 140, № 5. С. 18–24. </w:t>
      </w:r>
      <w:r>
        <w:rPr>
          <w:b/>
          <w:bCs/>
          <w:color w:val="C00000"/>
          <w:highlight w:val="yellow"/>
        </w:rPr>
        <w:t xml:space="preserve">[TODO: сверить русское название статьи с журналом]</w:t>
      </w:r>
    </w:p>
    <w:p>
      <w:pPr>
        <w:ind w:left="567" w:hanging="567"/>
        <w:jc w:val="both"/>
      </w:pPr>
      <w:r>
        <w:t xml:space="preserve">58. </w:t>
      </w:r>
      <w:r>
        <w:t xml:space="preserve">Lumley T. Complex Surveys: A Guide to Analysis Using R. Hoboken: Wiley, 2010. 276 p.</w:t>
      </w:r>
    </w:p>
    <w:p>
      <w:pPr>
        <w:pStyle w:val="Heading1"/>
        <w:pageBreakBefore/>
        <w:jc w:val="center"/>
      </w:pPr>
      <w:bookmarkStart w:name="_Toc49" w:id="49"/>
      <w:r>
        <w:t xml:space="preserve">ПРИЛОЖЕНИЯ</w:t>
      </w:r>
      <w:bookmarkEnd w:id="49"/>
    </w:p>
    <w:p>
      <w:pPr>
        <w:pStyle w:val="Heading2"/>
      </w:pPr>
      <w:bookmarkStart w:name="_Toc50" w:id="50"/>
      <w:r>
        <w:t xml:space="preserve">Приложение А. Свидетельство о государственной регистрации программы для ЭВМ</w:t>
      </w:r>
      <w:bookmarkEnd w:id="50"/>
    </w:p>
    <w:p>
      <w:pPr>
        <w:ind w:firstLine="709"/>
        <w:jc w:val="both"/>
      </w:pPr>
      <w:r>
        <w:rPr>
          <w:b/>
          <w:bCs/>
          <w:color w:val="C00000"/>
          <w:highlight w:val="yellow"/>
        </w:rPr>
        <w:t xml:space="preserve">[TODO: при наличии. Подать заявку в Роспатент на программный комплекс — это несложно и хорошо усиливает практическую значимость.]</w:t>
      </w:r>
    </w:p>
    <w:p>
      <w:pPr>
        <w:pStyle w:val="Heading2"/>
      </w:pPr>
      <w:bookmarkStart w:name="_Toc51" w:id="51"/>
      <w:r>
        <w:t xml:space="preserve">Приложение Б. Акт внедрения (использования) результатов</w:t>
      </w:r>
      <w:bookmarkEnd w:id="51"/>
    </w:p>
    <w:p>
      <w:pPr>
        <w:ind w:firstLine="709"/>
        <w:jc w:val="both"/>
      </w:pPr>
      <w:r>
        <w:rPr>
          <w:b/>
          <w:bCs/>
          <w:color w:val="C00000"/>
          <w:highlight w:val="yellow"/>
        </w:rPr>
        <w:t xml:space="preserve">[TODO: при наличии — например, в учебный процесс КФУ или КГМУ.]</w:t>
      </w:r>
    </w:p>
    <w:p>
      <w:pPr>
        <w:pStyle w:val="Heading2"/>
      </w:pPr>
      <w:bookmarkStart w:name="_Toc52" w:id="52"/>
      <w:r>
        <w:t xml:space="preserve">Приложение В. Дополнительные результаты</w:t>
      </w:r>
      <w:bookmarkEnd w:id="52"/>
    </w:p>
    <w:p>
      <w:pPr>
        <w:keepNext/>
        <w:spacing w:before="160"/>
        <w:jc w:val="center"/>
      </w:pPr>
      <w:r>
        <w:drawing>
          <wp:inline distT="0" distB="0" distL="0" distR="0">
            <wp:extent cx="4000500" cy="2667000"/>
            <wp:effectExtent t="0" r="0" b="0" l="0"/>
            <wp:docPr id="9" name="mr_leaveoneout.png" descr="Рисунок В.1 — Анализ leave-one-out для оценки IVW" title="Рисунок В.1 — Анализ leave-one-out для оценки IV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В.1 — Анализ leave-one-out для оценки IVW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3619500" cy="3019425"/>
            <wp:effectExtent t="0" r="0" b="0" l="0"/>
            <wp:docPr id="10" name="mr_funnel.png" descr="Рисунок В.2 — Воронкообразная диаграмма оценок отдельных инструментов" title="Рисунок В.2 — Воронкообразная диаграмма оценок отдельных инстру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sz w:val="24"/>
          <w:szCs w:val="24"/>
        </w:rPr>
        <w:t xml:space="preserve">Рисунок В.2 — Воронкообразная диаграмма оценок отдельных инструментов</w:t>
      </w:r>
    </w:p>
    <w:p>
      <w:pPr>
        <w:keepNext/>
        <w:spacing w:after="60" w:before="200" w:line="276"/>
      </w:pPr>
      <w:r>
        <w:rPr>
          <w:sz w:val="24"/>
          <w:szCs w:val="24"/>
        </w:rPr>
        <w:t xml:space="preserve">Таблица В.1 — Полная таблица порогов скрининга модели OLSM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5"/>
        <w:gridCol w:w="2174"/>
        <w:gridCol w:w="1766"/>
        <w:gridCol w:w="1087"/>
        <w:gridCol w:w="815"/>
        <w:gridCol w:w="815"/>
        <w:gridCol w:w="815"/>
        <w:gridCol w:w="815"/>
        <w:gridCol w:w="819"/>
      </w:tblGrid>
      <w:tr>
        <w:trPr>
          <w:cantSplit/>
          <w:tblHeader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Порог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Чувствительность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Специфичность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TP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FP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FN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TN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0,05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0,975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0,266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0,167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0,285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394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143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0,975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0,372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0,318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337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200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0,975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0,475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0,219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282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255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0,938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0,549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0,239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242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295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0,926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0,605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0,261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0,408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212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325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0,877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0,637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0,267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0,409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195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342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0,852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0,696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0,297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0,441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163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374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0,84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0,741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0,329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139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398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0,827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0,773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0,354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122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415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0,802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0,804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0,382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0,518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105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432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0,778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0,831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0,409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63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91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446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0,728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0,857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0,434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77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460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0,691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0,873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0,452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0,546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469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0,617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0,896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0,472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50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31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481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0,75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0,531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0,916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0,489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0,509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43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492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0,469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0,935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0,521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0,494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43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502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0,395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0,953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0,561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0,464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32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49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512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0,90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0,284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0,978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0,657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0,397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58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525</w:t>
            </w:r>
          </w:p>
        </w:tc>
      </w:tr>
      <w:tr>
        <w:trPr>
          <w:cantSplit/>
          <w:tblHeader w:val="off"/>
        </w:trPr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0,95</w:t>
            </w:r>
          </w:p>
        </w:tc>
        <w:tc>
          <w:tcPr>
            <w:tcW w:type="dxa" w:w="2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0,198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0,996</w:t>
            </w:r>
          </w:p>
        </w:tc>
        <w:tc>
          <w:tcPr>
            <w:tcW w:type="dxa" w:w="1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0,889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0,323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65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sz w:val="24"/>
                <w:szCs w:val="24"/>
              </w:rPr>
              <w:t xml:space="preserve">535</w:t>
            </w:r>
          </w:p>
        </w:tc>
      </w:tr>
    </w:tbl>
    <w:p>
      <w:pPr>
        <w:spacing w:after="0" w:line="240"/>
      </w:pPr>
    </w:p>
    <w:p>
      <w:pPr>
        <w:pStyle w:val="Heading2"/>
      </w:pPr>
      <w:bookmarkStart w:name="_Toc53" w:id="53"/>
      <w:r>
        <w:t xml:space="preserve">Приложение Г. Ключевые фрагменты программного кода</w:t>
      </w:r>
      <w:bookmarkEnd w:id="53"/>
    </w:p>
    <w:p>
      <w:pPr>
        <w:ind w:firstLine="709"/>
        <w:jc w:val="both"/>
      </w:pPr>
      <w:r>
        <w:t xml:space="preserve">Ниже приведены ключевые функции программного комплекса на языке Python. Полный код находится в репозитории работы.</w:t>
      </w:r>
    </w:p>
    <w:p>
      <w:pPr>
        <w:ind w:firstLine="709"/>
        <w:jc w:val="both"/>
      </w:pPr>
      <w:r>
        <w:rPr>
          <w:b/>
          <w:bCs/>
        </w:rPr>
        <w:t xml:space="preserve">Г.1. Функция потерь SALF и её производная</w:t>
      </w:r>
      <w:r>
        <w:t xml:space="preserve"> (модуль </w:t>
      </w:r>
      <w:r>
        <w:rPr>
          <w:rFonts w:ascii="Consolas" w:cs="Consolas" w:eastAsia="Consolas" w:hAnsi="Consolas"/>
          <w:sz w:val="24"/>
          <w:szCs w:val="24"/>
        </w:rPr>
        <w:t xml:space="preserve">salf_hybrid.py</w:t>
      </w:r>
      <w:r>
        <w:t xml:space="preserve">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huber(e, delta):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a = np.abs(e)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np.where(a &lt;= delta, 0.5 * e ** 2, delta * (a - 0.5 * delta))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huber_grad(e, delta):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np.where(np.abs(e) &lt;= delta, e, delta * np.sign(e))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salf(y, yhat, tau=0.7, delta=1.0):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e = y - yhat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w = np.where(e &gt;= 0, tau, 1 - tau)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np.mean(w * huber(e, delta))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salf_grad_yhat(y, yhat, tau=0.7, delta=1.0):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"""d SALF / d yhat (усреднённый по выборке)."""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e = y - yhat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w = np.where(e &gt;= 0, tau, 1 - tau)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-(w * huber_grad(e, delta)) / len(y)</w:t>
      </w:r>
    </w:p>
    <w:p>
      <w:pPr>
        <w:ind w:firstLine="709"/>
        <w:jc w:val="both"/>
      </w:pPr>
      <w:r>
        <w:rPr>
          <w:b/>
          <w:bCs/>
        </w:rPr>
        <w:t xml:space="preserve">Г.2. Линейная модель с функцией потерь SALF</w:t>
      </w:r>
      <w:r>
        <w:t xml:space="preserve"> (модуль </w:t>
      </w:r>
      <w:r>
        <w:rPr>
          <w:rFonts w:ascii="Consolas" w:cs="Consolas" w:eastAsia="Consolas" w:hAnsi="Consolas"/>
          <w:sz w:val="24"/>
          <w:szCs w:val="24"/>
        </w:rPr>
        <w:t xml:space="preserve">salf_benchmark.py</w:t>
      </w:r>
      <w:r>
        <w:t xml:space="preserve">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 SALFLinear: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"""Абляция: только линейная ветвь SALF-гибрида (этап 1)."""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def __init__(self, tau, delta, l2=1.0):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self.tau, self.delta, self.l2 = tau, delta, l2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def fit(self, X, y):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self.sc_ = StandardScaler().fit(X)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Xs = self.sc_.transform(X); p = Xs.shape[1]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def obj(th):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w, b = th[:p], th[p]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f = Xs @ w + b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g = salf_grad_yhat(y, f, self.tau, self.delta)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return (salf(y, f, self.tau, self.delta) + self.l2 * w @ w,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            np.append(Xs.T @ g + 2 * self.l2 * w, g.sum()))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th = minimize(obj, np.zeros(p + 1), jac=True, method="L-BFGS-B").x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self.w_, self.b_ = th[:p], th[p]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return self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def predict(self, X):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    return self.sc_.transform(X) @ self.w_ + self.b_</w:t>
      </w:r>
    </w:p>
    <w:p>
      <w:pPr>
        <w:ind w:firstLine="709"/>
        <w:jc w:val="both"/>
      </w:pPr>
      <w:r>
        <w:rPr>
          <w:b/>
          <w:bCs/>
        </w:rPr>
        <w:t xml:space="preserve">Г.3. Оценки IVW и MR-Egger</w:t>
      </w:r>
      <w:r>
        <w:t xml:space="preserve"> (модуль </w:t>
      </w:r>
      <w:r>
        <w:rPr>
          <w:rFonts w:ascii="Consolas" w:cs="Consolas" w:eastAsia="Consolas" w:hAnsi="Consolas"/>
          <w:sz w:val="24"/>
          <w:szCs w:val="24"/>
        </w:rPr>
        <w:t xml:space="preserve">mr_analysis.py</w:t>
      </w:r>
      <w:r>
        <w:t xml:space="preserve">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mr_ivw(bx, by, sy):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w = 1 / sy ** 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beta = np.sum(w * bx * by) / np.sum(w * bx ** 2)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se = np.sqrt(1 / np.sum(w * bx ** 2))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# случайные эффекты: масштаб на sqrt(Q/(n-1)) если &gt;1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resid = by - beta * bx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Q = np.sum(w * resid ** 2)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df = len(bx) - 1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se_re = se * max(1.0, np.sqrt(Q / df))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 = 2 * (1 - stats.norm.cdf(abs(beta / se_re)))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beta, se_re, p, Q, df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mr_egger(bx, by, sy):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# ориентируем экспозицию положительно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 = np.sign(bx); s[s == 0] = 1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bx_o, by_o = bx * s, by * s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w = 1 / sy ** 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X = np.column_stack([np.ones_like(bx_o), bx_o])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WX = X * w[:, None]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cov = np.linalg.inv(X.T @ WX)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coef = cov @ (WX.T @ by_o)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resid = by_o - X @ coef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dof = len(bx) - 2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sigma2 = np.sum(w * resid ** 2) / dof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se = np.sqrt(np.diag(cov) * sigma2 * dof / dof)  # масштаб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se = np.sqrt(np.diag(cov)) * np.sqrt(np.sum(w * resid ** 2) / dof)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inter, slope = coef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se_inter, se_slope = se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p_slope = 2 * (1 - stats.t.cdf(abs(slope / se_slope), dof))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p_inter = 2 * (1 - stats.t.cdf(abs(inter / se_inter), dof))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slope, se_slope, p_slope, inter, se_inter, p_inter</w:t>
      </w:r>
    </w:p>
    <w:p>
      <w:pPr>
        <w:ind w:firstLine="709"/>
        <w:jc w:val="both"/>
      </w:pPr>
      <w:r>
        <w:rPr>
          <w:b/>
          <w:bCs/>
        </w:rPr>
        <w:t xml:space="preserve">Г.4. Тест направленности Стайгера</w:t>
      </w:r>
      <w:r>
        <w:t xml:space="preserve"> (модуль </w:t>
      </w:r>
      <w:r>
        <w:rPr>
          <w:rFonts w:ascii="Consolas" w:cs="Consolas" w:eastAsia="Consolas" w:hAnsi="Consolas"/>
          <w:sz w:val="24"/>
          <w:szCs w:val="24"/>
        </w:rPr>
        <w:t xml:space="preserve">mr_sensitivity.py</w:t>
      </w:r>
      <w:r>
        <w:t xml:space="preserve">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r2_continuous(beta, se, n):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"""Наблюдаемая шкала (BOLT-LMM на 0/1-признаке): r2 ≈ t²/(t² + n)."""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t2 = (beta / se) ** 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t2 / (t2 + n)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r2_logit_liability(lor, eaf):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"""Шкала подверженности для логистической модели: vg / (vg + π²/3)."""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vg = 2 * eaf * (1 - eaf) * lor ** 2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vg / (vg + np.pi ** 2 / 3)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 steiger(r2_exp, r2_out, n_exp, n_out):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"""Тест Стайгера по суммарным r (Fisher z). Положительный z — направление exposure→outcome."""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r_e, r_o = np.sqrt(r2_exp.sum()), np.sqrt(r2_out.sum())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z = (np.arctanh(r_e) - np.arctanh(r_o)) / np.sqrt(1 / (n_exp - 3) + 1 / (n_out - 3))</w:t>
      </w:r>
    </w:p>
    <w:p>
      <w:pPr>
        <w:keepLines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    return r2_exp.sum(), r2_out.sum(), z, 2 * stats.norm.sf(abs(z))</w:t>
      </w:r>
    </w:p>
    <w:sectPr>
      <w:headerReference w:type="default" r:id="rId6"/>
      <w:headerReference w:type="first" r:id="rId7"/>
      <w:pgSz w:w="11906" w:h="16838" w:orient="portrait"/>
      <w:pgMar w:top="1134" w:right="567" w:bottom="1134" w:left="1418" w:header="567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80" w:before="360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ind w:firstLine="709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6076a4dc493ff527972d9400dc006d4dc6f4a2cc.png"/><Relationship Id="rId10" Type="http://schemas.openxmlformats.org/officeDocument/2006/relationships/image" Target="media/b809ddcbe47d5a2bc8de046ed8d934a992a2ca82.png"/><Relationship Id="rId11" Type="http://schemas.openxmlformats.org/officeDocument/2006/relationships/image" Target="media/f12bdf4f1bf75b21f9d0b9f639612dafd097c676.png"/><Relationship Id="rId12" Type="http://schemas.openxmlformats.org/officeDocument/2006/relationships/image" Target="media/289904ffe3a596f1ca333df219b38665a57160dc.png"/><Relationship Id="rId13" Type="http://schemas.openxmlformats.org/officeDocument/2006/relationships/image" Target="media/bad29925ce93d8a9f0e7dd361ea77d78ce211b85.png"/><Relationship Id="rId14" Type="http://schemas.openxmlformats.org/officeDocument/2006/relationships/image" Target="media/aa93b43a3cf804d5105223f63fc795f1df48f417.png"/><Relationship Id="rId15" Type="http://schemas.openxmlformats.org/officeDocument/2006/relationships/image" Target="media/6bbf810e01305b5770845bcabea140aaa179e774.png"/><Relationship Id="rId16" Type="http://schemas.openxmlformats.org/officeDocument/2006/relationships/image" Target="media/50fbaf252b963c3123821dcefc1b9b1dc765b69b.png"/><Relationship Id="rId17" Type="http://schemas.openxmlformats.org/officeDocument/2006/relationships/image" Target="media/f1e202d1aefc98a9a4a33a0930fa5b9bd7ad2661.png"/><Relationship Id="rId18" Type="http://schemas.openxmlformats.org/officeDocument/2006/relationships/image" Target="media/fbf708e84feab70f377f2c47eed9923d4da8b5b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Диссертация — черновой скелет</dc:title>
  <dc:creator>Халилов В. Р.</dc:creator>
  <cp:lastModifiedBy>Un-named</cp:lastModifiedBy>
  <cp:revision>1</cp:revision>
  <dcterms:created xsi:type="dcterms:W3CDTF">2026-10-07T20:00:25.187Z</dcterms:created>
  <dcterms:modified xsi:type="dcterms:W3CDTF">2026-10-07T20:00:25.187Z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