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4DA02" w14:textId="73D52D31" w:rsidR="00DD5E44" w:rsidRPr="00F45DE8" w:rsidRDefault="00DD5E44" w:rsidP="00F50DE0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Код специальности ВАК </w:t>
      </w:r>
      <w:r w:rsidRPr="007227E6">
        <w:rPr>
          <w:rFonts w:cs="Times New Roman"/>
          <w:szCs w:val="28"/>
          <w:lang w:eastAsia="ru-RU"/>
        </w:rPr>
        <w:t>1.2.2</w:t>
      </w:r>
    </w:p>
    <w:p w14:paraId="044C4A42" w14:textId="7E52FAF9" w:rsidR="00DD5E44" w:rsidRDefault="00DD5E44" w:rsidP="00F50DE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45DE8">
        <w:rPr>
          <w:rFonts w:cs="Times New Roman"/>
          <w:szCs w:val="28"/>
          <w:lang w:eastAsia="ru-RU"/>
        </w:rPr>
        <w:t xml:space="preserve">УДК </w:t>
      </w:r>
      <w:r w:rsidR="00CE5A77">
        <w:t>519.876.5</w:t>
      </w:r>
      <w:r w:rsidR="003F2A60">
        <w:rPr>
          <w:rFonts w:cs="Times New Roman"/>
          <w:szCs w:val="28"/>
        </w:rPr>
        <w:t xml:space="preserve">, </w:t>
      </w:r>
      <w:r w:rsidR="00CE5A77">
        <w:t>004.8</w:t>
      </w:r>
    </w:p>
    <w:p w14:paraId="3CB9DA56" w14:textId="303443E4" w:rsidR="003F2A60" w:rsidRPr="00742F3A" w:rsidRDefault="00CE5A77" w:rsidP="00F50DE0">
      <w:pPr>
        <w:spacing w:after="0" w:line="360" w:lineRule="auto"/>
        <w:jc w:val="right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 xml:space="preserve">Халилов Владислав </w:t>
      </w:r>
      <w:proofErr w:type="spellStart"/>
      <w:r>
        <w:rPr>
          <w:b/>
          <w:bCs/>
          <w:szCs w:val="28"/>
          <w:lang w:eastAsia="ru-RU"/>
        </w:rPr>
        <w:t>Рустэмович</w:t>
      </w:r>
      <w:proofErr w:type="spellEnd"/>
    </w:p>
    <w:p w14:paraId="40F9E1D2" w14:textId="77777777" w:rsidR="003F2A60" w:rsidRPr="00F87AB2" w:rsidRDefault="003F2A60" w:rsidP="00F50DE0">
      <w:pPr>
        <w:spacing w:after="0" w:line="360" w:lineRule="auto"/>
        <w:jc w:val="right"/>
        <w:rPr>
          <w:szCs w:val="28"/>
          <w:lang w:eastAsia="ru-RU"/>
        </w:rPr>
      </w:pPr>
      <w:r>
        <w:rPr>
          <w:szCs w:val="28"/>
          <w:lang w:eastAsia="ru-RU"/>
        </w:rPr>
        <w:t>А</w:t>
      </w:r>
      <w:r w:rsidRPr="00F87AB2">
        <w:rPr>
          <w:szCs w:val="28"/>
          <w:lang w:eastAsia="ru-RU"/>
        </w:rPr>
        <w:t>спирант</w:t>
      </w:r>
    </w:p>
    <w:p w14:paraId="4D590131" w14:textId="761E9CAE" w:rsidR="003F2A60" w:rsidRPr="00CE5A77" w:rsidRDefault="00CE5A77" w:rsidP="00F50DE0">
      <w:pPr>
        <w:spacing w:after="0" w:line="360" w:lineRule="auto"/>
        <w:jc w:val="right"/>
        <w:rPr>
          <w:szCs w:val="28"/>
          <w:lang w:eastAsia="ru-RU"/>
        </w:rPr>
      </w:pPr>
      <w:r>
        <w:rPr>
          <w:szCs w:val="28"/>
          <w:lang w:eastAsia="ru-RU"/>
        </w:rPr>
        <w:t>Казанский федеральный университет</w:t>
      </w:r>
    </w:p>
    <w:p w14:paraId="6A8F8EB6" w14:textId="02C096B9" w:rsidR="003F2A60" w:rsidRPr="00742F3A" w:rsidRDefault="00CE5A77" w:rsidP="00F50DE0">
      <w:pPr>
        <w:spacing w:after="0" w:line="360" w:lineRule="auto"/>
        <w:jc w:val="right"/>
        <w:rPr>
          <w:b/>
          <w:bCs/>
          <w:szCs w:val="28"/>
          <w:lang w:eastAsia="ru-RU"/>
        </w:rPr>
      </w:pPr>
      <w:proofErr w:type="spellStart"/>
      <w:r>
        <w:rPr>
          <w:b/>
          <w:bCs/>
          <w:szCs w:val="28"/>
          <w:lang w:eastAsia="ru-RU"/>
        </w:rPr>
        <w:t>Шулаев</w:t>
      </w:r>
      <w:proofErr w:type="spellEnd"/>
      <w:r>
        <w:rPr>
          <w:b/>
          <w:bCs/>
          <w:szCs w:val="28"/>
          <w:lang w:eastAsia="ru-RU"/>
        </w:rPr>
        <w:t xml:space="preserve"> Алексей Владимирович</w:t>
      </w:r>
    </w:p>
    <w:p w14:paraId="2062DB1F" w14:textId="0758E939" w:rsidR="003F2A60" w:rsidRDefault="003F2A60" w:rsidP="00F50DE0">
      <w:pPr>
        <w:spacing w:after="0" w:line="360" w:lineRule="auto"/>
        <w:jc w:val="right"/>
        <w:rPr>
          <w:szCs w:val="28"/>
          <w:lang w:eastAsia="ru-RU"/>
        </w:rPr>
      </w:pPr>
      <w:r>
        <w:rPr>
          <w:szCs w:val="28"/>
          <w:lang w:eastAsia="ru-RU"/>
        </w:rPr>
        <w:t xml:space="preserve">Доктор </w:t>
      </w:r>
      <w:r w:rsidR="00CE5A77">
        <w:rPr>
          <w:szCs w:val="28"/>
          <w:lang w:eastAsia="ru-RU"/>
        </w:rPr>
        <w:t>медицинских наук</w:t>
      </w:r>
      <w:r>
        <w:rPr>
          <w:szCs w:val="28"/>
          <w:lang w:eastAsia="ru-RU"/>
        </w:rPr>
        <w:t>, профессор</w:t>
      </w:r>
    </w:p>
    <w:p w14:paraId="5DC4AB0C" w14:textId="67D60A2D" w:rsidR="00A72097" w:rsidRPr="00CE5A77" w:rsidRDefault="00CE5A77" w:rsidP="00F50DE0">
      <w:pPr>
        <w:spacing w:after="0" w:line="360" w:lineRule="auto"/>
        <w:jc w:val="right"/>
        <w:rPr>
          <w:szCs w:val="28"/>
          <w:lang w:eastAsia="ru-RU"/>
        </w:rPr>
      </w:pPr>
      <w:r>
        <w:rPr>
          <w:szCs w:val="28"/>
          <w:lang w:eastAsia="ru-RU"/>
        </w:rPr>
        <w:t>Казанский государственный медицинский университет</w:t>
      </w:r>
    </w:p>
    <w:p w14:paraId="26D25171" w14:textId="7BAE65DB" w:rsidR="00A72097" w:rsidRPr="00CE5A77" w:rsidRDefault="00CE5A77" w:rsidP="00F50DE0">
      <w:pPr>
        <w:spacing w:after="0" w:line="360" w:lineRule="auto"/>
        <w:jc w:val="right"/>
        <w:rPr>
          <w:szCs w:val="28"/>
          <w:lang w:eastAsia="ru-RU"/>
        </w:rPr>
      </w:pPr>
      <w:proofErr w:type="spellStart"/>
      <w:r>
        <w:rPr>
          <w:szCs w:val="28"/>
          <w:lang w:val="en-US" w:eastAsia="ru-RU"/>
        </w:rPr>
        <w:t>shironoir</w:t>
      </w:r>
      <w:proofErr w:type="spellEnd"/>
      <w:r w:rsidRPr="00CE5A77">
        <w:rPr>
          <w:szCs w:val="28"/>
          <w:lang w:eastAsia="ru-RU"/>
        </w:rPr>
        <w:t>@</w:t>
      </w:r>
      <w:proofErr w:type="spellStart"/>
      <w:r>
        <w:rPr>
          <w:szCs w:val="28"/>
          <w:lang w:val="en-US" w:eastAsia="ru-RU"/>
        </w:rPr>
        <w:t>yandex</w:t>
      </w:r>
      <w:proofErr w:type="spellEnd"/>
      <w:r w:rsidRPr="00CE5A77">
        <w:rPr>
          <w:szCs w:val="28"/>
          <w:lang w:eastAsia="ru-RU"/>
        </w:rPr>
        <w:t>.</w:t>
      </w:r>
      <w:proofErr w:type="spellStart"/>
      <w:r>
        <w:rPr>
          <w:szCs w:val="28"/>
          <w:lang w:val="en-US" w:eastAsia="ru-RU"/>
        </w:rPr>
        <w:t>ru</w:t>
      </w:r>
      <w:proofErr w:type="spellEnd"/>
    </w:p>
    <w:p w14:paraId="036D4C0B" w14:textId="327FF26F" w:rsidR="00CE5A77" w:rsidRPr="00CE5A77" w:rsidRDefault="00CE5A77" w:rsidP="00F50DE0">
      <w:pPr>
        <w:spacing w:after="120" w:line="360" w:lineRule="auto"/>
        <w:jc w:val="center"/>
        <w:rPr>
          <w:rFonts w:cstheme="majorBidi"/>
          <w:b/>
          <w:spacing w:val="5"/>
          <w:kern w:val="28"/>
          <w:szCs w:val="28"/>
        </w:rPr>
      </w:pPr>
      <w:r>
        <w:rPr>
          <w:rFonts w:cstheme="majorBidi"/>
          <w:b/>
          <w:spacing w:val="5"/>
          <w:kern w:val="28"/>
          <w:szCs w:val="28"/>
        </w:rPr>
        <w:t>МАТЕМАТИЧЕСКАЯ МОДЕЛЬ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>
        <w:rPr>
          <w:rFonts w:cstheme="majorBidi"/>
          <w:b/>
          <w:spacing w:val="5"/>
          <w:kern w:val="28"/>
          <w:szCs w:val="28"/>
        </w:rPr>
        <w:t>ПРОГНОЗА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>
        <w:rPr>
          <w:rFonts w:cstheme="majorBidi"/>
          <w:b/>
          <w:spacing w:val="5"/>
          <w:kern w:val="28"/>
          <w:szCs w:val="28"/>
        </w:rPr>
        <w:t>ПРОГРЕССИРОВАНИЯ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>
        <w:rPr>
          <w:rFonts w:cstheme="majorBidi"/>
          <w:b/>
          <w:spacing w:val="5"/>
          <w:kern w:val="28"/>
          <w:szCs w:val="28"/>
        </w:rPr>
        <w:t>МИОПИИ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>
        <w:rPr>
          <w:rFonts w:cstheme="majorBidi"/>
          <w:b/>
          <w:spacing w:val="5"/>
          <w:kern w:val="28"/>
          <w:szCs w:val="28"/>
        </w:rPr>
        <w:t>НА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 w:rsidR="003E651D">
        <w:rPr>
          <w:rFonts w:cstheme="majorBidi"/>
          <w:b/>
          <w:spacing w:val="5"/>
          <w:kern w:val="28"/>
          <w:szCs w:val="28"/>
        </w:rPr>
        <w:t>ОСНОВЕ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 w:rsidR="003E651D">
        <w:rPr>
          <w:rFonts w:cstheme="majorBidi"/>
          <w:b/>
          <w:spacing w:val="5"/>
          <w:kern w:val="28"/>
          <w:szCs w:val="28"/>
        </w:rPr>
        <w:t>ГИБРИДНОЙ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 w:rsidR="003E651D">
        <w:rPr>
          <w:rFonts w:cstheme="majorBidi"/>
          <w:b/>
          <w:spacing w:val="5"/>
          <w:kern w:val="28"/>
          <w:szCs w:val="28"/>
        </w:rPr>
        <w:t>ВЫЧИСЛИТЕЛЬНОЙ</w:t>
      </w:r>
      <w:r w:rsidRPr="00CE5A77">
        <w:rPr>
          <w:rFonts w:cstheme="majorBidi"/>
          <w:b/>
          <w:spacing w:val="5"/>
          <w:kern w:val="28"/>
          <w:szCs w:val="28"/>
        </w:rPr>
        <w:t xml:space="preserve"> </w:t>
      </w:r>
      <w:r w:rsidR="003E651D">
        <w:rPr>
          <w:rFonts w:cstheme="majorBidi"/>
          <w:b/>
          <w:spacing w:val="5"/>
          <w:kern w:val="28"/>
          <w:szCs w:val="28"/>
        </w:rPr>
        <w:t>СХЕМЫ</w:t>
      </w:r>
    </w:p>
    <w:p w14:paraId="6D70E358" w14:textId="56A1F920" w:rsidR="003F2A60" w:rsidRPr="000E7F56" w:rsidRDefault="003F2A60" w:rsidP="00F50DE0">
      <w:pPr>
        <w:pStyle w:val="AbstractR"/>
        <w:spacing w:after="0" w:line="360" w:lineRule="auto"/>
        <w:ind w:left="0" w:right="0" w:firstLine="709"/>
        <w:contextualSpacing/>
        <w:rPr>
          <w:sz w:val="28"/>
          <w:szCs w:val="28"/>
        </w:rPr>
      </w:pPr>
      <w:r w:rsidRPr="00F87AB2">
        <w:rPr>
          <w:b/>
          <w:bCs/>
          <w:sz w:val="28"/>
          <w:szCs w:val="28"/>
          <w:lang w:eastAsia="ru-RU"/>
        </w:rPr>
        <w:t>Аннотация:</w:t>
      </w:r>
      <w:r w:rsidRPr="006B129C">
        <w:rPr>
          <w:sz w:val="28"/>
          <w:szCs w:val="28"/>
          <w:lang w:eastAsia="ru-RU"/>
        </w:rPr>
        <w:t xml:space="preserve"> </w:t>
      </w:r>
      <w:r w:rsidR="00104168" w:rsidRPr="00104168">
        <w:rPr>
          <w:sz w:val="28"/>
          <w:szCs w:val="28"/>
        </w:rPr>
        <w:t xml:space="preserve">Цель исследования — разработка математической модели прогноза прогрессирования миопии на основе гибридной вычислительной схемы, объединяющей линейную базовую модель и нелинейную корректирующую ветвь с логистическим маршрутизатором. Гипотеза исследования состоит в том, что сочетание остаточной нелинейной корректировки, сглаженной асимметричной функции потерь SALF и </w:t>
      </w:r>
      <w:proofErr w:type="spellStart"/>
      <w:r w:rsidR="00104168" w:rsidRPr="00104168">
        <w:rPr>
          <w:sz w:val="28"/>
          <w:szCs w:val="28"/>
        </w:rPr>
        <w:t>декоррелирующей</w:t>
      </w:r>
      <w:proofErr w:type="spellEnd"/>
      <w:r w:rsidR="00104168" w:rsidRPr="00104168">
        <w:rPr>
          <w:sz w:val="28"/>
          <w:szCs w:val="28"/>
        </w:rPr>
        <w:t xml:space="preserve"> регуляризации повышает устойчивость прогноза в клинически значимой зоне высокого риска. В работе решаются задачи формализации статистической постановки, построения структуры модели, задания функции потерь, </w:t>
      </w:r>
      <w:proofErr w:type="spellStart"/>
      <w:r w:rsidR="00104168" w:rsidRPr="00104168">
        <w:rPr>
          <w:sz w:val="28"/>
          <w:szCs w:val="28"/>
        </w:rPr>
        <w:t>регуляризатора</w:t>
      </w:r>
      <w:proofErr w:type="spellEnd"/>
      <w:r w:rsidR="00104168" w:rsidRPr="00104168">
        <w:rPr>
          <w:sz w:val="28"/>
          <w:szCs w:val="28"/>
        </w:rPr>
        <w:t xml:space="preserve"> и поэтапного алгоритма обучения. Использованы методы математического моделирования, статистического обучения, градиентной оптимизации и кросс-</w:t>
      </w:r>
      <w:proofErr w:type="spellStart"/>
      <w:r w:rsidR="00104168" w:rsidRPr="00104168">
        <w:rPr>
          <w:sz w:val="28"/>
          <w:szCs w:val="28"/>
        </w:rPr>
        <w:t>валидационного</w:t>
      </w:r>
      <w:proofErr w:type="spellEnd"/>
      <w:r w:rsidR="00104168" w:rsidRPr="00104168">
        <w:rPr>
          <w:sz w:val="28"/>
          <w:szCs w:val="28"/>
        </w:rPr>
        <w:t xml:space="preserve"> анализа. В результате предложена расширенная математическая постановка задачи, включающая полную параметризацию гибридной модели, функцию потерь SALF, </w:t>
      </w:r>
      <w:proofErr w:type="spellStart"/>
      <w:r w:rsidR="00104168" w:rsidRPr="00104168">
        <w:rPr>
          <w:sz w:val="28"/>
          <w:szCs w:val="28"/>
        </w:rPr>
        <w:t>декоррелирующий</w:t>
      </w:r>
      <w:proofErr w:type="spellEnd"/>
      <w:r w:rsidR="00104168" w:rsidRPr="00104168">
        <w:rPr>
          <w:sz w:val="28"/>
          <w:szCs w:val="28"/>
        </w:rPr>
        <w:t xml:space="preserve"> </w:t>
      </w:r>
      <w:proofErr w:type="spellStart"/>
      <w:r w:rsidR="00104168" w:rsidRPr="00104168">
        <w:rPr>
          <w:sz w:val="28"/>
          <w:szCs w:val="28"/>
        </w:rPr>
        <w:t>регуляризатор</w:t>
      </w:r>
      <w:proofErr w:type="spellEnd"/>
      <w:r w:rsidR="00104168" w:rsidRPr="00104168">
        <w:rPr>
          <w:sz w:val="28"/>
          <w:szCs w:val="28"/>
        </w:rPr>
        <w:t xml:space="preserve"> и многоэтапную схему оптимизации параметров.</w:t>
      </w:r>
    </w:p>
    <w:p w14:paraId="33960EFD" w14:textId="276343B0" w:rsidR="00A72097" w:rsidRDefault="00A72097" w:rsidP="00F50DE0">
      <w:pPr>
        <w:keepLines/>
        <w:spacing w:line="360" w:lineRule="auto"/>
        <w:ind w:firstLine="709"/>
        <w:jc w:val="both"/>
        <w:rPr>
          <w:szCs w:val="28"/>
        </w:rPr>
      </w:pPr>
      <w:r w:rsidRPr="006B129C">
        <w:rPr>
          <w:rStyle w:val="KeywordsHeader"/>
          <w:szCs w:val="28"/>
        </w:rPr>
        <w:lastRenderedPageBreak/>
        <w:t>Ключевые слова</w:t>
      </w:r>
      <w:r w:rsidRPr="006B129C">
        <w:rPr>
          <w:b/>
          <w:szCs w:val="28"/>
        </w:rPr>
        <w:t>:</w:t>
      </w:r>
      <w:r w:rsidRPr="006B129C">
        <w:rPr>
          <w:szCs w:val="28"/>
        </w:rPr>
        <w:t xml:space="preserve"> </w:t>
      </w:r>
      <w:r w:rsidR="003E651D" w:rsidRPr="00BB30E3">
        <w:rPr>
          <w:szCs w:val="28"/>
        </w:rPr>
        <w:t>миопия, математическое моделирование, прогнозирование, гибридная модель, сглаженная асимметричная функция потерь, регуляризация, алгоритмизация, вычислительная схема.</w:t>
      </w:r>
    </w:p>
    <w:p w14:paraId="19A37790" w14:textId="46B7ED0F" w:rsidR="00A72097" w:rsidRPr="00742F3A" w:rsidRDefault="00CE5A77" w:rsidP="00F50DE0">
      <w:pPr>
        <w:spacing w:line="360" w:lineRule="auto"/>
        <w:contextualSpacing/>
        <w:jc w:val="right"/>
        <w:rPr>
          <w:b/>
          <w:bCs/>
          <w:szCs w:val="28"/>
          <w:lang w:val="en-US" w:eastAsia="ru-RU"/>
        </w:rPr>
      </w:pPr>
      <w:proofErr w:type="spellStart"/>
      <w:r>
        <w:rPr>
          <w:b/>
          <w:bCs/>
          <w:szCs w:val="28"/>
          <w:lang w:val="en-US" w:eastAsia="ru-RU"/>
        </w:rPr>
        <w:t>Khalilov</w:t>
      </w:r>
      <w:proofErr w:type="spellEnd"/>
      <w:r>
        <w:rPr>
          <w:b/>
          <w:bCs/>
          <w:szCs w:val="28"/>
          <w:lang w:val="en-US" w:eastAsia="ru-RU"/>
        </w:rPr>
        <w:t xml:space="preserve"> Vladislav </w:t>
      </w:r>
      <w:proofErr w:type="spellStart"/>
      <w:r>
        <w:rPr>
          <w:b/>
          <w:bCs/>
          <w:szCs w:val="28"/>
          <w:lang w:val="en-US" w:eastAsia="ru-RU"/>
        </w:rPr>
        <w:t>Rustemovich</w:t>
      </w:r>
      <w:proofErr w:type="spellEnd"/>
    </w:p>
    <w:p w14:paraId="2F2E9C44" w14:textId="77777777" w:rsidR="00A72097" w:rsidRPr="006B129C" w:rsidRDefault="00A72097" w:rsidP="00F50DE0">
      <w:pPr>
        <w:spacing w:line="360" w:lineRule="auto"/>
        <w:contextualSpacing/>
        <w:jc w:val="right"/>
        <w:rPr>
          <w:szCs w:val="28"/>
          <w:lang w:val="en-US" w:eastAsia="ru-RU"/>
        </w:rPr>
      </w:pPr>
      <w:r>
        <w:rPr>
          <w:color w:val="000000"/>
          <w:szCs w:val="28"/>
          <w:lang w:val="en-US"/>
        </w:rPr>
        <w:t>G</w:t>
      </w:r>
      <w:r w:rsidRPr="006B129C">
        <w:rPr>
          <w:color w:val="000000"/>
          <w:szCs w:val="28"/>
          <w:lang w:val="en-US"/>
        </w:rPr>
        <w:t>raduate student</w:t>
      </w:r>
      <w:r w:rsidRPr="006B129C">
        <w:rPr>
          <w:szCs w:val="28"/>
          <w:lang w:val="en-US" w:eastAsia="ru-RU"/>
        </w:rPr>
        <w:t xml:space="preserve"> </w:t>
      </w:r>
    </w:p>
    <w:p w14:paraId="2A2DA516" w14:textId="06B453AA" w:rsidR="00A72097" w:rsidRDefault="00CE5A77" w:rsidP="00F50DE0">
      <w:pPr>
        <w:spacing w:line="360" w:lineRule="auto"/>
        <w:contextualSpacing/>
        <w:jc w:val="right"/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Kazan Federal University</w:t>
      </w:r>
    </w:p>
    <w:p w14:paraId="3423024D" w14:textId="67F6FFE4" w:rsidR="00A72097" w:rsidRPr="00C507F6" w:rsidRDefault="00CE5A77" w:rsidP="00F50DE0">
      <w:pPr>
        <w:spacing w:line="360" w:lineRule="auto"/>
        <w:contextualSpacing/>
        <w:jc w:val="right"/>
        <w:rPr>
          <w:b/>
          <w:bCs/>
          <w:szCs w:val="28"/>
          <w:shd w:val="clear" w:color="auto" w:fill="FFFFFF"/>
          <w:lang w:val="en-US"/>
        </w:rPr>
      </w:pPr>
      <w:proofErr w:type="spellStart"/>
      <w:r>
        <w:rPr>
          <w:b/>
          <w:bCs/>
          <w:szCs w:val="28"/>
          <w:shd w:val="clear" w:color="auto" w:fill="FFFFFF"/>
          <w:lang w:val="en-US"/>
        </w:rPr>
        <w:t>Shulaev</w:t>
      </w:r>
      <w:proofErr w:type="spellEnd"/>
      <w:r>
        <w:rPr>
          <w:b/>
          <w:bCs/>
          <w:szCs w:val="28"/>
          <w:shd w:val="clear" w:color="auto" w:fill="FFFFFF"/>
          <w:lang w:val="en-US"/>
        </w:rPr>
        <w:t xml:space="preserve"> Alexey Vladimirovich</w:t>
      </w:r>
    </w:p>
    <w:p w14:paraId="3E1C1E7D" w14:textId="78F78112" w:rsidR="00A72097" w:rsidRDefault="00A72097" w:rsidP="00F50DE0">
      <w:pPr>
        <w:spacing w:line="360" w:lineRule="auto"/>
        <w:contextualSpacing/>
        <w:jc w:val="right"/>
        <w:rPr>
          <w:szCs w:val="28"/>
          <w:lang w:val="en-US" w:eastAsia="ru-RU"/>
        </w:rPr>
      </w:pPr>
      <w:r w:rsidRPr="00E16D0B">
        <w:rPr>
          <w:szCs w:val="28"/>
          <w:lang w:val="en-US" w:eastAsia="ru-RU"/>
        </w:rPr>
        <w:t xml:space="preserve">Doctor of </w:t>
      </w:r>
      <w:r w:rsidR="00CE5A77">
        <w:rPr>
          <w:szCs w:val="28"/>
          <w:lang w:val="en-US" w:eastAsia="ru-RU"/>
        </w:rPr>
        <w:t>Medical</w:t>
      </w:r>
      <w:r w:rsidRPr="00E16D0B">
        <w:rPr>
          <w:szCs w:val="28"/>
          <w:lang w:val="en-US" w:eastAsia="ru-RU"/>
        </w:rPr>
        <w:t xml:space="preserve"> Sciences, Professor</w:t>
      </w:r>
    </w:p>
    <w:p w14:paraId="57CA6512" w14:textId="2326D232" w:rsidR="00A72097" w:rsidRPr="00E16D0B" w:rsidRDefault="00CE5A77" w:rsidP="00F50DE0">
      <w:pPr>
        <w:spacing w:line="360" w:lineRule="auto"/>
        <w:jc w:val="right"/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Kazan State Med</w:t>
      </w:r>
    </w:p>
    <w:p w14:paraId="0B7F1F9E" w14:textId="77777777" w:rsidR="003E651D" w:rsidRDefault="003E651D" w:rsidP="00F50DE0">
      <w:pPr>
        <w:pStyle w:val="AbstractR"/>
        <w:spacing w:after="0" w:line="360" w:lineRule="auto"/>
        <w:ind w:left="0" w:right="0" w:firstLine="709"/>
        <w:contextualSpacing/>
        <w:rPr>
          <w:rFonts w:eastAsiaTheme="minorEastAsia"/>
          <w:b/>
          <w:bCs/>
          <w:sz w:val="28"/>
          <w:szCs w:val="28"/>
          <w:lang w:val="en-US"/>
        </w:rPr>
      </w:pPr>
      <w:r w:rsidRPr="003E651D">
        <w:rPr>
          <w:rFonts w:eastAsiaTheme="minorEastAsia"/>
          <w:b/>
          <w:bCs/>
          <w:sz w:val="28"/>
          <w:szCs w:val="28"/>
          <w:lang w:val="en-US"/>
        </w:rPr>
        <w:t>MATHEMATICAL MODEL FOR PREDICTING MYOPIA PROGRESSION BASED ON A HYBRID COMPUTATIONAL SCHEME</w:t>
      </w:r>
    </w:p>
    <w:p w14:paraId="785B7F0C" w14:textId="5B48F482" w:rsidR="00A72097" w:rsidRPr="00444809" w:rsidRDefault="00A72097" w:rsidP="00F50DE0">
      <w:pPr>
        <w:pStyle w:val="AbstractR"/>
        <w:spacing w:after="0" w:line="360" w:lineRule="auto"/>
        <w:ind w:left="0" w:right="0" w:firstLine="709"/>
        <w:contextualSpacing/>
        <w:rPr>
          <w:sz w:val="28"/>
          <w:szCs w:val="28"/>
          <w:lang w:val="en-US"/>
        </w:rPr>
      </w:pPr>
      <w:r w:rsidRPr="00742F3A">
        <w:rPr>
          <w:b/>
          <w:bCs/>
          <w:color w:val="000000"/>
          <w:sz w:val="28"/>
          <w:szCs w:val="28"/>
          <w:lang w:val="en-US"/>
        </w:rPr>
        <w:t>Abstract:</w:t>
      </w:r>
      <w:r w:rsidRPr="006B129C">
        <w:rPr>
          <w:sz w:val="28"/>
          <w:szCs w:val="28"/>
          <w:lang w:val="en-US"/>
        </w:rPr>
        <w:t xml:space="preserve"> </w:t>
      </w:r>
      <w:r w:rsidR="00444809" w:rsidRPr="00444809">
        <w:rPr>
          <w:sz w:val="28"/>
          <w:szCs w:val="28"/>
          <w:lang w:val="en-US"/>
        </w:rPr>
        <w:t xml:space="preserve">The aim of the study is to develop a mathematical model for predicting myopia progression based on a hybrid computational scheme combining a linear baseline model and a nonlinear corrective branch with a logistic routing mechanism. The research hypothesis is that the combination of residual nonlinear correction, a smoothed asymmetric loss function SALF, and decorrelating regularization increases the stability of prediction in the clinically significant high-risk zone. The study addresses the tasks of formalizing the statistical problem statement, constructing the model structure, specifying the loss function, the </w:t>
      </w:r>
      <w:proofErr w:type="spellStart"/>
      <w:r w:rsidR="00444809" w:rsidRPr="00444809">
        <w:rPr>
          <w:sz w:val="28"/>
          <w:szCs w:val="28"/>
          <w:lang w:val="en-US"/>
        </w:rPr>
        <w:t>regularizer</w:t>
      </w:r>
      <w:proofErr w:type="spellEnd"/>
      <w:r w:rsidR="00444809" w:rsidRPr="00444809">
        <w:rPr>
          <w:sz w:val="28"/>
          <w:szCs w:val="28"/>
          <w:lang w:val="en-US"/>
        </w:rPr>
        <w:t xml:space="preserve">, and a staged training algorithm. The methods used include mathematical modeling, statistical learning, gradient optimization, and cross-validation analysis. As a result, an extended mathematical formulation of the problem is proposed, including the full parameterization of the hybrid model, the SALF loss function, a decorrelating </w:t>
      </w:r>
      <w:proofErr w:type="spellStart"/>
      <w:r w:rsidR="00444809" w:rsidRPr="00444809">
        <w:rPr>
          <w:sz w:val="28"/>
          <w:szCs w:val="28"/>
          <w:lang w:val="en-US"/>
        </w:rPr>
        <w:t>regularizer</w:t>
      </w:r>
      <w:proofErr w:type="spellEnd"/>
      <w:r w:rsidR="00444809" w:rsidRPr="00444809">
        <w:rPr>
          <w:sz w:val="28"/>
          <w:szCs w:val="28"/>
          <w:lang w:val="en-US"/>
        </w:rPr>
        <w:t>, and a multi-stage parameter optimization scheme.</w:t>
      </w:r>
      <w:bookmarkStart w:id="0" w:name="_GoBack"/>
      <w:bookmarkEnd w:id="0"/>
    </w:p>
    <w:p w14:paraId="4D54CE71" w14:textId="7EC7C57C" w:rsidR="00A72097" w:rsidRPr="003E651D" w:rsidRDefault="00A72097" w:rsidP="00F50DE0">
      <w:pPr>
        <w:spacing w:line="360" w:lineRule="auto"/>
        <w:ind w:firstLine="709"/>
        <w:contextualSpacing/>
        <w:rPr>
          <w:b/>
          <w:bCs/>
          <w:szCs w:val="28"/>
          <w:lang w:val="en-US"/>
        </w:rPr>
      </w:pPr>
      <w:r w:rsidRPr="00A72097">
        <w:rPr>
          <w:rStyle w:val="KeywordsHeader"/>
          <w:szCs w:val="28"/>
          <w:lang w:val="en-US"/>
        </w:rPr>
        <w:t>Keywords:</w:t>
      </w:r>
      <w:r w:rsidRPr="00A72097">
        <w:rPr>
          <w:rStyle w:val="KeywordsHeader"/>
          <w:b w:val="0"/>
          <w:bCs/>
          <w:szCs w:val="28"/>
          <w:lang w:val="en-US"/>
        </w:rPr>
        <w:t xml:space="preserve"> </w:t>
      </w:r>
      <w:r w:rsidR="003E651D" w:rsidRPr="003E651D">
        <w:rPr>
          <w:lang w:val="en-US"/>
        </w:rPr>
        <w:t xml:space="preserve">myopia, mathematical modeling, prediction, hybrid model, smoothed asymmetric loss function, regularization, </w:t>
      </w:r>
      <w:proofErr w:type="spellStart"/>
      <w:r w:rsidR="003E651D" w:rsidRPr="003E651D">
        <w:rPr>
          <w:lang w:val="en-US"/>
        </w:rPr>
        <w:t>algorithmization</w:t>
      </w:r>
      <w:proofErr w:type="spellEnd"/>
      <w:r w:rsidR="003E651D" w:rsidRPr="003E651D">
        <w:rPr>
          <w:lang w:val="en-US"/>
        </w:rPr>
        <w:t>, computational scheme.</w:t>
      </w:r>
    </w:p>
    <w:p w14:paraId="1FAB5AFE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lastRenderedPageBreak/>
        <w:t>Введение</w:t>
      </w:r>
    </w:p>
    <w:p w14:paraId="0BCE8590" w14:textId="77777777" w:rsidR="003E651D" w:rsidRP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bookmarkStart w:id="1" w:name="_Hlk223352382"/>
      <w:r w:rsidRPr="003E651D">
        <w:t xml:space="preserve">Прогнозирование динамики развития миопии представляет собой сложную задачу математического моделирования </w:t>
      </w:r>
      <w:proofErr w:type="spellStart"/>
      <w:r w:rsidRPr="003E651D">
        <w:t>слабоформализованных</w:t>
      </w:r>
      <w:proofErr w:type="spellEnd"/>
      <w:r w:rsidRPr="003E651D">
        <w:t xml:space="preserve"> биологических систем. Традиционные регрессионные методы обладают высокой интерпретируемостью, но ограничены в аппроксимации</w:t>
      </w:r>
      <w:r w:rsidRPr="00BB30E3">
        <w:rPr>
          <w:szCs w:val="28"/>
        </w:rPr>
        <w:t xml:space="preserve"> сложных нелинейных взаимосвязей клинико-биометрических факторов.</w:t>
      </w:r>
      <w:r w:rsidRPr="00F061E9">
        <w:rPr>
          <w:szCs w:val="28"/>
        </w:rPr>
        <w:t>[2]</w:t>
      </w:r>
      <w:r w:rsidRPr="00BB30E3">
        <w:rPr>
          <w:szCs w:val="28"/>
        </w:rPr>
        <w:t xml:space="preserve"> Сложные нелинейные алгоритмы машинного обучения, напротив, способны описывать более богатую структуру данных, однако их практическое применение в медицинских системах поддержки решений часто ограничивается недостаточной прозрачностью и повышенной чувствительностью к шуму выборки.</w:t>
      </w:r>
      <w:r w:rsidRPr="00114B22">
        <w:rPr>
          <w:szCs w:val="28"/>
        </w:rPr>
        <w:t xml:space="preserve"> </w:t>
      </w:r>
      <w:r>
        <w:rPr>
          <w:szCs w:val="28"/>
        </w:rPr>
        <w:t>[5]</w:t>
      </w:r>
    </w:p>
    <w:p w14:paraId="0CE69D23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Перспективным направлением является использование гибридных вычислительных схем, в которых линейная часть описывает базовый тренд, а нелинейная ветвь вносит адаптивную корректировку для клинически нетипичных случаев. При этом остается актуальной задача математически корректной формализации функции потерь, процедуры регуляризации и численного метода обучения, позволяющего избежать вырождения маршрутизатора и избыточной </w:t>
      </w:r>
      <w:proofErr w:type="spellStart"/>
      <w:r w:rsidRPr="00BB30E3">
        <w:rPr>
          <w:szCs w:val="28"/>
        </w:rPr>
        <w:t>коадаптации</w:t>
      </w:r>
      <w:proofErr w:type="spellEnd"/>
      <w:r w:rsidRPr="00BB30E3">
        <w:rPr>
          <w:szCs w:val="28"/>
        </w:rPr>
        <w:t xml:space="preserve"> ветвей.</w:t>
      </w:r>
    </w:p>
    <w:p w14:paraId="0627078F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Целью настоящей работы является разработка расширенной математической постановки задачи прогноза прогрессирования миопии на основе гибридной модели с остаточной нелинейной корректировкой, сглаженной асимметричной функцией потерь SALF, а также многоэтапным алгоритмом оптимизации параметров.</w:t>
      </w:r>
      <w:bookmarkEnd w:id="1"/>
    </w:p>
    <w:p w14:paraId="2259A323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Постановка задачи</w:t>
      </w:r>
    </w:p>
    <w:p w14:paraId="63D4334E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Пусть задана обучающая выборка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D=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e>
            </m:d>
          </m:e>
        </m:eqArr>
      </m:oMath>
      <w:r w:rsidRPr="00BB30E3">
        <w:rPr>
          <w:szCs w:val="28"/>
        </w:rPr>
        <w:t xml:space="preserve">от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i=1</m:t>
            </m:r>
          </m:e>
        </m:eqArr>
      </m:oMath>
      <w:r w:rsidRPr="0025356B">
        <w:rPr>
          <w:szCs w:val="28"/>
        </w:rPr>
        <w:t xml:space="preserve"> </w:t>
      </w:r>
      <w:r w:rsidRPr="00BB30E3">
        <w:rPr>
          <w:szCs w:val="28"/>
        </w:rPr>
        <w:t>до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N</m:t>
            </m:r>
          </m:e>
        </m:eqArr>
      </m:oMath>
      <w:r w:rsidRPr="00BB30E3">
        <w:rPr>
          <w:szCs w:val="28"/>
        </w:rPr>
        <w:t xml:space="preserve">, где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eqArr>
      </m:oMath>
      <w:r w:rsidRPr="0025356B">
        <w:rPr>
          <w:szCs w:val="28"/>
        </w:rPr>
        <w:t xml:space="preserve"> </w:t>
      </w:r>
      <w:r w:rsidRPr="00BB30E3">
        <w:rPr>
          <w:szCs w:val="28"/>
        </w:rPr>
        <w:t xml:space="preserve">принадлежит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n</m:t>
                </m:r>
              </m:sup>
            </m:sSup>
          </m:e>
        </m:eqArr>
      </m:oMath>
      <w:r w:rsidRPr="0025356B">
        <w:rPr>
          <w:szCs w:val="28"/>
        </w:rPr>
        <w:t xml:space="preserve"> </w:t>
      </w:r>
      <w:r w:rsidRPr="00BB30E3">
        <w:rPr>
          <w:szCs w:val="28"/>
        </w:rPr>
        <w:t xml:space="preserve">и представляет собой вектор исходных прогностических признаков пациента, 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BB30E3">
        <w:rPr>
          <w:szCs w:val="28"/>
        </w:rPr>
        <w:t xml:space="preserve"> принадлежит R и задает целевую переменную, например скорость изменения аксиальной длины глаза за фиксированный </w:t>
      </w:r>
      <w:r w:rsidRPr="00BB30E3">
        <w:rPr>
          <w:szCs w:val="28"/>
        </w:rPr>
        <w:lastRenderedPageBreak/>
        <w:t>интервал наблюдения.</w:t>
      </w:r>
      <w:r w:rsidRPr="00F061E9">
        <w:rPr>
          <w:szCs w:val="28"/>
        </w:rPr>
        <w:t>[1]</w:t>
      </w:r>
      <w:r w:rsidRPr="00BB30E3">
        <w:rPr>
          <w:szCs w:val="28"/>
        </w:rPr>
        <w:t xml:space="preserve"> В качестве признаков могут использоваться возраст, исходная рефракция, аксиальная длина, AL/CR, данные биометрии</w:t>
      </w:r>
      <w:r w:rsidRPr="00F061E9">
        <w:rPr>
          <w:szCs w:val="28"/>
        </w:rPr>
        <w:t>[3]</w:t>
      </w:r>
      <w:r w:rsidRPr="00BB30E3">
        <w:rPr>
          <w:szCs w:val="28"/>
        </w:rPr>
        <w:t xml:space="preserve"> и анамнестические характеристики.</w:t>
      </w:r>
    </w:p>
    <w:p w14:paraId="5EC11D03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Статистическая постановка задачи задается через минимизацию риска. Вводятся истинный и эмпирический риски:</w:t>
      </w:r>
    </w:p>
    <w:p w14:paraId="3182E896" w14:textId="77777777" w:rsidR="003E651D" w:rsidRPr="00006A86" w:rsidRDefault="00104168" w:rsidP="00F50DE0">
      <w:pPr>
        <w:spacing w:before="40"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∼P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x;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e>
          </m:eqArr>
        </m:oMath>
      </m:oMathPara>
    </w:p>
    <w:p w14:paraId="06219CEF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^</m:t>
                      </m:r>
                    </m:lim>
                  </m:limUpp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Θ</m:t>
                  </m:r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Cs w:val="28"/>
                    </w:rPr>
                    <m:t>L⁡(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Θ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e>
              </m:nary>
            </m:e>
          </m:eqArr>
        </m:oMath>
      </m:oMathPara>
    </w:p>
    <w:p w14:paraId="528E3984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В дальнейшем минимизируется именно эмпирический риск, дополненный регуляризирующим членом. Полная параметризация модели записывается в виде</w:t>
      </w:r>
    </w:p>
    <w:p w14:paraId="35415BBD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Θ</m:t>
              </m:r>
              <m:r>
                <w:rPr>
                  <w:rFonts w:ascii="Cambria Math" w:hAnsi="Cambria Math"/>
                  <w:szCs w:val="28"/>
                </w:rPr>
                <m:t>={W,b,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Φ</m:t>
              </m:r>
              <m:r>
                <w:rPr>
                  <w:rFonts w:ascii="Cambria Math" w:hAnsi="Cambria Math"/>
                  <w:szCs w:val="28"/>
                </w:rPr>
                <m:t>,γ}</m:t>
              </m:r>
            </m:e>
          </m:eqArr>
        </m:oMath>
      </m:oMathPara>
    </w:p>
    <w:p w14:paraId="276932E2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Основная прогностическая модель задается как аддитивная композиция базовой линейной и корректирующей нелинейной ветвей:</w:t>
      </w:r>
    </w:p>
    <w:p w14:paraId="09D1DE0C" w14:textId="77777777" w:rsidR="003E651D" w:rsidRPr="00006A86" w:rsidRDefault="00104168" w:rsidP="00F50DE0">
      <w:pPr>
        <w:spacing w:before="40"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+b+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σ</m:t>
                  </m:r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ens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Φ</m:t>
                  </m:r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e>
              </m:func>
            </m:e>
          </m:eqArr>
        </m:oMath>
      </m:oMathPara>
    </w:p>
    <w:p w14:paraId="534032F2" w14:textId="77777777" w:rsidR="003E651D" w:rsidRPr="00006A86" w:rsidRDefault="00104168" w:rsidP="00F50DE0">
      <w:pPr>
        <w:spacing w:before="40"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σ</m:t>
                  </m:r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(z)</m:t>
                  </m:r>
                </m:e>
              </m:func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-z</m:t>
                      </m:r>
                    </m:sup>
                  </m:sSup>
                </m:den>
              </m:f>
            </m:e>
          </m:eqArr>
        </m:oMath>
      </m:oMathPara>
    </w:p>
    <w:p w14:paraId="60EF5DC8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Такое представление означает, что линейная часть задает глобальный тренд, а нелинейная ветвь активируется маршрутизатором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σ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func>
          </m:e>
        </m:eqArr>
      </m:oMath>
      <w:r>
        <w:rPr>
          <w:szCs w:val="28"/>
        </w:rPr>
        <w:t xml:space="preserve"> </w:t>
      </w:r>
      <w:r w:rsidRPr="00BB30E3">
        <w:rPr>
          <w:szCs w:val="28"/>
        </w:rPr>
        <w:t>и усиливает предсказание в тех областях признакового пространства, где базовый линейный оператор недостаточен.</w:t>
      </w:r>
    </w:p>
    <w:p w14:paraId="59EDA2C3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Итоговая задача оптимизации принимает вид:</w:t>
      </w:r>
    </w:p>
    <w:p w14:paraId="0C89FC44" w14:textId="77777777" w:rsidR="003E651D" w:rsidRPr="006A2B98" w:rsidRDefault="00104168" w:rsidP="00F50DE0">
      <w:pPr>
        <w:pStyle w:val="1"/>
        <w:spacing w:line="360" w:lineRule="auto"/>
        <w:jc w:val="both"/>
        <w:rPr>
          <w:b w:val="0"/>
          <w:bCs w:val="0"/>
          <w:color w:val="auto"/>
          <w:sz w:val="28"/>
        </w:rPr>
      </w:pPr>
      <m:oMathPara>
        <m:oMath>
          <m:eqArr>
            <m:eqArrPr>
              <m:ctrlPr>
                <w:rPr>
                  <w:rFonts w:ascii="Cambria Math" w:eastAsia="Times New Roman" w:hAnsi="Cambria Math" w:cstheme="minorBidi"/>
                  <w:b w:val="0"/>
                  <w:bCs w:val="0"/>
                  <w:color w:val="auto"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Times New Roman" w:hAnsi="Cambria Math" w:cstheme="minorBidi"/>
                      <w:b w:val="0"/>
                      <w:bCs w:val="0"/>
                      <w:color w:val="auto"/>
                      <w:sz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theme="minorBidi"/>
                      <w:color w:val="auto"/>
                      <w:sz w:val="28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Bidi"/>
                      <w:color w:val="auto"/>
                      <w:sz w:val="28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Bidi"/>
                  <w:color w:val="auto"/>
                  <w:sz w:val="28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theme="minorBidi"/>
                      <w:b w:val="0"/>
                      <w:bCs w:val="0"/>
                      <w:color w:val="auto"/>
                      <w:sz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="Times New Roman" w:hAnsi="Cambria Math" w:cstheme="minorBidi"/>
                      <w:color w:val="auto"/>
                      <w:sz w:val="28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eastAsia="Times New Roman" w:hAnsi="Cambria Math" w:cstheme="minorBidi"/>
                          <w:b w:val="0"/>
                          <w:bCs w:val="0"/>
                          <w:color w:val="auto"/>
                          <w:sz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imes New Roman" w:hAnsi="Cambria Math" w:cstheme="minorBidi"/>
                              <w:b w:val="0"/>
                              <w:bCs w:val="0"/>
                              <w:color w:val="auto"/>
                              <w:sz w:val="28"/>
                            </w:rPr>
                          </m:ctrlPr>
                        </m:limLow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min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Θ</m:t>
                          </m:r>
                        </m:lim>
                      </m:limLow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color w:val="auto"/>
                          <w:sz w:val="28"/>
                        </w:rPr>
                        <m:t>[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theme="minorBidi"/>
                              <w:b w:val="0"/>
                              <w:bCs w:val="0"/>
                              <w:color w:val="auto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="Times New Roman" w:hAnsi="Cambria Math" w:cstheme="minorBidi"/>
                              <w:b w:val="0"/>
                              <w:bCs w:val="0"/>
                              <w:color w:val="auto"/>
                              <w:sz w:val="28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i=1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theme="minorBidi"/>
                                  <w:b w:val="0"/>
                                  <w:bCs w:val="0"/>
                                  <w:color w:val="auto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SALF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⁡(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theme="minorBidi"/>
                                  <w:b w:val="0"/>
                                  <w:bCs w:val="0"/>
                                  <w:color w:val="auto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theme="minorBidi"/>
                                  <w:b w:val="0"/>
                                  <w:bCs w:val="0"/>
                                  <w:color w:val="auto"/>
                                  <w:sz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f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theme="minorBidi"/>
                                      <w:b w:val="0"/>
                                      <w:bCs w:val="0"/>
                                      <w:color w:val="auto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theme="minorBidi"/>
                                      <w:color w:val="auto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theme="minorBidi"/>
                                      <w:color w:val="auto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;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theme="minorBidi"/>
                                  <w:color w:val="auto"/>
                                  <w:sz w:val="28"/>
                                </w:rPr>
                                <m:t>)</m:t>
                              </m:r>
                            </m:e>
                          </m:func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)</m:t>
                          </m:r>
                        </m:e>
                      </m:nary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color w:val="auto"/>
                          <w:sz w:val="2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theme="minorBidi"/>
                              <w:b w:val="0"/>
                              <w:bCs w:val="0"/>
                              <w:color w:val="auto"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Ω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(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theme="minorBidi"/>
                              <w:color w:val="auto"/>
                              <w:sz w:val="28"/>
                            </w:rPr>
                            <m:t>)</m:t>
                          </m:r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inorBidi"/>
                          <w:color w:val="auto"/>
                          <w:sz w:val="28"/>
                        </w:rPr>
                        <m:t>]</m:t>
                      </m:r>
                    </m:e>
                  </m:func>
                </m:e>
              </m:func>
            </m:e>
          </m:eqArr>
        </m:oMath>
      </m:oMathPara>
    </w:p>
    <w:p w14:paraId="249F85FC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Базовая модель, корректирующая ветвь и структура признаков</w:t>
      </w:r>
    </w:p>
    <w:p w14:paraId="16E3E0C0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Для повышения устойчивости вычислений входные признаки предварительно центрируются и нормируются. Для j-</w:t>
      </w:r>
      <w:proofErr w:type="spellStart"/>
      <w:r w:rsidRPr="00BB30E3">
        <w:rPr>
          <w:szCs w:val="28"/>
        </w:rPr>
        <w:t>го</w:t>
      </w:r>
      <w:proofErr w:type="spellEnd"/>
      <w:r w:rsidRPr="00BB30E3">
        <w:rPr>
          <w:szCs w:val="28"/>
        </w:rPr>
        <w:t xml:space="preserve"> признака используется преобразование</w:t>
      </w:r>
    </w:p>
    <w:p w14:paraId="3F31F52D" w14:textId="77777777" w:rsidR="003E651D" w:rsidRPr="00BB30E3" w:rsidRDefault="00104168" w:rsidP="00F50DE0">
      <w:pPr>
        <w:spacing w:before="40"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+η</m:t>
                  </m:r>
                </m:den>
              </m:f>
            </m:e>
          </m:eqArr>
        </m:oMath>
      </m:oMathPara>
    </w:p>
    <w:p w14:paraId="7A978780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где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j</m:t>
                </m:r>
              </m:sub>
            </m:sSub>
          </m:e>
        </m:eqArr>
      </m:oMath>
      <w:r w:rsidRPr="00006A86">
        <w:rPr>
          <w:szCs w:val="28"/>
        </w:rPr>
        <w:t xml:space="preserve"> </w:t>
      </w:r>
      <w:r w:rsidRPr="00BB30E3">
        <w:rPr>
          <w:szCs w:val="28"/>
        </w:rPr>
        <w:t xml:space="preserve">и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j</m:t>
                </m:r>
              </m:sub>
            </m:sSub>
          </m:e>
        </m:eqArr>
      </m:oMath>
      <w:r w:rsidRPr="00006A86">
        <w:rPr>
          <w:szCs w:val="28"/>
        </w:rPr>
        <w:t xml:space="preserve"> </w:t>
      </w:r>
      <w:r w:rsidRPr="00BB30E3">
        <w:rPr>
          <w:szCs w:val="28"/>
        </w:rPr>
        <w:t>- выборочные среднее и стандартное отклонение, а η является малым стабилизатором, предотвращающим деление на ноль при малой дисперсии отдельных предикторов.</w:t>
      </w:r>
    </w:p>
    <w:p w14:paraId="223636A2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Линейная ветвь описывается функцией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l</m:t>
                </m:r>
              </m:sub>
            </m:sSub>
            <m:r>
              <w:rPr>
                <w:rFonts w:ascii="Cambria Math" w:hAnsi="Cambria Math"/>
                <w:szCs w:val="28"/>
              </w:rPr>
              <m:t>i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n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;W,b)</m:t>
                </m:r>
              </m:e>
            </m:func>
            <m:r>
              <w:rPr>
                <w:rFonts w:ascii="Cambria Math" w:hAnsi="Cambria Math"/>
                <w:szCs w:val="28"/>
              </w:rPr>
              <m:t>=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+b</m:t>
            </m:r>
          </m:e>
        </m:eqArr>
      </m:oMath>
      <w:r w:rsidRPr="00BB30E3">
        <w:rPr>
          <w:szCs w:val="28"/>
        </w:rPr>
        <w:t>. После обучения линейной части вычисляются невязки:</w:t>
      </w:r>
    </w:p>
    <w:p w14:paraId="14DAA585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lin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;W,b)</m:t>
                  </m:r>
                </m:e>
              </m:func>
            </m:e>
          </m:eqArr>
        </m:oMath>
      </m:oMathPara>
    </w:p>
    <w:p w14:paraId="230C896E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Корректирующая ансамблевая ветвь обучается как задача аппроксимации остаточной структуры:</w:t>
      </w:r>
    </w:p>
    <w:p w14:paraId="3300F796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(0)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Low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min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Φ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SALF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⁡(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,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ens</m:t>
                                  </m:r>
                                </m:sub>
                              </m:sSub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;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Φ</m:t>
                              </m:r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)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Cs w:val="28"/>
                            </w:rPr>
                            <m:t>)</m:t>
                          </m:r>
                        </m:e>
                      </m:nary>
                    </m:e>
                  </m:func>
                </m:e>
              </m:func>
            </m:e>
          </m:eqArr>
        </m:oMath>
      </m:oMathPara>
    </w:p>
    <w:p w14:paraId="4726F8ED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Такое обучение на невязках позволяет трактовать нелинейную ветвь как корректирующий оператор, уменьшающий систематическую ошибку базовой модели и снижающий дублирование между ветвями.</w:t>
      </w:r>
    </w:p>
    <w:p w14:paraId="3D288838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 xml:space="preserve">Сглаженная асимметричная функция потерь </w:t>
      </w:r>
      <w:r w:rsidRPr="003E651D">
        <w:rPr>
          <w:rFonts w:ascii="Times New Roman" w:hAnsi="Times New Roman" w:cs="Times New Roman"/>
          <w:color w:val="auto"/>
          <w:sz w:val="28"/>
        </w:rPr>
        <w:t>SALF</w:t>
      </w:r>
    </w:p>
    <w:p w14:paraId="56FEAA4E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Для учета несимметричной клинической стоимости ошибки вводится сглаженная асимметричная функция потерь SALF, представляющая собой модификацию функции </w:t>
      </w:r>
      <w:proofErr w:type="spellStart"/>
      <w:r w:rsidRPr="00BB30E3">
        <w:rPr>
          <w:szCs w:val="28"/>
        </w:rPr>
        <w:t>Хьюбера</w:t>
      </w:r>
      <w:proofErr w:type="spellEnd"/>
      <w:r w:rsidRPr="00BB30E3">
        <w:rPr>
          <w:szCs w:val="28"/>
        </w:rPr>
        <w:t xml:space="preserve">. Она штрафует недооценку </w:t>
      </w:r>
      <w:r w:rsidRPr="00BB30E3">
        <w:rPr>
          <w:szCs w:val="28"/>
        </w:rPr>
        <w:lastRenderedPageBreak/>
        <w:t>прогрессирования сильнее, чем переоценку, сохраняя при этом гладкость, необходимую для устойчивой численной оптимизации.</w:t>
      </w:r>
    </w:p>
    <w:p w14:paraId="02D843A3" w14:textId="77777777" w:rsidR="003E651D" w:rsidRDefault="00104168" w:rsidP="00F50DE0">
      <w:pPr>
        <w:spacing w:before="40" w:after="120" w:line="360" w:lineRule="auto"/>
        <w:jc w:val="both"/>
        <w:rPr>
          <w:rFonts w:ascii="Courier New" w:hAnsi="Courier New"/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SALF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(e;τ,δ)</m:t>
                  </m:r>
                </m:e>
              </m:func>
              <m:r>
                <w:rPr>
                  <w:rFonts w:ascii="Cambria Math" w:hAnsi="Cambria Math"/>
                  <w:szCs w:val="28"/>
                </w:rPr>
                <m:t>={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τ⋅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0≤e≤δ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τ⋅δ(e-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</w:rPr>
                      <m:t>δ),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e&gt;δ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(1-τ)⋅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-δ≤e&lt;0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(1-τ)⋅δ(-e-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</w:rPr>
                      <m:t>δ),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e&lt;-δ</m:t>
                    </m:r>
                  </m:e>
                </m:mr>
              </m:m>
            </m:e>
          </m:eqArr>
        </m:oMath>
      </m:oMathPara>
    </w:p>
    <w:p w14:paraId="3DA77AC3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|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SALF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∂e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|≤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(τδ,(1-τ)δ)</m:t>
                  </m:r>
                </m:e>
              </m:func>
            </m:e>
          </m:eqArr>
        </m:oMath>
      </m:oMathPara>
    </w:p>
    <w:p w14:paraId="5D1D6DAC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Здесь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e=y-ŷ</m:t>
            </m:r>
          </m:e>
        </m:eqArr>
      </m:oMath>
      <w:r w:rsidRPr="00BB30E3">
        <w:rPr>
          <w:szCs w:val="28"/>
        </w:rPr>
        <w:t>, параметр τ принадлежит интервалу (0, 1) и з</w:t>
      </w:r>
      <w:proofErr w:type="spellStart"/>
      <w:r w:rsidRPr="00BB30E3">
        <w:rPr>
          <w:szCs w:val="28"/>
        </w:rPr>
        <w:t>адает</w:t>
      </w:r>
      <w:proofErr w:type="spellEnd"/>
      <w:r w:rsidRPr="00BB30E3">
        <w:rPr>
          <w:szCs w:val="28"/>
        </w:rPr>
        <w:t xml:space="preserve"> асимметрию штрафа, а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δ&gt;0</m:t>
            </m:r>
          </m:e>
        </m:eqArr>
      </m:oMath>
      <w:r>
        <w:rPr>
          <w:szCs w:val="28"/>
        </w:rPr>
        <w:t xml:space="preserve"> </w:t>
      </w:r>
      <w:r w:rsidRPr="00BB30E3">
        <w:rPr>
          <w:szCs w:val="28"/>
        </w:rPr>
        <w:t xml:space="preserve">определяет порог перехода от квадратичной к линейной части. Компактная запись через вспомогательную функцию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δ</m:t>
                </m:r>
              </m:sub>
            </m:sSub>
          </m:e>
        </m:eqArr>
      </m:oMath>
      <w:r w:rsidRPr="00C84AEC">
        <w:rPr>
          <w:szCs w:val="28"/>
        </w:rPr>
        <w:t xml:space="preserve"> </w:t>
      </w:r>
      <w:r w:rsidRPr="00BB30E3">
        <w:rPr>
          <w:szCs w:val="28"/>
        </w:rPr>
        <w:t>имеет вид:</w:t>
      </w:r>
    </w:p>
    <w:p w14:paraId="4D05405E" w14:textId="77777777" w:rsidR="003E651D" w:rsidRDefault="00104168" w:rsidP="00F50DE0">
      <w:pPr>
        <w:spacing w:before="40" w:after="120" w:line="360" w:lineRule="auto"/>
        <w:jc w:val="both"/>
        <w:rPr>
          <w:rFonts w:ascii="Courier New" w:hAnsi="Courier New"/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SALF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(e;τ,δ)</m:t>
                  </m:r>
                </m:e>
              </m:func>
              <m:r>
                <w:rPr>
                  <w:rFonts w:ascii="Cambria Math" w:hAnsi="Cambria Math"/>
                  <w:szCs w:val="28"/>
                </w:rPr>
                <m:t>=τ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δ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(e)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{e≥0}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+(1-τ)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δ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(-e)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{e&lt;0}</m:t>
                  </m:r>
                </m:sub>
              </m:sSub>
            </m:e>
          </m:eqArr>
        </m:oMath>
      </m:oMathPara>
    </w:p>
    <w:p w14:paraId="5D832AAB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δ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8"/>
                    </w:rPr>
                    <m:t>(u)</m:t>
                  </m:r>
                </m:e>
              </m:func>
              <m:r>
                <w:rPr>
                  <w:rFonts w:ascii="Cambria Math" w:hAnsi="Cambria Math"/>
                  <w:szCs w:val="28"/>
                </w:rPr>
                <m:t>={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0≤u≤δ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δ(u-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</w:rPr>
                      <m:t>δ),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u&gt;δ</m:t>
                    </m:r>
                  </m:e>
                </m:mr>
              </m:m>
            </m:e>
          </m:eqArr>
        </m:oMath>
      </m:oMathPara>
    </w:p>
    <w:p w14:paraId="0C08B7C5" w14:textId="77777777" w:rsidR="003E651D" w:rsidRPr="00F112C1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Для градиентной оптимизации полезно явно выписать производную по предсказанию. Если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eqArr>
      </m:oMath>
      <w:r w:rsidRPr="00BB30E3">
        <w:rPr>
          <w:szCs w:val="28"/>
        </w:rPr>
        <w:t>, то</w:t>
      </w:r>
    </w:p>
    <w:p w14:paraId="457EA548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SALF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y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SALF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eqArr>
        </m:oMath>
      </m:oMathPara>
    </w:p>
    <w:p w14:paraId="26979526" w14:textId="77777777" w:rsid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Внутри квадратичных областей вторая производная по ошибке ограничена:</w:t>
      </w:r>
    </w:p>
    <w:p w14:paraId="20418C0D" w14:textId="77777777" w:rsidR="003E651D" w:rsidRDefault="003E651D" w:rsidP="00F50DE0">
      <w:pPr>
        <w:spacing w:before="40" w:after="120" w:line="360" w:lineRule="auto"/>
        <w:jc w:val="both"/>
        <w:rPr>
          <w:szCs w:val="28"/>
        </w:rPr>
      </w:pPr>
      <w:r>
        <w:rPr>
          <w:rFonts w:ascii="Courier New" w:hAnsi="Courier New"/>
          <w:noProof/>
          <w:szCs w:val="28"/>
        </w:rPr>
        <w:drawing>
          <wp:inline distT="0" distB="0" distL="0" distR="0" wp14:anchorId="643F5A18" wp14:editId="6D7042AD">
            <wp:extent cx="2419350" cy="476250"/>
            <wp:effectExtent l="0" t="0" r="0" b="0"/>
            <wp:docPr id="3" name="Рисунок 3" descr="C:\Users\Vladislav\AppData\Local\Microsoft\Windows\INetCache\Content.MSO\DBEC41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ladislav\AppData\Local\Microsoft\Windows\INetCache\Content.MSO\DBEC413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9FE0" w14:textId="77777777" w:rsidR="003E651D" w:rsidRPr="00BB30E3" w:rsidRDefault="003E651D" w:rsidP="00F50DE0">
      <w:pPr>
        <w:spacing w:before="40" w:after="120" w:line="360" w:lineRule="auto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6BADFA3" wp14:editId="4A221C33">
            <wp:extent cx="2952750" cy="476250"/>
            <wp:effectExtent l="0" t="0" r="0" b="0"/>
            <wp:docPr id="4" name="Рисунок 4" descr="C:\Users\Vladislav\AppData\Local\Microsoft\Windows\INetCache\Content.MSO\54B1C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ladislav\AppData\Local\Microsoft\Windows\INetCache\Content.MSO\54B1CA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FCFC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lastRenderedPageBreak/>
        <w:t>Следовательно, кривизна функционала на кусочно-гладких участках ограничена, что улучшает численную устойчивость итерационного процесса. Функция и ее первая производная непрерывны в точках e = 0 и e = ±δ, поэтому переходы между режимами штрафа не создают разрывов в градиенте.</w:t>
      </w:r>
    </w:p>
    <w:p w14:paraId="33A93A9F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В частности, выполняются соотношения непрерывности:</w:t>
      </w:r>
    </w:p>
    <w:p w14:paraId="7E3AAEE3" w14:textId="77777777" w:rsidR="003E651D" w:rsidRPr="00D832E8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  <w:szCs w:val="28"/>
                    </w:rPr>
                  </m:ctrlPr>
                </m:limLowPr>
                <m:e>
                  <m:r>
                    <w:rPr>
                      <w:rFonts w:ascii="Cambria Math" w:hAnsi="Cambria Math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e→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SALF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szCs w:val="28"/>
                    </w:rPr>
                  </m:ctrlPr>
                </m:limLowPr>
                <m:e>
                  <m:r>
                    <w:rPr>
                      <w:rFonts w:ascii="Cambria Math" w:hAnsi="Cambria Math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e→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SALF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,</m:t>
              </m:r>
              <m:limLow>
                <m:limLowPr>
                  <m:ctrlPr>
                    <w:rPr>
                      <w:rFonts w:ascii="Cambria Math" w:hAnsi="Cambria Math"/>
                      <w:szCs w:val="28"/>
                    </w:rPr>
                  </m:ctrlPr>
                </m:limLowPr>
                <m:e>
                  <m:r>
                    <w:rPr>
                      <w:rFonts w:ascii="Cambria Math" w:hAnsi="Cambria Math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e→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SALF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szCs w:val="28"/>
                    </w:rPr>
                  </m:ctrlPr>
                </m:limLowPr>
                <m:e>
                  <m:r>
                    <w:rPr>
                      <w:rFonts w:ascii="Cambria Math" w:hAnsi="Cambria Math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e→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SALF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</m:d>
            </m:e>
          </m:eqArr>
        </m:oMath>
      </m:oMathPara>
    </w:p>
    <w:p w14:paraId="2C544575" w14:textId="77777777" w:rsidR="003E651D" w:rsidRPr="00D832E8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Таким образом, SALF остается выпуклой по переменной ошибки e, а при стандартных предположениях о дифференцируемости модели по параметрам допускает устойчивую постановку задачи градиентного обучения.</w:t>
      </w:r>
    </w:p>
    <w:p w14:paraId="37F9713F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Регуляризация и снижение дублирования ветвей</w:t>
      </w:r>
    </w:p>
    <w:p w14:paraId="777A4C42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Пусть векторы выходов линейной и ансамблевой ветвей на всей обучающей выборке обозначены через</w:t>
      </w:r>
    </w:p>
    <w:p w14:paraId="29CC8008" w14:textId="77777777" w:rsidR="003E651D" w:rsidRDefault="00104168" w:rsidP="00F50DE0">
      <w:pPr>
        <w:spacing w:before="40" w:after="120" w:line="360" w:lineRule="auto"/>
        <w:jc w:val="both"/>
        <w:rPr>
          <w:rFonts w:ascii="Courier New" w:hAnsi="Courier New"/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lin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lin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;W,b),…,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lin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;W,b)]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⊤</m:t>
                  </m:r>
                </m:sup>
              </m:sSup>
            </m:e>
          </m:eqArr>
        </m:oMath>
      </m:oMathPara>
    </w:p>
    <w:p w14:paraId="255876B8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ens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ens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Φ</m:t>
                  </m:r>
                  <m:r>
                    <w:rPr>
                      <w:rFonts w:ascii="Cambria Math" w:hAnsi="Cambria Math"/>
                      <w:szCs w:val="28"/>
                    </w:rPr>
                    <m:t>),…,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ens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Φ</m:t>
                  </m:r>
                  <m:r>
                    <w:rPr>
                      <w:rFonts w:ascii="Cambria Math" w:hAnsi="Cambria Math"/>
                      <w:szCs w:val="28"/>
                    </w:rPr>
                    <m:t>)]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⊤</m:t>
                  </m:r>
                </m:sup>
              </m:sSup>
            </m:e>
          </m:eqArr>
        </m:oMath>
      </m:oMathPara>
    </w:p>
    <w:p w14:paraId="4DCF3314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Для подавления избыточного дублирования между ветвями вводится комбинированный </w:t>
      </w:r>
      <w:proofErr w:type="spellStart"/>
      <w:r w:rsidRPr="00BB30E3">
        <w:rPr>
          <w:szCs w:val="28"/>
        </w:rPr>
        <w:t>регуляризатор</w:t>
      </w:r>
      <w:proofErr w:type="spellEnd"/>
      <w:r w:rsidRPr="00BB30E3">
        <w:rPr>
          <w:szCs w:val="28"/>
        </w:rPr>
        <w:t>:</w:t>
      </w:r>
    </w:p>
    <w:p w14:paraId="20E775FC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</m:t>
              </m:r>
              <m:r>
                <w:rPr>
                  <w:rFonts w:ascii="Cambria Math" w:hAnsi="Cambria Math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Θ</m:t>
              </m:r>
              <m:r>
                <w:rPr>
                  <w:rFonts w:ascii="Cambria Math" w:hAnsi="Cambria Math"/>
                  <w:szCs w:val="2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‖W</m:t>
              </m:r>
              <m:sSubSup>
                <m:sSubSupPr>
                  <m:ctrlPr>
                    <w:rPr>
                      <w:rFonts w:ascii="Cambria Math" w:hAnsi="Cambria Math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‖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lin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⊤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ens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(‖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lin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‖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+ε)(‖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ens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‖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+ε)</m:t>
                  </m:r>
                </m:den>
              </m:f>
            </m:e>
          </m:eqArr>
        </m:oMath>
      </m:oMathPara>
    </w:p>
    <w:p w14:paraId="6AA617B7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Первое слагаемое является стандартной L2-регуляризацией линейной части, а второе штрафует косинусное сходство выходов ветвей и тем самым снижает их корреляцию. Использование константы </w:t>
      </w:r>
      <w:proofErr w:type="gramStart"/>
      <w:r w:rsidRPr="00BB30E3">
        <w:rPr>
          <w:szCs w:val="28"/>
        </w:rPr>
        <w:t>ε &gt;</w:t>
      </w:r>
      <w:proofErr w:type="gramEnd"/>
      <w:r w:rsidRPr="00BB30E3">
        <w:rPr>
          <w:szCs w:val="28"/>
        </w:rPr>
        <w:t xml:space="preserve"> 0 обеспечивает вычислительную стабильность при малых нормах выходов.</w:t>
      </w:r>
    </w:p>
    <w:p w14:paraId="00E8B927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В качестве альтернативной формы может рассматриваться центрированный штраф на сходство, основанный на центрированных выходах ветвей. В общем виде его можно записать как штраф </w:t>
      </w:r>
      <w:proofErr w:type="gramStart"/>
      <w:r w:rsidRPr="00BB30E3">
        <w:rPr>
          <w:szCs w:val="28"/>
        </w:rPr>
        <w:t>Ψ(</w:t>
      </w:r>
      <w:proofErr w:type="spellStart"/>
      <w:proofErr w:type="gramEnd"/>
      <w:r w:rsidRPr="00BB30E3">
        <w:rPr>
          <w:szCs w:val="28"/>
        </w:rPr>
        <w:t>f_lin</w:t>
      </w:r>
      <w:proofErr w:type="spellEnd"/>
      <w:r w:rsidRPr="00BB30E3">
        <w:rPr>
          <w:szCs w:val="28"/>
        </w:rPr>
        <w:t xml:space="preserve">, </w:t>
      </w:r>
      <w:proofErr w:type="spellStart"/>
      <w:r w:rsidRPr="00BB30E3">
        <w:rPr>
          <w:szCs w:val="28"/>
        </w:rPr>
        <w:t>f_ens</w:t>
      </w:r>
      <w:proofErr w:type="spellEnd"/>
      <w:r w:rsidRPr="00BB30E3">
        <w:rPr>
          <w:szCs w:val="28"/>
        </w:rPr>
        <w:t>), включаемый в градиентный шаг:</w:t>
      </w:r>
    </w:p>
    <w:p w14:paraId="7B13AF55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</m:t>
              </m:r>
              <m:r>
                <w:rPr>
                  <w:rFonts w:ascii="Cambria Math" w:hAnsi="Cambria Math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Θ</m:t>
              </m:r>
              <m:r>
                <w:rPr>
                  <w:rFonts w:ascii="Cambria Math" w:hAnsi="Cambria Math"/>
                  <w:szCs w:val="28"/>
                </w:rPr>
                <m:t>)=2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W+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Ψ</m:t>
              </m:r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lin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ens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e>
          </m:eqArr>
        </m:oMath>
      </m:oMathPara>
    </w:p>
    <w:p w14:paraId="3D3A497D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Даже в схематическом виде это подчеркивает, что </w:t>
      </w:r>
      <w:proofErr w:type="spellStart"/>
      <w:r w:rsidRPr="00BB30E3">
        <w:rPr>
          <w:szCs w:val="28"/>
        </w:rPr>
        <w:t>регуляризатор</w:t>
      </w:r>
      <w:proofErr w:type="spellEnd"/>
      <w:r w:rsidRPr="00BB30E3">
        <w:rPr>
          <w:szCs w:val="28"/>
        </w:rPr>
        <w:t xml:space="preserve"> непосредственно участвует в обновлении параметров модели, а не добавляется к функционалу формально.</w:t>
      </w:r>
    </w:p>
    <w:p w14:paraId="00221E4D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Численный метод оптимизации параметров</w:t>
      </w:r>
    </w:p>
    <w:p w14:paraId="37F113F0" w14:textId="77777777" w:rsid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Общая задача обучения является невыпуклой по совокупности параметров Θ = {W, b, Φ, γ}, поэтому используется поэтапная процедура. На первом этапе обучается линейная ветвь:</w:t>
      </w:r>
    </w:p>
    <w:p w14:paraId="3696BF39" w14:textId="77777777" w:rsidR="003E651D" w:rsidRPr="00BB30E3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(0)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(0)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Low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W,b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[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SALF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⁡(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⊤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+b)</m:t>
                          </m:r>
                        </m:e>
                      </m:nary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‖W‖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8"/>
                        </w:rPr>
                        <m:t>]</m:t>
                      </m:r>
                    </m:e>
                  </m:func>
                </m:e>
              </m:func>
            </m:e>
          </m:eqArr>
        </m:oMath>
      </m:oMathPara>
    </w:p>
    <w:p w14:paraId="5032B82F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На втором этапе обучается корректирующая ветвь на невязках, как указано выше. На третьем этапе фиксируются W</w:t>
      </w:r>
      <w:proofErr w:type="gramStart"/>
      <w:r w:rsidRPr="00BB30E3">
        <w:rPr>
          <w:szCs w:val="28"/>
        </w:rPr>
        <w:t>^(</w:t>
      </w:r>
      <w:proofErr w:type="gramEnd"/>
      <w:r w:rsidRPr="00BB30E3">
        <w:rPr>
          <w:szCs w:val="28"/>
        </w:rPr>
        <w:t>0), b^(0), Φ^(0) и настраивается параметр маршрутизатора:</w:t>
      </w:r>
    </w:p>
    <w:p w14:paraId="44D0D20B" w14:textId="77777777" w:rsidR="003E651D" w:rsidRPr="00BB30E3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(0)</m:t>
                </m:r>
              </m:sup>
            </m:sSup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arg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  <w:szCs w:val="28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Cs w:val="28"/>
                          </w:rPr>
                          <m:t>γ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SALF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⁡(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lin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;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(0)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(0)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)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σ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γ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⊤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)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ens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;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(0)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)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Cs w:val="28"/>
                          </w:rPr>
                          <m:t>)</m:t>
                        </m:r>
                      </m:e>
                    </m:nary>
                  </m:e>
                </m:func>
              </m:e>
            </m:func>
          </m:e>
        </m:eqArr>
      </m:oMath>
      <w:r w:rsidR="003E651D" w:rsidRPr="00BB30E3">
        <w:rPr>
          <w:szCs w:val="28"/>
        </w:rPr>
        <w:t>После этого выполняется совместная тонкая настройка всех параметров. Общий итерационный шаг может быть записан как</w:t>
      </w:r>
    </w:p>
    <w:p w14:paraId="1A16CA36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(t+1)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  <m:limUpp>
                <m:limUppPr>
                  <m:ctrlPr>
                    <w:rPr>
                      <w:rFonts w:ascii="Cambria Math" w:hAnsi="Cambria Math"/>
                      <w:szCs w:val="28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∇</m:t>
                  </m:r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^</m:t>
                  </m:r>
                </m:lim>
              </m:limUpp>
              <m:r>
                <w:rPr>
                  <w:rFonts w:ascii="Cambria Math" w:hAnsi="Cambria Math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)</m:t>
              </m:r>
            </m:e>
          </m:eqArr>
        </m:oMath>
      </m:oMathPara>
    </w:p>
    <w:p w14:paraId="775847C4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где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ĝJ</m:t>
            </m:r>
          </m:e>
        </m:eqArr>
      </m:oMath>
      <w:r w:rsidRPr="00BB30E3">
        <w:rPr>
          <w:szCs w:val="28"/>
        </w:rPr>
        <w:t xml:space="preserve"> - стохастическая оценка градиента целевого функционала J(Θ). Для ключевых блоков полезно явно указать частные производные. Для маршрутизатора:</w:t>
      </w:r>
    </w:p>
    <w:p w14:paraId="10C6155B" w14:textId="77777777" w:rsidR="003E651D" w:rsidRPr="00396097" w:rsidRDefault="00104168" w:rsidP="00F50DE0">
      <w:pPr>
        <w:spacing w:before="40" w:after="120" w:line="360" w:lineRule="auto"/>
        <w:jc w:val="both"/>
        <w:rPr>
          <w:rFonts w:ascii="Courier New" w:hAnsi="Courier New"/>
          <w:szCs w:val="28"/>
        </w:rPr>
      </w:pP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σ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γ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⊤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func>
            <m:r>
              <w:rPr>
                <w:rFonts w:ascii="Cambria Math" w:hAnsi="Cambria Math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8"/>
                  </w:rPr>
                  <m:t>∂γ</m:t>
                </m:r>
              </m:den>
            </m:f>
            <m: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(1-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eqArr>
      </m:oMath>
      <w:r w:rsidR="003E651D" w:rsidRPr="00396097">
        <w:rPr>
          <w:rFonts w:ascii="Courier New" w:hAnsi="Courier New"/>
          <w:szCs w:val="28"/>
        </w:rPr>
        <w:t xml:space="preserve">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y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Cs w:val="28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8"/>
                  </w:rPr>
                  <m:t>∂γ</m:t>
                </m:r>
              </m:den>
            </m:f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ens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;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Φ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func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(1-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eqArr>
      </m:oMath>
    </w:p>
    <w:p w14:paraId="1A2DEDF2" w14:textId="77777777" w:rsidR="003E651D" w:rsidRPr="00BB30E3" w:rsidRDefault="003E651D" w:rsidP="00F50DE0">
      <w:pPr>
        <w:spacing w:before="40" w:after="120" w:line="360" w:lineRule="auto"/>
        <w:jc w:val="both"/>
        <w:rPr>
          <w:szCs w:val="28"/>
        </w:rPr>
      </w:pPr>
      <w:r w:rsidRPr="00BB30E3">
        <w:rPr>
          <w:szCs w:val="28"/>
        </w:rPr>
        <w:t>Для линейной ветви:</w:t>
      </w:r>
    </w:p>
    <w:p w14:paraId="6F0E24FE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y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∂W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y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∂b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=1</m:t>
              </m:r>
            </m:e>
          </m:eqArr>
        </m:oMath>
      </m:oMathPara>
    </w:p>
    <w:p w14:paraId="0CAE1A70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lastRenderedPageBreak/>
        <w:t xml:space="preserve">Эти выражения обосновывают использование </w:t>
      </w:r>
      <w:proofErr w:type="spellStart"/>
      <w:r w:rsidRPr="00BB30E3">
        <w:rPr>
          <w:szCs w:val="28"/>
        </w:rPr>
        <w:t>квазиньютоновской</w:t>
      </w:r>
      <w:proofErr w:type="spellEnd"/>
      <w:r w:rsidRPr="00BB30E3">
        <w:rPr>
          <w:szCs w:val="28"/>
        </w:rPr>
        <w:t xml:space="preserve"> настройки маршрутизатора на промежуточном этапе и адаптивных методов первого порядка на этапе совместной </w:t>
      </w:r>
      <w:proofErr w:type="spellStart"/>
      <w:r w:rsidRPr="00BB30E3">
        <w:rPr>
          <w:szCs w:val="28"/>
        </w:rPr>
        <w:t>донастройки</w:t>
      </w:r>
      <w:proofErr w:type="spellEnd"/>
      <w:r w:rsidRPr="00BB30E3">
        <w:rPr>
          <w:szCs w:val="28"/>
        </w:rPr>
        <w:t>. Практически это уменьшает чувствительность к инициализации и снижает риск раннего доминирования одной из ветвей.</w:t>
      </w:r>
    </w:p>
    <w:p w14:paraId="0E38FF66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Псевдокод алгоритма и вычислительная сложность</w:t>
      </w:r>
    </w:p>
    <w:p w14:paraId="3BAAB52F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Алгоритм обучения может быть представлен следующей последовательностью шагов: (1) нормализация признаков; (2) обучение линейной ветви; (3) расчет невязок; (4) обучение ансамблевой ветви на невязках; (5) инициализация и настройка параметров маршрутизатора; (6) совместный </w:t>
      </w:r>
      <w:proofErr w:type="spellStart"/>
      <w:r w:rsidRPr="00BB30E3">
        <w:rPr>
          <w:szCs w:val="28"/>
        </w:rPr>
        <w:t>fine-tuning</w:t>
      </w:r>
      <w:proofErr w:type="spellEnd"/>
      <w:r w:rsidRPr="00BB30E3">
        <w:rPr>
          <w:szCs w:val="28"/>
        </w:rPr>
        <w:t xml:space="preserve"> всех параметров; (7) расчет прогностических метрик на </w:t>
      </w:r>
      <w:proofErr w:type="spellStart"/>
      <w:r w:rsidRPr="00BB30E3">
        <w:rPr>
          <w:szCs w:val="28"/>
        </w:rPr>
        <w:t>валидационных</w:t>
      </w:r>
      <w:proofErr w:type="spellEnd"/>
      <w:r w:rsidRPr="00BB30E3">
        <w:rPr>
          <w:szCs w:val="28"/>
        </w:rPr>
        <w:t xml:space="preserve"> </w:t>
      </w:r>
      <w:proofErr w:type="spellStart"/>
      <w:r w:rsidRPr="00BB30E3">
        <w:rPr>
          <w:szCs w:val="28"/>
        </w:rPr>
        <w:t>подвыборках</w:t>
      </w:r>
      <w:proofErr w:type="spellEnd"/>
      <w:r w:rsidRPr="00BB30E3">
        <w:rPr>
          <w:szCs w:val="28"/>
        </w:rPr>
        <w:t>.</w:t>
      </w:r>
    </w:p>
    <w:p w14:paraId="1EF5B0B5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Полная вычислительная стоимость цикла обучения может быть представлена как сумма затрат отдельных этапов:</w:t>
      </w:r>
    </w:p>
    <w:p w14:paraId="5288C10E" w14:textId="77777777" w:rsidR="003E651D" w:rsidRDefault="00104168" w:rsidP="00F50DE0">
      <w:pPr>
        <w:spacing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lin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ens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gate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joint</m:t>
                  </m:r>
                </m:sub>
              </m:sSub>
            </m:e>
          </m:eqArr>
        </m:oMath>
      </m:oMathPara>
    </w:p>
    <w:p w14:paraId="636323DB" w14:textId="77777777" w:rsidR="003E651D" w:rsidRPr="00BB30E3" w:rsidRDefault="003E651D" w:rsidP="00F50DE0">
      <w:pPr>
        <w:spacing w:after="120" w:line="360" w:lineRule="auto"/>
        <w:jc w:val="both"/>
        <w:rPr>
          <w:szCs w:val="28"/>
        </w:rPr>
      </w:pPr>
      <w:r w:rsidRPr="00BB30E3">
        <w:rPr>
          <w:szCs w:val="28"/>
        </w:rPr>
        <w:t>В упрощенной оценке для линейной и маршрутизирующей подзадач:</w:t>
      </w:r>
    </w:p>
    <w:p w14:paraId="6D63665E" w14:textId="77777777" w:rsidR="003E651D" w:rsidRPr="00BB30E3" w:rsidRDefault="00104168" w:rsidP="00F50DE0">
      <w:pPr>
        <w:spacing w:after="120" w:line="360" w:lineRule="auto"/>
        <w:jc w:val="both"/>
        <w:rPr>
          <w:szCs w:val="28"/>
        </w:rPr>
      </w:pP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lin</m:t>
                </m:r>
              </m:sub>
            </m:sSub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O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Nn)</m:t>
                </m:r>
              </m:e>
            </m:func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gate</m:t>
                </m:r>
              </m:sub>
            </m:sSub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O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Nn)</m:t>
                </m:r>
              </m:e>
            </m:func>
          </m:e>
        </m:eqArr>
        <m:r>
          <w:rPr>
            <w:rFonts w:ascii="Cambria Math" w:hAnsi="Cambria Math"/>
            <w:szCs w:val="28"/>
          </w:rPr>
          <m:t xml:space="preserve"> , </m:t>
        </m:r>
      </m:oMath>
      <w:r w:rsidR="003E651D" w:rsidRPr="00BB30E3">
        <w:rPr>
          <w:szCs w:val="28"/>
        </w:rPr>
        <w:t>где E_1 и E_2 - число итераций соответствующих оптимизационных процедур. Стоимость прогноза для одного пациента после обучения определяется как</w:t>
      </w:r>
    </w:p>
    <w:p w14:paraId="195B0DE0" w14:textId="77777777" w:rsidR="003E651D" w:rsidRPr="00BB30E3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pred</m:t>
                </m:r>
              </m:sub>
            </m:sSub>
            <m:r>
              <w:rPr>
                <w:rFonts w:ascii="Cambria Math" w:hAnsi="Cambria Math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O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(n)</m:t>
                </m:r>
              </m:e>
            </m:func>
            <m:r>
              <w:rPr>
                <w:rFonts w:ascii="Cambria Math" w:hAnsi="Cambria Math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Cs w:val="28"/>
                  </w:rPr>
                  <m:t>O</m:t>
                </m:r>
              </m:fName>
              <m:e>
                <m:r>
                  <w:rPr>
                    <w:rFonts w:ascii="Cambria Math" w:hAnsi="Cambria Math"/>
                    <w:szCs w:val="28"/>
                  </w:rPr>
                  <m:t>(n)</m:t>
                </m:r>
              </m:e>
            </m:func>
            <m:r>
              <w:rPr>
                <w:rFonts w:ascii="Cambria Math" w:hAnsi="Cambria Math"/>
                <w:szCs w:val="28"/>
              </w:rPr>
              <m:t>+O⁡(</m:t>
            </m:r>
            <m:sSubSup>
              <m:sSubSupPr>
                <m:ctrlPr>
                  <w:rPr>
                    <w:rFonts w:ascii="Cambria Math" w:hAnsi="Cambria Math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ens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(1)</m:t>
                </m:r>
              </m:sup>
            </m:sSubSup>
            <m:r>
              <w:rPr>
                <w:rFonts w:ascii="Cambria Math" w:hAnsi="Cambria Math"/>
                <w:szCs w:val="28"/>
              </w:rPr>
              <m:t>)</m:t>
            </m:r>
          </m:e>
        </m:eqArr>
      </m:oMath>
      <w:r w:rsidR="003E651D">
        <w:rPr>
          <w:szCs w:val="28"/>
        </w:rPr>
        <w:t xml:space="preserve"> </w:t>
      </w:r>
      <w:r w:rsidR="003E651D" w:rsidRPr="00BB30E3">
        <w:rPr>
          <w:szCs w:val="28"/>
        </w:rPr>
        <w:t xml:space="preserve">где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Sup>
              <m:sSubSupPr>
                <m:ctrlPr>
                  <w:rPr>
                    <w:rFonts w:ascii="Cambria Math" w:hAnsi="Cambria Math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ens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(1)</m:t>
                </m:r>
              </m:sup>
            </m:sSubSup>
          </m:e>
        </m:eqArr>
      </m:oMath>
      <w:r w:rsidR="003E651D" w:rsidRPr="00BB30E3">
        <w:rPr>
          <w:szCs w:val="28"/>
        </w:rPr>
        <w:t xml:space="preserve"> обозначает стоимость одного вызова ансамблевой ветви. Такая оценка показывает, что после обучения схема может использоваться в режиме, близком к реальному времени, при умеренной размерности признакового пространства.</w:t>
      </w:r>
    </w:p>
    <w:p w14:paraId="5530093D" w14:textId="77777777" w:rsidR="003E651D" w:rsidRPr="00FB5591" w:rsidRDefault="003E651D" w:rsidP="00F50DE0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FB5591">
        <w:rPr>
          <w:rFonts w:ascii="Times New Roman" w:hAnsi="Times New Roman" w:cs="Times New Roman"/>
          <w:color w:val="auto"/>
          <w:sz w:val="28"/>
          <w:lang w:val="ru-RU"/>
        </w:rPr>
        <w:t>Схема вычислительного эксперимента и критерии оценки</w:t>
      </w:r>
    </w:p>
    <w:p w14:paraId="2EDF5236" w14:textId="77777777" w:rsid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Для сравнения гибридной модели с базовыми алгоритмами используется k-кратная кросс-валидация. Оценка проводится не только по стандартным </w:t>
      </w:r>
      <w:r w:rsidRPr="00BB30E3">
        <w:rPr>
          <w:szCs w:val="28"/>
        </w:rPr>
        <w:lastRenderedPageBreak/>
        <w:t xml:space="preserve">метрикам MAE и R^2, но и по критериям, чувствительным к </w:t>
      </w:r>
      <w:proofErr w:type="spellStart"/>
      <w:r w:rsidRPr="00BB30E3">
        <w:rPr>
          <w:szCs w:val="28"/>
        </w:rPr>
        <w:t>высокорисковой</w:t>
      </w:r>
      <w:proofErr w:type="spellEnd"/>
      <w:r w:rsidRPr="00BB30E3">
        <w:rPr>
          <w:szCs w:val="28"/>
        </w:rPr>
        <w:t xml:space="preserve"> группе </w:t>
      </w:r>
      <w:proofErr w:type="gramStart"/>
      <w:r w:rsidRPr="00BB30E3">
        <w:rPr>
          <w:szCs w:val="28"/>
        </w:rPr>
        <w:t>пациентов.</w:t>
      </w:r>
      <w:r w:rsidRPr="00114B22">
        <w:rPr>
          <w:szCs w:val="28"/>
        </w:rPr>
        <w:t>[</w:t>
      </w:r>
      <w:proofErr w:type="gramEnd"/>
      <w:r w:rsidRPr="00114B22">
        <w:rPr>
          <w:szCs w:val="28"/>
        </w:rPr>
        <w:t xml:space="preserve">4] </w:t>
      </w:r>
      <w:r w:rsidRPr="00BB30E3">
        <w:rPr>
          <w:szCs w:val="28"/>
        </w:rPr>
        <w:t>В частности, удобно использовать взвешенную абсолютную ошибку:</w:t>
      </w:r>
    </w:p>
    <w:p w14:paraId="4861AE6B" w14:textId="77777777" w:rsidR="003E651D" w:rsidRPr="002E4786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WMAE</m:t>
              </m:r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Cs w:val="28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|</m:t>
              </m:r>
            </m:e>
          </m:eqArr>
        </m:oMath>
      </m:oMathPara>
    </w:p>
    <w:p w14:paraId="666D1FAD" w14:textId="77777777" w:rsidR="003E651D" w:rsidRDefault="00104168" w:rsidP="00F50DE0">
      <w:pPr>
        <w:spacing w:after="120" w:line="360" w:lineRule="auto"/>
        <w:jc w:val="both"/>
        <w:rPr>
          <w:szCs w:val="28"/>
        </w:rPr>
      </w:pP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={</m:t>
            </m:r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high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crit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1,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crit</m:t>
                      </m:r>
                    </m:sub>
                  </m:sSub>
                </m:e>
              </m:mr>
            </m:m>
          </m:e>
        </m:eqArr>
      </m:oMath>
      <w:r w:rsidR="003E651D">
        <w:rPr>
          <w:szCs w:val="28"/>
        </w:rPr>
        <w:t xml:space="preserve"> </w:t>
      </w:r>
    </w:p>
    <w:p w14:paraId="036523C4" w14:textId="77777777" w:rsidR="003E651D" w:rsidRPr="002E4786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Для выделения случаев быстрого прогрессирования вводится бинарная индикаторная переменная:</w:t>
      </w:r>
    </w:p>
    <w:p w14:paraId="5A19C99A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crit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}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z</m:t>
                      </m:r>
                    </m:e>
                    <m:lim>
                      <m:r>
                        <w:rPr>
                          <w:rFonts w:ascii="Cambria Math" w:hAnsi="Cambria Math"/>
                          <w:szCs w:val="28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y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crit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}</m:t>
                  </m:r>
                </m:sub>
              </m:sSub>
            </m:e>
          </m:eqArr>
        </m:oMath>
      </m:oMathPara>
    </w:p>
    <w:p w14:paraId="2A580A04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Тогда доля пропущенных случаев (</w:t>
      </w:r>
      <w:proofErr w:type="spellStart"/>
      <w:r w:rsidRPr="00BB30E3">
        <w:rPr>
          <w:szCs w:val="28"/>
        </w:rPr>
        <w:t>False</w:t>
      </w:r>
      <w:proofErr w:type="spellEnd"/>
      <w:r w:rsidRPr="00BB30E3">
        <w:rPr>
          <w:szCs w:val="28"/>
        </w:rPr>
        <w:t xml:space="preserve"> </w:t>
      </w:r>
      <w:proofErr w:type="spellStart"/>
      <w:r w:rsidRPr="00BB30E3">
        <w:rPr>
          <w:szCs w:val="28"/>
        </w:rPr>
        <w:t>Negative</w:t>
      </w:r>
      <w:proofErr w:type="spellEnd"/>
      <w:r w:rsidRPr="00BB30E3">
        <w:rPr>
          <w:szCs w:val="28"/>
        </w:rPr>
        <w:t xml:space="preserve"> </w:t>
      </w:r>
      <w:proofErr w:type="spellStart"/>
      <w:r w:rsidRPr="00BB30E3">
        <w:rPr>
          <w:szCs w:val="28"/>
        </w:rPr>
        <w:t>Rate</w:t>
      </w:r>
      <w:proofErr w:type="spellEnd"/>
      <w:r w:rsidRPr="00BB30E3">
        <w:rPr>
          <w:szCs w:val="28"/>
        </w:rPr>
        <w:t>) записывается стандартно:</w:t>
      </w:r>
    </w:p>
    <w:p w14:paraId="0E84F29B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FNR</m:t>
              </m:r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FN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FN</m:t>
                  </m:r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TP</m:t>
                  </m:r>
                </m:den>
              </m:f>
            </m:e>
          </m:eqArr>
        </m:oMath>
      </m:oMathPara>
    </w:p>
    <w:p w14:paraId="1D5BCBCC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При анализе результатов по K </w:t>
      </w:r>
      <w:proofErr w:type="spellStart"/>
      <w:r w:rsidRPr="00BB30E3">
        <w:rPr>
          <w:szCs w:val="28"/>
        </w:rPr>
        <w:t>фолдам</w:t>
      </w:r>
      <w:proofErr w:type="spellEnd"/>
      <w:r w:rsidRPr="00BB30E3">
        <w:rPr>
          <w:szCs w:val="28"/>
        </w:rPr>
        <w:t xml:space="preserve"> среднее значение метрики и ее выборочное стандартное отклонение рассчитываются как</w:t>
      </w:r>
    </w:p>
    <w:p w14:paraId="65A62062" w14:textId="77777777" w:rsidR="003E651D" w:rsidRPr="00BB30E3" w:rsidRDefault="00104168" w:rsidP="00F50DE0">
      <w:pPr>
        <w:spacing w:before="40" w:after="120" w:line="360" w:lineRule="auto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hAnsi="Cambria Math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</m:bar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Cs w:val="28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e>
          </m:eqArr>
        </m:oMath>
      </m:oMathPara>
    </w:p>
    <w:p w14:paraId="3135302F" w14:textId="77777777" w:rsidR="003E651D" w:rsidRDefault="00104168" w:rsidP="00F50DE0">
      <w:pPr>
        <w:spacing w:after="120" w:line="360" w:lineRule="auto"/>
        <w:ind w:firstLine="709"/>
        <w:jc w:val="both"/>
        <w:rPr>
          <w:szCs w:val="28"/>
        </w:rPr>
      </w:pPr>
      <m:oMathPara>
        <m:oMath>
          <m:eqArr>
            <m:eqArrPr>
              <m:ctrlPr>
                <w:rPr>
                  <w:rFonts w:ascii="Cambria Math" w:hAnsi="Cambria Math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K-1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 xml:space="preserve"> </m:t>
                      </m:r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e>
              </m:rad>
            </m:e>
          </m:eqArr>
        </m:oMath>
      </m:oMathPara>
    </w:p>
    <w:p w14:paraId="60865A15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>Такое оформление блока валидации делает статистическую часть статьи более строгой и связывает численные результаты с клинически значимыми ошибками прогноза.</w:t>
      </w:r>
    </w:p>
    <w:p w14:paraId="1D3ABDC2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Апробация вычислительной схемы </w:t>
      </w:r>
    </w:p>
    <w:p w14:paraId="718E850E" w14:textId="77777777" w:rsidR="003E651D" w:rsidRPr="00396097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396097">
        <w:rPr>
          <w:szCs w:val="28"/>
        </w:rPr>
        <w:t>Для первичной апробации предложенной вычислительной схемы предполагается использование открытого табличного офтальмологического набора данных, содержащего демографические, биометрические и анамнестические признаки пациентов. Следует отметить, что данный набор не представляет собой полноценное продольное клиническое исследование и потому используется не как окончательная эмпирическая база для моделирования индивидуальной скорости прогрессирования миопии, а как демонстрационный корпус для проверки переносимости предложенной математико-вычислительной схемы на смежную задачу офтальмологического прогноза.</w:t>
      </w:r>
    </w:p>
    <w:p w14:paraId="45C3D446" w14:textId="03FFFD9A" w:rsidR="003E651D" w:rsidRPr="00396097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396097">
        <w:rPr>
          <w:szCs w:val="28"/>
        </w:rPr>
        <w:t xml:space="preserve">В рамках </w:t>
      </w:r>
      <w:proofErr w:type="spellStart"/>
      <w:r w:rsidRPr="00396097">
        <w:rPr>
          <w:szCs w:val="28"/>
        </w:rPr>
        <w:t>апробационной</w:t>
      </w:r>
      <w:proofErr w:type="spellEnd"/>
      <w:r w:rsidRPr="00396097">
        <w:rPr>
          <w:szCs w:val="28"/>
        </w:rPr>
        <w:t xml:space="preserve"> валидации в качестве базовых моделей целесообразно рассматривать изолированную линейную регрессию (OLS) и градиентный </w:t>
      </w:r>
      <w:proofErr w:type="spellStart"/>
      <w:r w:rsidRPr="00396097">
        <w:rPr>
          <w:szCs w:val="28"/>
        </w:rPr>
        <w:t>бустинг</w:t>
      </w:r>
      <w:proofErr w:type="spellEnd"/>
      <w:r w:rsidRPr="00396097">
        <w:rPr>
          <w:szCs w:val="28"/>
        </w:rPr>
        <w:t xml:space="preserve"> (GBM), а оценку качества выполнять в схеме 5-кратной кросс-валидации. Для сопоставления моделей могут использоваться метрики MAE, R^2, WMAE и FNR для клинически значимой </w:t>
      </w:r>
      <w:proofErr w:type="spellStart"/>
      <w:r w:rsidRPr="00396097">
        <w:rPr>
          <w:szCs w:val="28"/>
        </w:rPr>
        <w:t>высокорисковой</w:t>
      </w:r>
      <w:proofErr w:type="spellEnd"/>
      <w:r w:rsidRPr="00396097">
        <w:rPr>
          <w:szCs w:val="28"/>
        </w:rPr>
        <w:t xml:space="preserve"> зоны. Такая система критериев позволяет анализировать не только среднюю точность, но и чувствительность модели к ошибкам в подгруппе повышенного риска.</w:t>
      </w:r>
    </w:p>
    <w:p w14:paraId="04B3520E" w14:textId="77777777" w:rsidR="003E651D" w:rsidRP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396097">
        <w:rPr>
          <w:szCs w:val="28"/>
        </w:rPr>
        <w:t xml:space="preserve">С теоретической точки зрения предложенная гибридная схема должна быть более устойчивой в </w:t>
      </w:r>
      <w:proofErr w:type="spellStart"/>
      <w:r w:rsidRPr="00396097">
        <w:rPr>
          <w:szCs w:val="28"/>
        </w:rPr>
        <w:t>высокорисковой</w:t>
      </w:r>
      <w:proofErr w:type="spellEnd"/>
      <w:r w:rsidRPr="00396097">
        <w:rPr>
          <w:szCs w:val="28"/>
        </w:rPr>
        <w:t xml:space="preserve"> зоне, поскольку функция SALF усиливает штраф за недооценку прогрессирования, а </w:t>
      </w:r>
      <w:proofErr w:type="spellStart"/>
      <w:r w:rsidRPr="00396097">
        <w:rPr>
          <w:szCs w:val="28"/>
        </w:rPr>
        <w:t>декоррелирующий</w:t>
      </w:r>
      <w:proofErr w:type="spellEnd"/>
      <w:r w:rsidRPr="00396097">
        <w:rPr>
          <w:szCs w:val="28"/>
        </w:rPr>
        <w:t xml:space="preserve"> </w:t>
      </w:r>
      <w:proofErr w:type="spellStart"/>
      <w:r w:rsidRPr="00396097">
        <w:rPr>
          <w:szCs w:val="28"/>
        </w:rPr>
        <w:t>регуляризатор</w:t>
      </w:r>
      <w:proofErr w:type="spellEnd"/>
      <w:r w:rsidRPr="00396097">
        <w:rPr>
          <w:szCs w:val="28"/>
        </w:rPr>
        <w:t xml:space="preserve"> снижает избыточное дублирование между линейной и нелинейной ветвями. Однако количественная проверка данной гипотезы требует отдельной эмпирической валидации на специализированных данных.</w:t>
      </w:r>
    </w:p>
    <w:p w14:paraId="6E5FA7A5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396097">
        <w:rPr>
          <w:szCs w:val="28"/>
        </w:rPr>
        <w:t xml:space="preserve">При последующей прикладной валидации для анализа локальных вкладов признаков могут использоваться методы </w:t>
      </w:r>
      <w:proofErr w:type="spellStart"/>
      <w:r w:rsidRPr="00396097">
        <w:rPr>
          <w:szCs w:val="28"/>
        </w:rPr>
        <w:t>постхок</w:t>
      </w:r>
      <w:proofErr w:type="spellEnd"/>
      <w:r w:rsidRPr="00396097">
        <w:rPr>
          <w:szCs w:val="28"/>
        </w:rPr>
        <w:t xml:space="preserve">-интерпретации, включая SHAP-подобные подходы. Это позволяет дополнительно исследовать, в каких областях признакового пространства маршрутизатор </w:t>
      </w:r>
      <w:r w:rsidRPr="00396097">
        <w:rPr>
          <w:szCs w:val="28"/>
        </w:rPr>
        <w:lastRenderedPageBreak/>
        <w:t>усиливает вклад корректирующей нелинейной ветви, что представляет интерес для анализа сложных клинических случаев.</w:t>
      </w:r>
    </w:p>
    <w:p w14:paraId="66AF467F" w14:textId="77777777" w:rsidR="003E651D" w:rsidRPr="003E651D" w:rsidRDefault="003E651D" w:rsidP="00F50DE0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Обсуждение</w:t>
      </w:r>
    </w:p>
    <w:p w14:paraId="6D306328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Предложенная гибридная схема объединяет интерпретируемость линейной модели и адаптивность нелинейной корректирующей ветви. Ее математическая ценность состоит в том, что все ключевые элементы - функция риска, функция потерь, </w:t>
      </w:r>
      <w:proofErr w:type="spellStart"/>
      <w:r w:rsidRPr="00BB30E3">
        <w:rPr>
          <w:szCs w:val="28"/>
        </w:rPr>
        <w:t>регуляризатор</w:t>
      </w:r>
      <w:proofErr w:type="spellEnd"/>
      <w:r w:rsidRPr="00BB30E3">
        <w:rPr>
          <w:szCs w:val="28"/>
        </w:rPr>
        <w:t xml:space="preserve"> и поэтапный алгоритм обучения - записываются в едином формализованном виде и допускают прямую алгоритмизацию.</w:t>
      </w:r>
    </w:p>
    <w:p w14:paraId="7458DA62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Содержательно важным является сочетание трех механизмов: обучение нелинейной ветви на невязках, риск-чувствительная функция SALF и штраф на корреляцию выходов. Первый механизм снижает систематическую ошибку линейной части, второй учитывает клиническую асимметрию ошибки, а третий уменьшает вероятность того, что обе ветви будут воспроизводить один и тот же отклик. В совокупности это делает модель более устойчивой и более подходящей для задач медицинского прогноза, чем простое </w:t>
      </w:r>
      <w:proofErr w:type="spellStart"/>
      <w:r w:rsidRPr="00BB30E3">
        <w:rPr>
          <w:szCs w:val="28"/>
        </w:rPr>
        <w:t>end-to-end</w:t>
      </w:r>
      <w:proofErr w:type="spellEnd"/>
      <w:r w:rsidRPr="00BB30E3">
        <w:rPr>
          <w:szCs w:val="28"/>
        </w:rPr>
        <w:t xml:space="preserve"> объединение стандартных блоков без дополнительной структуры.</w:t>
      </w:r>
    </w:p>
    <w:p w14:paraId="0FBECE53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Практически данная постановка может быть использована как основа для построения программного модуля в системе поддержки принятия врачебных решений. При этом окончательная калибровка </w:t>
      </w:r>
      <w:proofErr w:type="spellStart"/>
      <w:r w:rsidRPr="00BB30E3">
        <w:rPr>
          <w:szCs w:val="28"/>
        </w:rPr>
        <w:t>гиперпараметров</w:t>
      </w:r>
      <w:proofErr w:type="spellEnd"/>
      <w:r w:rsidRPr="00BB30E3">
        <w:rPr>
          <w:szCs w:val="28"/>
        </w:rPr>
        <w:t xml:space="preserve"> τ,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δ</m:t>
            </m:r>
          </m:e>
        </m:eqArr>
      </m:oMath>
      <w:r w:rsidRPr="00BB30E3">
        <w:rPr>
          <w:szCs w:val="28"/>
        </w:rPr>
        <w:t xml:space="preserve">,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eqArr>
      </m:oMath>
      <w:r w:rsidRPr="006A2B98">
        <w:rPr>
          <w:szCs w:val="28"/>
        </w:rPr>
        <w:t xml:space="preserve"> </w:t>
      </w:r>
      <w:r w:rsidRPr="00BB30E3">
        <w:rPr>
          <w:szCs w:val="28"/>
        </w:rPr>
        <w:t xml:space="preserve">и </w:t>
      </w:r>
      <m:oMath>
        <m:eqArr>
          <m:eqArrPr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eqArr>
      </m:oMath>
      <w:r w:rsidRPr="006A2B98">
        <w:rPr>
          <w:szCs w:val="28"/>
        </w:rPr>
        <w:t xml:space="preserve"> </w:t>
      </w:r>
      <w:r w:rsidRPr="00BB30E3">
        <w:rPr>
          <w:szCs w:val="28"/>
        </w:rPr>
        <w:t>должна выполняться с учетом конкретного клинического протокола наблюдения и структуры доступной выборки.</w:t>
      </w:r>
    </w:p>
    <w:p w14:paraId="25FE0F36" w14:textId="77777777" w:rsidR="003E651D" w:rsidRPr="003E651D" w:rsidRDefault="003E651D" w:rsidP="00F50DE0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3E651D">
        <w:rPr>
          <w:rFonts w:ascii="Times New Roman" w:hAnsi="Times New Roman" w:cs="Times New Roman"/>
          <w:color w:val="auto"/>
          <w:sz w:val="28"/>
          <w:lang w:val="ru-RU"/>
        </w:rPr>
        <w:t>Заключение</w:t>
      </w:r>
    </w:p>
    <w:p w14:paraId="1E9A41EB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В работе расширена математическая постановка задачи прогнозирования прогрессирования миопии на основе гибридной вычислительной схемы. Явно введены истинный и эмпирический риски, полная параметризация модели, формализация остаточной нелинейной ветви, </w:t>
      </w:r>
      <w:r w:rsidRPr="00BB30E3">
        <w:rPr>
          <w:szCs w:val="28"/>
        </w:rPr>
        <w:lastRenderedPageBreak/>
        <w:t>а также система оценочных метрик, ориентированная на клинически значимую зону высокого риска.</w:t>
      </w:r>
    </w:p>
    <w:p w14:paraId="1EDF89CC" w14:textId="77777777" w:rsidR="003E651D" w:rsidRPr="00BB30E3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Предложенная сглаженная асимметричная функция потерь SALF обеспечивает риск-чувствительную и кусочно-гладкую форму штрафа, удобную для численной оптимизации. Дополнительный </w:t>
      </w:r>
      <w:proofErr w:type="spellStart"/>
      <w:r w:rsidRPr="00BB30E3">
        <w:rPr>
          <w:szCs w:val="28"/>
        </w:rPr>
        <w:t>регуляризатор</w:t>
      </w:r>
      <w:proofErr w:type="spellEnd"/>
      <w:r w:rsidRPr="00BB30E3">
        <w:rPr>
          <w:szCs w:val="28"/>
        </w:rPr>
        <w:t xml:space="preserve">, штрафующий корреляцию выходов линейной и нелинейной ветвей, снижает дублирование между компонентами модели и усиливает структурную </w:t>
      </w:r>
      <w:proofErr w:type="spellStart"/>
      <w:r w:rsidRPr="00BB30E3">
        <w:rPr>
          <w:szCs w:val="28"/>
        </w:rPr>
        <w:t>разделенность</w:t>
      </w:r>
      <w:proofErr w:type="spellEnd"/>
      <w:r w:rsidRPr="00BB30E3">
        <w:rPr>
          <w:szCs w:val="28"/>
        </w:rPr>
        <w:t xml:space="preserve"> их функций.</w:t>
      </w:r>
    </w:p>
    <w:p w14:paraId="00B61E25" w14:textId="77777777" w:rsidR="003E651D" w:rsidRDefault="003E651D" w:rsidP="00F50DE0">
      <w:pPr>
        <w:spacing w:after="120" w:line="360" w:lineRule="auto"/>
        <w:ind w:firstLine="709"/>
        <w:jc w:val="both"/>
        <w:rPr>
          <w:szCs w:val="28"/>
        </w:rPr>
      </w:pPr>
      <w:r w:rsidRPr="00BB30E3">
        <w:rPr>
          <w:szCs w:val="28"/>
        </w:rPr>
        <w:t xml:space="preserve">Разработанная поэтапная схема обучения, включающая предварительное обучение линейной части, обучение ансамблевой ветви на невязках, настройку логистического маршрутизатора и совместный </w:t>
      </w:r>
      <w:proofErr w:type="spellStart"/>
      <w:r w:rsidRPr="00BB30E3">
        <w:rPr>
          <w:szCs w:val="28"/>
        </w:rPr>
        <w:t>fine-tuning</w:t>
      </w:r>
      <w:proofErr w:type="spellEnd"/>
      <w:r w:rsidRPr="00BB30E3">
        <w:rPr>
          <w:szCs w:val="28"/>
        </w:rPr>
        <w:t>, образует целостный алгоритмический контур. В совокупности это позволяет рассматривать предложенную модель как содержательную математико-вычислительную основу для дальнейшей прикладной валидации и внедрения в систему поддержки принятия решений в офтальмологии.</w:t>
      </w:r>
    </w:p>
    <w:p w14:paraId="65AF2C68" w14:textId="77777777" w:rsidR="003E651D" w:rsidRPr="00726D38" w:rsidRDefault="003E651D" w:rsidP="00F50DE0">
      <w:pPr>
        <w:spacing w:after="0" w:line="360" w:lineRule="auto"/>
        <w:ind w:firstLine="709"/>
        <w:jc w:val="both"/>
        <w:rPr>
          <w:rFonts w:cs="Times New Roman"/>
          <w:b/>
          <w:szCs w:val="28"/>
          <w:lang w:val="en-US"/>
        </w:rPr>
      </w:pPr>
      <w:r w:rsidRPr="00726D38">
        <w:rPr>
          <w:rFonts w:cs="Times New Roman"/>
          <w:b/>
          <w:szCs w:val="28"/>
        </w:rPr>
        <w:t>Список</w:t>
      </w:r>
      <w:r w:rsidRPr="003E651D">
        <w:rPr>
          <w:rFonts w:cs="Times New Roman"/>
          <w:b/>
          <w:szCs w:val="28"/>
          <w:lang w:val="en-US"/>
        </w:rPr>
        <w:t xml:space="preserve"> </w:t>
      </w:r>
      <w:r w:rsidRPr="00726D38">
        <w:rPr>
          <w:rFonts w:cs="Times New Roman"/>
          <w:b/>
          <w:szCs w:val="28"/>
        </w:rPr>
        <w:t>литературы</w:t>
      </w:r>
    </w:p>
    <w:p w14:paraId="0C47901D" w14:textId="77777777" w:rsidR="003E651D" w:rsidRPr="00726D38" w:rsidRDefault="003E651D" w:rsidP="00F50DE0">
      <w:pPr>
        <w:shd w:val="clear" w:color="auto" w:fill="FFFFFF"/>
        <w:spacing w:line="360" w:lineRule="auto"/>
        <w:jc w:val="both"/>
        <w:rPr>
          <w:rFonts w:cs="Times New Roman"/>
          <w:color w:val="1B1B1B"/>
          <w:szCs w:val="28"/>
          <w:lang w:val="en-US" w:eastAsia="ru-RU"/>
        </w:rPr>
      </w:pPr>
      <w:r w:rsidRPr="003E651D">
        <w:rPr>
          <w:rFonts w:cs="Times New Roman"/>
          <w:szCs w:val="28"/>
          <w:lang w:val="en-US"/>
        </w:rPr>
        <w:t xml:space="preserve">[1] </w:t>
      </w:r>
      <w:r w:rsidRPr="00726D38">
        <w:rPr>
          <w:rFonts w:cs="Times New Roman"/>
          <w:color w:val="1B1B1B"/>
          <w:szCs w:val="28"/>
          <w:lang w:val="en-US" w:eastAsia="ru-RU"/>
        </w:rPr>
        <w:t xml:space="preserve">Tao Z, Wang J, </w:t>
      </w:r>
      <w:proofErr w:type="spellStart"/>
      <w:r w:rsidRPr="00726D38">
        <w:rPr>
          <w:rFonts w:cs="Times New Roman"/>
          <w:color w:val="1B1B1B"/>
          <w:szCs w:val="28"/>
          <w:lang w:val="en-US" w:eastAsia="ru-RU"/>
        </w:rPr>
        <w:t>Lv</w:t>
      </w:r>
      <w:proofErr w:type="spellEnd"/>
      <w:r w:rsidRPr="00726D38">
        <w:rPr>
          <w:rFonts w:cs="Times New Roman"/>
          <w:color w:val="1B1B1B"/>
          <w:szCs w:val="28"/>
          <w:lang w:val="en-US" w:eastAsia="ru-RU"/>
        </w:rPr>
        <w:t xml:space="preserve"> Z, Hu G, Xu Z, Chen L, Deng H. Tracking myopia development through axial length progression: a retrospective longitudinal study. Ann Med. 2025 Dec;57(1):2563752. </w:t>
      </w:r>
      <w:proofErr w:type="spellStart"/>
      <w:r w:rsidRPr="00726D38">
        <w:rPr>
          <w:rFonts w:cs="Times New Roman"/>
          <w:color w:val="1B1B1B"/>
          <w:szCs w:val="28"/>
          <w:lang w:val="en-US" w:eastAsia="ru-RU"/>
        </w:rPr>
        <w:t>doi</w:t>
      </w:r>
      <w:proofErr w:type="spellEnd"/>
      <w:r w:rsidRPr="00726D38">
        <w:rPr>
          <w:rFonts w:cs="Times New Roman"/>
          <w:color w:val="1B1B1B"/>
          <w:szCs w:val="28"/>
          <w:lang w:val="en-US" w:eastAsia="ru-RU"/>
        </w:rPr>
        <w:t xml:space="preserve">: 10.1080/07853890.2025.2563752. </w:t>
      </w:r>
      <w:proofErr w:type="spellStart"/>
      <w:r w:rsidRPr="00726D38">
        <w:rPr>
          <w:rFonts w:cs="Times New Roman"/>
          <w:color w:val="1B1B1B"/>
          <w:szCs w:val="28"/>
          <w:lang w:val="en-US" w:eastAsia="ru-RU"/>
        </w:rPr>
        <w:t>Epub</w:t>
      </w:r>
      <w:proofErr w:type="spellEnd"/>
      <w:r w:rsidRPr="00726D38">
        <w:rPr>
          <w:rFonts w:cs="Times New Roman"/>
          <w:color w:val="1B1B1B"/>
          <w:szCs w:val="28"/>
          <w:lang w:val="en-US" w:eastAsia="ru-RU"/>
        </w:rPr>
        <w:t xml:space="preserve"> 2025 Oct 1. PMID: 41031415; PMCID: PMC12490353.</w:t>
      </w:r>
    </w:p>
    <w:p w14:paraId="307070EB" w14:textId="77777777" w:rsidR="003E651D" w:rsidRPr="003E651D" w:rsidRDefault="003E651D" w:rsidP="00F50DE0">
      <w:pPr>
        <w:shd w:val="clear" w:color="auto" w:fill="FFFFFF"/>
        <w:spacing w:before="100" w:beforeAutospacing="1" w:after="0" w:line="360" w:lineRule="auto"/>
        <w:jc w:val="both"/>
        <w:rPr>
          <w:rFonts w:cs="Times New Roman"/>
          <w:color w:val="1B1B1B"/>
          <w:szCs w:val="28"/>
          <w:lang w:val="en-US" w:eastAsia="ru-RU"/>
        </w:rPr>
      </w:pPr>
      <w:r w:rsidRPr="003E651D">
        <w:rPr>
          <w:rFonts w:cs="Times New Roman"/>
          <w:color w:val="1B1B1B"/>
          <w:szCs w:val="28"/>
          <w:lang w:val="en-US" w:eastAsia="ru-RU"/>
        </w:rPr>
        <w:t xml:space="preserve">[2] Feng, Q., Wu, X., Liu, Q. et al. Interpretable machine learning models for predicting childhood myopia from school-based screening data. Sci Rep 15, 19811 (2025). </w:t>
      </w:r>
      <w:hyperlink r:id="rId7" w:history="1">
        <w:r w:rsidRPr="003E651D">
          <w:rPr>
            <w:rStyle w:val="aff9"/>
            <w:rFonts w:cs="Times New Roman"/>
            <w:szCs w:val="28"/>
            <w:lang w:val="en-US" w:eastAsia="ru-RU"/>
          </w:rPr>
          <w:t>https://doi.org/10.1038/s41598-025-05021-0</w:t>
        </w:r>
      </w:hyperlink>
    </w:p>
    <w:p w14:paraId="64A8ACAE" w14:textId="77777777" w:rsidR="003E651D" w:rsidRPr="003E651D" w:rsidRDefault="003E651D" w:rsidP="00F50DE0">
      <w:pPr>
        <w:shd w:val="clear" w:color="auto" w:fill="FFFFFF"/>
        <w:spacing w:before="100" w:beforeAutospacing="1" w:after="0" w:line="360" w:lineRule="auto"/>
        <w:jc w:val="both"/>
        <w:rPr>
          <w:rFonts w:cs="Times New Roman"/>
          <w:color w:val="1B1B1B"/>
          <w:szCs w:val="28"/>
          <w:lang w:val="en-US" w:eastAsia="ru-RU"/>
        </w:rPr>
      </w:pPr>
      <w:r w:rsidRPr="003E651D">
        <w:rPr>
          <w:rFonts w:cs="Times New Roman"/>
          <w:color w:val="1B1B1B"/>
          <w:szCs w:val="28"/>
          <w:lang w:val="en-US" w:eastAsia="ru-RU"/>
        </w:rPr>
        <w:t xml:space="preserve">[3] Mitchell </w:t>
      </w:r>
      <w:proofErr w:type="spellStart"/>
      <w:r w:rsidRPr="003E651D">
        <w:rPr>
          <w:rFonts w:cs="Times New Roman"/>
          <w:color w:val="1B1B1B"/>
          <w:szCs w:val="28"/>
          <w:lang w:val="en-US" w:eastAsia="ru-RU"/>
        </w:rPr>
        <w:t>Scheiman</w:t>
      </w:r>
      <w:proofErr w:type="spellEnd"/>
      <w:r w:rsidRPr="003E651D">
        <w:rPr>
          <w:rFonts w:cs="Times New Roman"/>
          <w:color w:val="1B1B1B"/>
          <w:szCs w:val="28"/>
          <w:lang w:val="en-US" w:eastAsia="ru-RU"/>
        </w:rPr>
        <w:t xml:space="preserve">, Jane </w:t>
      </w:r>
      <w:proofErr w:type="spellStart"/>
      <w:r w:rsidRPr="003E651D">
        <w:rPr>
          <w:rFonts w:cs="Times New Roman"/>
          <w:color w:val="1B1B1B"/>
          <w:szCs w:val="28"/>
          <w:lang w:val="en-US" w:eastAsia="ru-RU"/>
        </w:rPr>
        <w:t>Gwiazda</w:t>
      </w:r>
      <w:proofErr w:type="spellEnd"/>
      <w:r w:rsidRPr="003E651D">
        <w:rPr>
          <w:rFonts w:cs="Times New Roman"/>
          <w:color w:val="1B1B1B"/>
          <w:szCs w:val="28"/>
          <w:lang w:val="en-US" w:eastAsia="ru-RU"/>
        </w:rPr>
        <w:t xml:space="preserve">, </w:t>
      </w:r>
      <w:proofErr w:type="spellStart"/>
      <w:r w:rsidRPr="003E651D">
        <w:rPr>
          <w:rFonts w:cs="Times New Roman"/>
          <w:color w:val="1B1B1B"/>
          <w:szCs w:val="28"/>
          <w:lang w:val="en-US" w:eastAsia="ru-RU"/>
        </w:rPr>
        <w:t>Qinghua</w:t>
      </w:r>
      <w:proofErr w:type="spellEnd"/>
      <w:r w:rsidRPr="003E651D">
        <w:rPr>
          <w:rFonts w:cs="Times New Roman"/>
          <w:color w:val="1B1B1B"/>
          <w:szCs w:val="28"/>
          <w:lang w:val="en-US" w:eastAsia="ru-RU"/>
        </w:rPr>
        <w:t xml:space="preserve"> Zhang, Li Deng, Karen Fern, Ruth E. Manny, Erik Weissberg, Leslie Hyman, Longitudinal changes in corneal curvature and its relationship to axial length in the Correction of Myopia Evaluation Trial (COMET) cohort,</w:t>
      </w:r>
      <w:r w:rsidRPr="003E651D">
        <w:rPr>
          <w:rFonts w:cs="Times New Roman"/>
          <w:szCs w:val="28"/>
          <w:lang w:val="en-US"/>
        </w:rPr>
        <w:t xml:space="preserve"> </w:t>
      </w:r>
      <w:hyperlink r:id="rId8" w:history="1">
        <w:r w:rsidRPr="003E651D">
          <w:rPr>
            <w:rStyle w:val="aff9"/>
            <w:rFonts w:cs="Times New Roman"/>
            <w:szCs w:val="28"/>
            <w:lang w:val="en-US" w:eastAsia="ru-RU"/>
          </w:rPr>
          <w:t>https://doi.org/10.1016/j.optom.2015.10.003</w:t>
        </w:r>
      </w:hyperlink>
      <w:r w:rsidRPr="003E651D">
        <w:rPr>
          <w:rFonts w:cs="Times New Roman"/>
          <w:color w:val="1B1B1B"/>
          <w:szCs w:val="28"/>
          <w:lang w:val="en-US" w:eastAsia="ru-RU"/>
        </w:rPr>
        <w:t>.</w:t>
      </w:r>
    </w:p>
    <w:p w14:paraId="35F569BA" w14:textId="77777777" w:rsidR="003E651D" w:rsidRPr="003E651D" w:rsidRDefault="003E651D" w:rsidP="00F50DE0">
      <w:pPr>
        <w:shd w:val="clear" w:color="auto" w:fill="FFFFFF"/>
        <w:spacing w:before="100" w:beforeAutospacing="1" w:after="0" w:line="360" w:lineRule="auto"/>
        <w:jc w:val="both"/>
        <w:rPr>
          <w:rFonts w:cs="Times New Roman"/>
          <w:color w:val="222222"/>
          <w:szCs w:val="28"/>
          <w:shd w:val="clear" w:color="auto" w:fill="FFFFFF"/>
          <w:lang w:val="en-US"/>
        </w:rPr>
      </w:pPr>
      <w:r w:rsidRPr="003E651D">
        <w:rPr>
          <w:rFonts w:cs="Times New Roman"/>
          <w:color w:val="1B1B1B"/>
          <w:szCs w:val="28"/>
          <w:lang w:val="en-US" w:eastAsia="ru-RU"/>
        </w:rPr>
        <w:lastRenderedPageBreak/>
        <w:t xml:space="preserve">[4] </w:t>
      </w:r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>Chen, J., Liu, S., Zhu, Z. </w:t>
      </w:r>
      <w:r w:rsidRPr="003E651D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et al.</w:t>
      </w:r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> Axial length changes in progressive and non-progressive myopic children in China. </w:t>
      </w:r>
      <w:proofErr w:type="spellStart"/>
      <w:r w:rsidRPr="003E651D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Graefes</w:t>
      </w:r>
      <w:proofErr w:type="spellEnd"/>
      <w:r w:rsidRPr="003E651D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 xml:space="preserve"> Arch Clin Exp </w:t>
      </w:r>
      <w:proofErr w:type="spellStart"/>
      <w:r w:rsidRPr="003E651D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Ophthalmol</w:t>
      </w:r>
      <w:proofErr w:type="spellEnd"/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> </w:t>
      </w:r>
      <w:r w:rsidRPr="003E651D">
        <w:rPr>
          <w:rFonts w:cs="Times New Roman"/>
          <w:b/>
          <w:bCs/>
          <w:color w:val="222222"/>
          <w:szCs w:val="28"/>
          <w:shd w:val="clear" w:color="auto" w:fill="FFFFFF"/>
          <w:lang w:val="en-US"/>
        </w:rPr>
        <w:t>261</w:t>
      </w:r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, 1493–1501 (2023). </w:t>
      </w:r>
      <w:hyperlink r:id="rId9" w:history="1">
        <w:r w:rsidRPr="003E651D">
          <w:rPr>
            <w:rStyle w:val="aff9"/>
            <w:rFonts w:cs="Times New Roman"/>
            <w:szCs w:val="28"/>
            <w:shd w:val="clear" w:color="auto" w:fill="FFFFFF"/>
            <w:lang w:val="en-US"/>
          </w:rPr>
          <w:t>https://doi.org/10.1007/s00417-022-05901-5</w:t>
        </w:r>
      </w:hyperlink>
    </w:p>
    <w:p w14:paraId="22E5C83C" w14:textId="77777777" w:rsidR="003E651D" w:rsidRPr="00726D38" w:rsidRDefault="003E651D" w:rsidP="00F50DE0">
      <w:pPr>
        <w:shd w:val="clear" w:color="auto" w:fill="FFFFFF"/>
        <w:spacing w:before="100" w:beforeAutospacing="1" w:after="0" w:line="360" w:lineRule="auto"/>
        <w:jc w:val="both"/>
        <w:rPr>
          <w:rFonts w:cs="Times New Roman"/>
          <w:color w:val="1B1B1B"/>
          <w:szCs w:val="28"/>
          <w:lang w:val="en-US" w:eastAsia="ru-RU"/>
        </w:rPr>
      </w:pPr>
      <w:r w:rsidRPr="003E651D">
        <w:rPr>
          <w:rFonts w:cs="Times New Roman"/>
          <w:color w:val="1B1B1B"/>
          <w:szCs w:val="28"/>
          <w:lang w:val="en-US" w:eastAsia="ru-RU"/>
        </w:rPr>
        <w:t xml:space="preserve">[5] </w:t>
      </w:r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>Li, SM., Ren, MY., Gan, J. </w:t>
      </w:r>
      <w:r w:rsidRPr="003E651D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et al.</w:t>
      </w:r>
      <w:r w:rsidRPr="003E651D">
        <w:rPr>
          <w:rFonts w:cs="Times New Roman"/>
          <w:color w:val="222222"/>
          <w:szCs w:val="28"/>
          <w:shd w:val="clear" w:color="auto" w:fill="FFFFFF"/>
          <w:lang w:val="en-US"/>
        </w:rPr>
        <w:t> Machine Learning to Determine Risk Factors for Myopia Progression in Primary School Children: The Anyang Childhood Eye Study. </w:t>
      </w:r>
      <w:proofErr w:type="spellStart"/>
      <w:r w:rsidRPr="00104168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Ophthalmol</w:t>
      </w:r>
      <w:proofErr w:type="spellEnd"/>
      <w:r w:rsidRPr="00104168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 xml:space="preserve"> </w:t>
      </w:r>
      <w:proofErr w:type="spellStart"/>
      <w:r w:rsidRPr="00104168">
        <w:rPr>
          <w:rFonts w:cs="Times New Roman"/>
          <w:i/>
          <w:iCs/>
          <w:color w:val="222222"/>
          <w:szCs w:val="28"/>
          <w:shd w:val="clear" w:color="auto" w:fill="FFFFFF"/>
          <w:lang w:val="en-US"/>
        </w:rPr>
        <w:t>Ther</w:t>
      </w:r>
      <w:proofErr w:type="spellEnd"/>
      <w:r w:rsidRPr="00104168">
        <w:rPr>
          <w:rFonts w:cs="Times New Roman"/>
          <w:color w:val="222222"/>
          <w:szCs w:val="28"/>
          <w:shd w:val="clear" w:color="auto" w:fill="FFFFFF"/>
          <w:lang w:val="en-US"/>
        </w:rPr>
        <w:t> </w:t>
      </w:r>
      <w:r w:rsidRPr="00104168">
        <w:rPr>
          <w:rFonts w:cs="Times New Roman"/>
          <w:b/>
          <w:bCs/>
          <w:color w:val="222222"/>
          <w:szCs w:val="28"/>
          <w:shd w:val="clear" w:color="auto" w:fill="FFFFFF"/>
          <w:lang w:val="en-US"/>
        </w:rPr>
        <w:t>11</w:t>
      </w:r>
      <w:r w:rsidRPr="00104168">
        <w:rPr>
          <w:rFonts w:cs="Times New Roman"/>
          <w:color w:val="222222"/>
          <w:szCs w:val="28"/>
          <w:shd w:val="clear" w:color="auto" w:fill="FFFFFF"/>
          <w:lang w:val="en-US"/>
        </w:rPr>
        <w:t>, 573–585 (2022). https://doi.org/10.1007/s40123-021-00450-2</w:t>
      </w:r>
    </w:p>
    <w:p w14:paraId="7A13EFED" w14:textId="77777777" w:rsidR="005D4913" w:rsidRPr="005D4913" w:rsidRDefault="005D4913" w:rsidP="00F50DE0">
      <w:pPr>
        <w:spacing w:after="0" w:line="360" w:lineRule="auto"/>
        <w:ind w:firstLine="709"/>
        <w:jc w:val="both"/>
        <w:rPr>
          <w:rFonts w:eastAsiaTheme="minorEastAsia" w:cs="Times New Roman"/>
          <w:b/>
          <w:bCs/>
          <w:iCs/>
          <w:szCs w:val="28"/>
          <w:lang w:val="en-US"/>
        </w:rPr>
      </w:pPr>
    </w:p>
    <w:sectPr w:rsidR="005D4913" w:rsidRPr="005D4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86021"/>
    <w:multiLevelType w:val="multilevel"/>
    <w:tmpl w:val="3F8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C307D"/>
    <w:multiLevelType w:val="hybridMultilevel"/>
    <w:tmpl w:val="0896B75A"/>
    <w:lvl w:ilvl="0" w:tplc="43928288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6DD5DBC"/>
    <w:multiLevelType w:val="hybridMultilevel"/>
    <w:tmpl w:val="31F00CF4"/>
    <w:lvl w:ilvl="0" w:tplc="1604E5EA">
      <w:start w:val="1"/>
      <w:numFmt w:val="decimal"/>
      <w:pStyle w:val="References1"/>
      <w:lvlText w:val="%1."/>
      <w:lvlJc w:val="right"/>
      <w:pPr>
        <w:tabs>
          <w:tab w:val="num" w:pos="56"/>
        </w:tabs>
        <w:ind w:left="56" w:hanging="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BB2078"/>
    <w:multiLevelType w:val="hybridMultilevel"/>
    <w:tmpl w:val="E1A86502"/>
    <w:lvl w:ilvl="0" w:tplc="5FBC0F0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2D84EDC"/>
    <w:multiLevelType w:val="hybridMultilevel"/>
    <w:tmpl w:val="39BA104E"/>
    <w:lvl w:ilvl="0" w:tplc="57C0F7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0D0AC8"/>
    <w:multiLevelType w:val="hybridMultilevel"/>
    <w:tmpl w:val="05945B2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415224B5"/>
    <w:multiLevelType w:val="hybridMultilevel"/>
    <w:tmpl w:val="30C43478"/>
    <w:lvl w:ilvl="0" w:tplc="84704D0C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6992386"/>
    <w:multiLevelType w:val="hybridMultilevel"/>
    <w:tmpl w:val="265C1D1C"/>
    <w:lvl w:ilvl="0" w:tplc="5FBC0F0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E1D6F"/>
    <w:multiLevelType w:val="hybridMultilevel"/>
    <w:tmpl w:val="A1E096F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" w15:restartNumberingAfterBreak="0">
    <w:nsid w:val="4BF668A6"/>
    <w:multiLevelType w:val="hybridMultilevel"/>
    <w:tmpl w:val="0896B75A"/>
    <w:lvl w:ilvl="0" w:tplc="43928288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A8B7100"/>
    <w:multiLevelType w:val="hybridMultilevel"/>
    <w:tmpl w:val="6DACEE90"/>
    <w:lvl w:ilvl="0" w:tplc="65D4FCDE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740A92"/>
    <w:multiLevelType w:val="hybridMultilevel"/>
    <w:tmpl w:val="66AC5AB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18"/>
  </w:num>
  <w:num w:numId="4">
    <w:abstractNumId w:val="12"/>
  </w:num>
  <w:num w:numId="5">
    <w:abstractNumId w:val="17"/>
  </w:num>
  <w:num w:numId="6">
    <w:abstractNumId w:val="16"/>
  </w:num>
  <w:num w:numId="7">
    <w:abstractNumId w:val="20"/>
  </w:num>
  <w:num w:numId="8">
    <w:abstractNumId w:val="10"/>
  </w:num>
  <w:num w:numId="9">
    <w:abstractNumId w:val="15"/>
  </w:num>
  <w:num w:numId="10">
    <w:abstractNumId w:val="13"/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2E"/>
    <w:rsid w:val="0003297B"/>
    <w:rsid w:val="00067CCE"/>
    <w:rsid w:val="000722DC"/>
    <w:rsid w:val="00082629"/>
    <w:rsid w:val="000B02EB"/>
    <w:rsid w:val="000B742A"/>
    <w:rsid w:val="000E6010"/>
    <w:rsid w:val="00104168"/>
    <w:rsid w:val="00106F67"/>
    <w:rsid w:val="00154DD9"/>
    <w:rsid w:val="00157D9F"/>
    <w:rsid w:val="001A7397"/>
    <w:rsid w:val="00237838"/>
    <w:rsid w:val="002B4E9C"/>
    <w:rsid w:val="00327762"/>
    <w:rsid w:val="00337C32"/>
    <w:rsid w:val="00353EA1"/>
    <w:rsid w:val="003C5134"/>
    <w:rsid w:val="003E651D"/>
    <w:rsid w:val="003F2A60"/>
    <w:rsid w:val="0041774C"/>
    <w:rsid w:val="0042556B"/>
    <w:rsid w:val="00444809"/>
    <w:rsid w:val="004859B6"/>
    <w:rsid w:val="004C45D7"/>
    <w:rsid w:val="004D7C08"/>
    <w:rsid w:val="004E1D26"/>
    <w:rsid w:val="004E3C0B"/>
    <w:rsid w:val="00504D19"/>
    <w:rsid w:val="005473D9"/>
    <w:rsid w:val="00554EA9"/>
    <w:rsid w:val="005A4DBD"/>
    <w:rsid w:val="005D441C"/>
    <w:rsid w:val="005D4913"/>
    <w:rsid w:val="00605D2E"/>
    <w:rsid w:val="0067426F"/>
    <w:rsid w:val="006B1F25"/>
    <w:rsid w:val="006E3EB0"/>
    <w:rsid w:val="007456F1"/>
    <w:rsid w:val="00754A39"/>
    <w:rsid w:val="007A1F2D"/>
    <w:rsid w:val="007A2EEE"/>
    <w:rsid w:val="007D35F3"/>
    <w:rsid w:val="008222D6"/>
    <w:rsid w:val="008525F9"/>
    <w:rsid w:val="008A1265"/>
    <w:rsid w:val="00953448"/>
    <w:rsid w:val="009F3E52"/>
    <w:rsid w:val="00A145A1"/>
    <w:rsid w:val="00A27B47"/>
    <w:rsid w:val="00A62EAC"/>
    <w:rsid w:val="00A72097"/>
    <w:rsid w:val="00AD4331"/>
    <w:rsid w:val="00AD6AAD"/>
    <w:rsid w:val="00B24BA8"/>
    <w:rsid w:val="00B42168"/>
    <w:rsid w:val="00BA2E3D"/>
    <w:rsid w:val="00BF6682"/>
    <w:rsid w:val="00C0478B"/>
    <w:rsid w:val="00C066B4"/>
    <w:rsid w:val="00C64CC4"/>
    <w:rsid w:val="00C677FC"/>
    <w:rsid w:val="00C76538"/>
    <w:rsid w:val="00CE5A77"/>
    <w:rsid w:val="00D62BEA"/>
    <w:rsid w:val="00DD5E44"/>
    <w:rsid w:val="00E47B77"/>
    <w:rsid w:val="00E6129D"/>
    <w:rsid w:val="00E66D6B"/>
    <w:rsid w:val="00E67F13"/>
    <w:rsid w:val="00EB5EFF"/>
    <w:rsid w:val="00EE4238"/>
    <w:rsid w:val="00F50DE0"/>
    <w:rsid w:val="00F61218"/>
    <w:rsid w:val="00FB5591"/>
    <w:rsid w:val="00FE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9E1A"/>
  <w15:chartTrackingRefBased/>
  <w15:docId w15:val="{548EB254-3BE0-4B90-8366-A3C41419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42168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E651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8"/>
      <w:lang w:val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3E651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3E651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E651D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5473D9"/>
    <w:pPr>
      <w:ind w:left="720"/>
      <w:contextualSpacing/>
    </w:pPr>
  </w:style>
  <w:style w:type="character" w:styleId="a6">
    <w:name w:val="Placeholder Text"/>
    <w:basedOn w:val="a2"/>
    <w:uiPriority w:val="99"/>
    <w:semiHidden/>
    <w:rsid w:val="00353EA1"/>
    <w:rPr>
      <w:color w:val="808080"/>
    </w:rPr>
  </w:style>
  <w:style w:type="paragraph" w:styleId="a7">
    <w:name w:val="Body Text"/>
    <w:basedOn w:val="a1"/>
    <w:link w:val="a8"/>
    <w:uiPriority w:val="99"/>
    <w:unhideWhenUsed/>
    <w:rsid w:val="007456F1"/>
    <w:pPr>
      <w:spacing w:after="0" w:line="300" w:lineRule="auto"/>
      <w:ind w:firstLine="425"/>
      <w:jc w:val="both"/>
    </w:pPr>
    <w:rPr>
      <w:rFonts w:eastAsia="Calibri" w:cs="Times New Roman"/>
      <w:sz w:val="24"/>
    </w:rPr>
  </w:style>
  <w:style w:type="character" w:customStyle="1" w:styleId="a8">
    <w:name w:val="Основной текст Знак"/>
    <w:basedOn w:val="a2"/>
    <w:link w:val="a7"/>
    <w:uiPriority w:val="99"/>
    <w:rsid w:val="007456F1"/>
    <w:rPr>
      <w:rFonts w:ascii="Times New Roman" w:eastAsia="Calibri" w:hAnsi="Times New Roman" w:cs="Times New Roman"/>
      <w:sz w:val="24"/>
    </w:rPr>
  </w:style>
  <w:style w:type="paragraph" w:customStyle="1" w:styleId="References1">
    <w:name w:val="References_1"/>
    <w:basedOn w:val="a1"/>
    <w:qFormat/>
    <w:rsid w:val="005D4913"/>
    <w:pPr>
      <w:numPr>
        <w:numId w:val="11"/>
      </w:numPr>
      <w:spacing w:after="0" w:line="312" w:lineRule="auto"/>
      <w:jc w:val="both"/>
    </w:pPr>
    <w:rPr>
      <w:rFonts w:eastAsia="Calibri" w:cs="Times New Roman"/>
      <w:sz w:val="24"/>
    </w:rPr>
  </w:style>
  <w:style w:type="paragraph" w:customStyle="1" w:styleId="AbstractR">
    <w:name w:val="Abstract_R"/>
    <w:basedOn w:val="a1"/>
    <w:qFormat/>
    <w:rsid w:val="003F2A60"/>
    <w:pPr>
      <w:spacing w:before="240" w:after="240" w:line="252" w:lineRule="auto"/>
      <w:ind w:left="567" w:right="567"/>
      <w:jc w:val="both"/>
    </w:pPr>
    <w:rPr>
      <w:rFonts w:eastAsia="Calibri" w:cs="Times New Roman"/>
      <w:sz w:val="20"/>
      <w:szCs w:val="20"/>
    </w:rPr>
  </w:style>
  <w:style w:type="character" w:customStyle="1" w:styleId="KeywordsHeader">
    <w:name w:val="Keywords Header"/>
    <w:basedOn w:val="a2"/>
    <w:uiPriority w:val="1"/>
    <w:qFormat/>
    <w:rsid w:val="00A72097"/>
    <w:rPr>
      <w:b/>
    </w:rPr>
  </w:style>
  <w:style w:type="character" w:customStyle="1" w:styleId="10">
    <w:name w:val="Заголовок 1 Знак"/>
    <w:basedOn w:val="a2"/>
    <w:link w:val="1"/>
    <w:uiPriority w:val="9"/>
    <w:rsid w:val="003E651D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3E651D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3E651D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3E651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3E651D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3E651D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3E651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3E651D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3E65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9">
    <w:name w:val="header"/>
    <w:basedOn w:val="a1"/>
    <w:link w:val="aa"/>
    <w:uiPriority w:val="99"/>
    <w:unhideWhenUsed/>
    <w:rsid w:val="003E651D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4"/>
      <w:lang w:val="en-US"/>
    </w:rPr>
  </w:style>
  <w:style w:type="character" w:customStyle="1" w:styleId="aa">
    <w:name w:val="Верхний колонтитул Знак"/>
    <w:basedOn w:val="a2"/>
    <w:link w:val="a9"/>
    <w:uiPriority w:val="99"/>
    <w:rsid w:val="003E651D"/>
    <w:rPr>
      <w:rFonts w:ascii="Times New Roman" w:eastAsia="Times New Roman" w:hAnsi="Times New Roman"/>
      <w:sz w:val="24"/>
      <w:lang w:val="en-US"/>
    </w:rPr>
  </w:style>
  <w:style w:type="paragraph" w:styleId="ab">
    <w:name w:val="footer"/>
    <w:basedOn w:val="a1"/>
    <w:link w:val="ac"/>
    <w:uiPriority w:val="99"/>
    <w:unhideWhenUsed/>
    <w:rsid w:val="003E651D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4"/>
      <w:lang w:val="en-US"/>
    </w:rPr>
  </w:style>
  <w:style w:type="character" w:customStyle="1" w:styleId="ac">
    <w:name w:val="Нижний колонтитул Знак"/>
    <w:basedOn w:val="a2"/>
    <w:link w:val="ab"/>
    <w:uiPriority w:val="99"/>
    <w:rsid w:val="003E651D"/>
    <w:rPr>
      <w:rFonts w:ascii="Times New Roman" w:eastAsia="Times New Roman" w:hAnsi="Times New Roman"/>
      <w:sz w:val="24"/>
      <w:lang w:val="en-US"/>
    </w:rPr>
  </w:style>
  <w:style w:type="paragraph" w:styleId="ad">
    <w:name w:val="No Spacing"/>
    <w:uiPriority w:val="1"/>
    <w:qFormat/>
    <w:rsid w:val="003E651D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3E651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3E651D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28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3E65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3E651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3">
    <w:name w:val="Body Text 2"/>
    <w:basedOn w:val="a1"/>
    <w:link w:val="24"/>
    <w:uiPriority w:val="99"/>
    <w:unhideWhenUsed/>
    <w:rsid w:val="003E651D"/>
    <w:pPr>
      <w:spacing w:after="120" w:line="480" w:lineRule="auto"/>
    </w:pPr>
    <w:rPr>
      <w:rFonts w:eastAsia="Times New Roman"/>
      <w:sz w:val="24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3E651D"/>
    <w:rPr>
      <w:rFonts w:ascii="Times New Roman" w:eastAsia="Times New Roman" w:hAnsi="Times New Roman"/>
      <w:sz w:val="24"/>
      <w:lang w:val="en-US"/>
    </w:rPr>
  </w:style>
  <w:style w:type="paragraph" w:styleId="33">
    <w:name w:val="Body Text 3"/>
    <w:basedOn w:val="a1"/>
    <w:link w:val="34"/>
    <w:uiPriority w:val="99"/>
    <w:unhideWhenUsed/>
    <w:rsid w:val="003E651D"/>
    <w:pPr>
      <w:spacing w:after="120" w:line="276" w:lineRule="auto"/>
    </w:pPr>
    <w:rPr>
      <w:rFonts w:eastAsia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3E651D"/>
    <w:rPr>
      <w:rFonts w:ascii="Times New Roman" w:eastAsia="Times New Roman" w:hAnsi="Times New Roman"/>
      <w:sz w:val="16"/>
      <w:szCs w:val="16"/>
      <w:lang w:val="en-US"/>
    </w:rPr>
  </w:style>
  <w:style w:type="paragraph" w:styleId="af2">
    <w:name w:val="List"/>
    <w:basedOn w:val="a1"/>
    <w:uiPriority w:val="99"/>
    <w:unhideWhenUsed/>
    <w:rsid w:val="003E651D"/>
    <w:pPr>
      <w:spacing w:after="200" w:line="276" w:lineRule="auto"/>
      <w:ind w:left="360" w:hanging="360"/>
      <w:contextualSpacing/>
    </w:pPr>
    <w:rPr>
      <w:rFonts w:eastAsia="Times New Roman"/>
      <w:sz w:val="24"/>
      <w:lang w:val="en-US"/>
    </w:rPr>
  </w:style>
  <w:style w:type="paragraph" w:styleId="25">
    <w:name w:val="List 2"/>
    <w:basedOn w:val="a1"/>
    <w:uiPriority w:val="99"/>
    <w:unhideWhenUsed/>
    <w:rsid w:val="003E651D"/>
    <w:pPr>
      <w:spacing w:after="200" w:line="276" w:lineRule="auto"/>
      <w:ind w:left="720" w:hanging="360"/>
      <w:contextualSpacing/>
    </w:pPr>
    <w:rPr>
      <w:rFonts w:eastAsia="Times New Roman"/>
      <w:sz w:val="24"/>
      <w:lang w:val="en-US"/>
    </w:rPr>
  </w:style>
  <w:style w:type="paragraph" w:styleId="35">
    <w:name w:val="List 3"/>
    <w:basedOn w:val="a1"/>
    <w:uiPriority w:val="99"/>
    <w:unhideWhenUsed/>
    <w:rsid w:val="003E651D"/>
    <w:pPr>
      <w:spacing w:after="200" w:line="276" w:lineRule="auto"/>
      <w:ind w:left="1080" w:hanging="360"/>
      <w:contextualSpacing/>
    </w:pPr>
    <w:rPr>
      <w:rFonts w:eastAsia="Times New Roman"/>
      <w:sz w:val="24"/>
      <w:lang w:val="en-US"/>
    </w:rPr>
  </w:style>
  <w:style w:type="paragraph" w:styleId="a0">
    <w:name w:val="List Bullet"/>
    <w:basedOn w:val="a1"/>
    <w:uiPriority w:val="99"/>
    <w:unhideWhenUsed/>
    <w:rsid w:val="003E651D"/>
    <w:pPr>
      <w:numPr>
        <w:numId w:val="13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20">
    <w:name w:val="List Bullet 2"/>
    <w:basedOn w:val="a1"/>
    <w:uiPriority w:val="99"/>
    <w:unhideWhenUsed/>
    <w:rsid w:val="003E651D"/>
    <w:pPr>
      <w:numPr>
        <w:numId w:val="14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30">
    <w:name w:val="List Bullet 3"/>
    <w:basedOn w:val="a1"/>
    <w:uiPriority w:val="99"/>
    <w:unhideWhenUsed/>
    <w:rsid w:val="003E651D"/>
    <w:pPr>
      <w:numPr>
        <w:numId w:val="15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a">
    <w:name w:val="List Number"/>
    <w:basedOn w:val="a1"/>
    <w:uiPriority w:val="99"/>
    <w:unhideWhenUsed/>
    <w:rsid w:val="003E651D"/>
    <w:pPr>
      <w:numPr>
        <w:numId w:val="17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2">
    <w:name w:val="List Number 2"/>
    <w:basedOn w:val="a1"/>
    <w:uiPriority w:val="99"/>
    <w:unhideWhenUsed/>
    <w:rsid w:val="003E651D"/>
    <w:pPr>
      <w:numPr>
        <w:numId w:val="18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3">
    <w:name w:val="List Number 3"/>
    <w:basedOn w:val="a1"/>
    <w:uiPriority w:val="99"/>
    <w:unhideWhenUsed/>
    <w:rsid w:val="003E651D"/>
    <w:pPr>
      <w:numPr>
        <w:numId w:val="19"/>
      </w:numPr>
      <w:spacing w:after="200" w:line="276" w:lineRule="auto"/>
      <w:contextualSpacing/>
    </w:pPr>
    <w:rPr>
      <w:rFonts w:eastAsia="Times New Roman"/>
      <w:sz w:val="24"/>
      <w:lang w:val="en-US"/>
    </w:rPr>
  </w:style>
  <w:style w:type="paragraph" w:styleId="af3">
    <w:name w:val="List Continue"/>
    <w:basedOn w:val="a1"/>
    <w:uiPriority w:val="99"/>
    <w:unhideWhenUsed/>
    <w:rsid w:val="003E651D"/>
    <w:pPr>
      <w:spacing w:after="120" w:line="276" w:lineRule="auto"/>
      <w:ind w:left="360"/>
      <w:contextualSpacing/>
    </w:pPr>
    <w:rPr>
      <w:rFonts w:eastAsia="Times New Roman"/>
      <w:sz w:val="24"/>
      <w:lang w:val="en-US"/>
    </w:rPr>
  </w:style>
  <w:style w:type="paragraph" w:styleId="26">
    <w:name w:val="List Continue 2"/>
    <w:basedOn w:val="a1"/>
    <w:uiPriority w:val="99"/>
    <w:unhideWhenUsed/>
    <w:rsid w:val="003E651D"/>
    <w:pPr>
      <w:spacing w:after="120" w:line="276" w:lineRule="auto"/>
      <w:ind w:left="720"/>
      <w:contextualSpacing/>
    </w:pPr>
    <w:rPr>
      <w:rFonts w:eastAsia="Times New Roman"/>
      <w:sz w:val="24"/>
      <w:lang w:val="en-US"/>
    </w:rPr>
  </w:style>
  <w:style w:type="paragraph" w:styleId="36">
    <w:name w:val="List Continue 3"/>
    <w:basedOn w:val="a1"/>
    <w:uiPriority w:val="99"/>
    <w:unhideWhenUsed/>
    <w:rsid w:val="003E651D"/>
    <w:pPr>
      <w:spacing w:after="120" w:line="276" w:lineRule="auto"/>
      <w:ind w:left="1080"/>
      <w:contextualSpacing/>
    </w:pPr>
    <w:rPr>
      <w:rFonts w:eastAsia="Times New Roman"/>
      <w:sz w:val="24"/>
      <w:lang w:val="en-US"/>
    </w:rPr>
  </w:style>
  <w:style w:type="paragraph" w:styleId="af4">
    <w:name w:val="macro"/>
    <w:link w:val="af5"/>
    <w:uiPriority w:val="99"/>
    <w:unhideWhenUsed/>
    <w:rsid w:val="003E65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5">
    <w:name w:val="Текст макроса Знак"/>
    <w:basedOn w:val="a2"/>
    <w:link w:val="af4"/>
    <w:uiPriority w:val="99"/>
    <w:rsid w:val="003E651D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3E651D"/>
    <w:pPr>
      <w:spacing w:after="200" w:line="276" w:lineRule="auto"/>
    </w:pPr>
    <w:rPr>
      <w:rFonts w:eastAsia="Times New Roman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2"/>
    <w:link w:val="27"/>
    <w:uiPriority w:val="29"/>
    <w:rsid w:val="003E651D"/>
    <w:rPr>
      <w:rFonts w:ascii="Times New Roman" w:eastAsia="Times New Roman" w:hAnsi="Times New Roman"/>
      <w:i/>
      <w:iCs/>
      <w:color w:val="000000" w:themeColor="text1"/>
      <w:sz w:val="24"/>
      <w:lang w:val="en-US"/>
    </w:rPr>
  </w:style>
  <w:style w:type="paragraph" w:styleId="af6">
    <w:name w:val="caption"/>
    <w:basedOn w:val="a1"/>
    <w:next w:val="a1"/>
    <w:uiPriority w:val="35"/>
    <w:semiHidden/>
    <w:unhideWhenUsed/>
    <w:qFormat/>
    <w:rsid w:val="003E651D"/>
    <w:pPr>
      <w:spacing w:after="200" w:line="240" w:lineRule="auto"/>
    </w:pPr>
    <w:rPr>
      <w:rFonts w:eastAsia="Times New Roman"/>
      <w:b/>
      <w:bCs/>
      <w:color w:val="4472C4" w:themeColor="accent1"/>
      <w:sz w:val="18"/>
      <w:szCs w:val="18"/>
      <w:lang w:val="en-US"/>
    </w:rPr>
  </w:style>
  <w:style w:type="character" w:styleId="af7">
    <w:name w:val="Strong"/>
    <w:basedOn w:val="a2"/>
    <w:uiPriority w:val="22"/>
    <w:qFormat/>
    <w:rsid w:val="003E651D"/>
    <w:rPr>
      <w:b/>
      <w:bCs/>
    </w:rPr>
  </w:style>
  <w:style w:type="character" w:styleId="af8">
    <w:name w:val="Emphasis"/>
    <w:basedOn w:val="a2"/>
    <w:uiPriority w:val="20"/>
    <w:qFormat/>
    <w:rsid w:val="003E651D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3E651D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="Times New Roman"/>
      <w:b/>
      <w:bCs/>
      <w:i/>
      <w:iCs/>
      <w:color w:val="4472C4" w:themeColor="accent1"/>
      <w:sz w:val="24"/>
      <w:lang w:val="en-US"/>
    </w:rPr>
  </w:style>
  <w:style w:type="character" w:customStyle="1" w:styleId="afa">
    <w:name w:val="Выделенная цитата Знак"/>
    <w:basedOn w:val="a2"/>
    <w:link w:val="af9"/>
    <w:uiPriority w:val="30"/>
    <w:rsid w:val="003E651D"/>
    <w:rPr>
      <w:rFonts w:ascii="Times New Roman" w:eastAsia="Times New Roman" w:hAnsi="Times New Roman"/>
      <w:b/>
      <w:bCs/>
      <w:i/>
      <w:iCs/>
      <w:color w:val="4472C4" w:themeColor="accent1"/>
      <w:sz w:val="24"/>
      <w:lang w:val="en-US"/>
    </w:rPr>
  </w:style>
  <w:style w:type="character" w:styleId="afb">
    <w:name w:val="Subtle Emphasis"/>
    <w:basedOn w:val="a2"/>
    <w:uiPriority w:val="19"/>
    <w:qFormat/>
    <w:rsid w:val="003E651D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3E651D"/>
    <w:rPr>
      <w:b/>
      <w:bCs/>
      <w:i/>
      <w:iCs/>
      <w:color w:val="4472C4" w:themeColor="accent1"/>
    </w:rPr>
  </w:style>
  <w:style w:type="character" w:styleId="afd">
    <w:name w:val="Subtle Reference"/>
    <w:basedOn w:val="a2"/>
    <w:uiPriority w:val="31"/>
    <w:qFormat/>
    <w:rsid w:val="003E651D"/>
    <w:rPr>
      <w:smallCaps/>
      <w:color w:val="ED7D31" w:themeColor="accent2"/>
      <w:u w:val="single"/>
    </w:rPr>
  </w:style>
  <w:style w:type="character" w:styleId="afe">
    <w:name w:val="Intense Reference"/>
    <w:basedOn w:val="a2"/>
    <w:uiPriority w:val="32"/>
    <w:qFormat/>
    <w:rsid w:val="003E651D"/>
    <w:rPr>
      <w:b/>
      <w:bCs/>
      <w:smallCaps/>
      <w:color w:val="ED7D31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3E651D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3E651D"/>
    <w:pPr>
      <w:outlineLvl w:val="9"/>
    </w:pPr>
  </w:style>
  <w:style w:type="table" w:styleId="aff1">
    <w:name w:val="Table Grid"/>
    <w:basedOn w:val="a3"/>
    <w:uiPriority w:val="59"/>
    <w:rsid w:val="003E651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3E651D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3E651D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3E651D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3E651D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3E651D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3E651D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3E651D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3">
    <w:name w:val="Light List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4">
    <w:name w:val="Light Grid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3E65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3E651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5">
    <w:name w:val="Dark List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3E651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6">
    <w:name w:val="Colorful Shading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8">
    <w:name w:val="Colorful Grid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3E651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E651D"/>
    <w:rPr>
      <w:color w:val="0563C1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E6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optom.2015.10.0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8/s41598-025-05021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00417-022-05901-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2863</Words>
  <Characters>16324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Подгорнов</dc:creator>
  <cp:keywords/>
  <dc:description/>
  <cp:lastModifiedBy>Vladislav</cp:lastModifiedBy>
  <cp:revision>2</cp:revision>
  <dcterms:created xsi:type="dcterms:W3CDTF">2026-03-04T13:29:00Z</dcterms:created>
  <dcterms:modified xsi:type="dcterms:W3CDTF">2026-03-04T13:29:00Z</dcterms:modified>
</cp:coreProperties>
</file>