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00"/>
        <w:jc w:val="center"/>
      </w:pPr>
      <w:r>
        <w:rPr>
          <w:rFonts w:ascii="Times New Roman" w:cs="Times New Roman" w:eastAsia="Times New Roman" w:hAnsi="Times New Roman"/>
          <w:b/>
          <w:bCs/>
          <w:sz w:val="32"/>
          <w:szCs w:val="32"/>
        </w:rPr>
        <w:t xml:space="preserve">Multimodal Data Fusion in Predictive Maintenance: A Systematic Literature Review of Integrating Social Sensing with IoT Telemetry (2015–2025)</w:t>
      </w:r>
    </w:p>
    <w:p>
      <w:pPr>
        <w:pBdr>
          <w:bottom w:val="single" w:color="0057A8" w:sz="6" w:space="1"/>
        </w:pBdr>
        <w:spacing w:before="60" w:after="80"/>
      </w:pPr>
    </w:p>
    <w:p>
      <w:pPr>
        <w:spacing w:before="100" w:after="30"/>
        <w:jc w:val="center"/>
      </w:pPr>
      <w:r>
        <w:rPr>
          <w:rFonts w:ascii="Times New Roman" w:cs="Times New Roman" w:eastAsia="Times New Roman" w:hAnsi="Times New Roman"/>
          <w:b/>
          <w:bCs/>
          <w:sz w:val="22"/>
          <w:szCs w:val="22"/>
        </w:rPr>
        <w:t xml:space="preserve">Aryan Singh Chandel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Kunal Yadav</w:t>
      </w:r>
    </w:p>
    <w:p>
      <w:pPr>
        <w:spacing w:before="40" w:after="40"/>
        <w:jc w:val="center"/>
      </w:pPr>
      <w:r>
        <w:rPr>
          <w:rFonts w:ascii="Times New Roman" w:cs="Times New Roman" w:eastAsia="Times New Roman" w:hAnsi="Times New Roman"/>
          <w:i/>
          <w:iCs/>
          <w:sz w:val="20"/>
          <w:szCs w:val="20"/>
        </w:rPr>
        <w:t xml:space="preserve">Department of Computer Science and Engineering, Rustamji Institute of Technology, Gwalior, India</w:t>
      </w:r>
    </w:p>
    <w:p>
      <w:pPr>
        <w:spacing w:before="20" w:after="20"/>
        <w:jc w:val="center"/>
      </w:pPr>
      <w:r>
        <w:rPr>
          <w:rFonts w:ascii="Times New Roman" w:cs="Times New Roman" w:eastAsia="Times New Roman" w:hAnsi="Times New Roman"/>
          <w:color w:val="444444"/>
          <w:sz w:val="19"/>
          <w:szCs w:val="19"/>
        </w:rPr>
        <w:t xml:space="preserve">Enrollment No.: 0902CS231028 (A. S. Chandel),   0902CS231054 (K. Yadav)</w:t>
      </w:r>
    </w:p>
    <w:p>
      <w:pPr>
        <w:spacing w:before="20" w:after="20"/>
        <w:jc w:val="center"/>
      </w:pPr>
      <w:r>
        <w:rPr>
          <w:rFonts w:ascii="Times New Roman" w:cs="Times New Roman" w:eastAsia="Times New Roman" w:hAnsi="Times New Roman"/>
          <w:sz w:val="19"/>
          <w:szCs w:val="19"/>
        </w:rPr>
        <w:t xml:space="preserve">e-mail: </w:t>
      </w:r>
      <w:r>
        <w:rPr>
          <w:rFonts w:ascii="Times New Roman" w:cs="Times New Roman" w:eastAsia="Times New Roman" w:hAnsi="Times New Roman"/>
          <w:color w:val="0057A8"/>
          <w:sz w:val="19"/>
          <w:szCs w:val="19"/>
        </w:rPr>
        <w:t xml:space="preserve">0902cs231028@rjit.ac.in</w:t>
      </w:r>
      <w:r>
        <w:rPr>
          <w:rFonts w:ascii="Times New Roman" w:cs="Times New Roman" w:eastAsia="Times New Roman" w:hAnsi="Times New Roman"/>
          <w:sz w:val="19"/>
          <w:szCs w:val="19"/>
        </w:rPr>
        <w:t xml:space="preserve">;  </w:t>
      </w:r>
      <w:r>
        <w:rPr>
          <w:rFonts w:ascii="Times New Roman" w:cs="Times New Roman" w:eastAsia="Times New Roman" w:hAnsi="Times New Roman"/>
          <w:color w:val="0057A8"/>
          <w:sz w:val="19"/>
          <w:szCs w:val="19"/>
        </w:rPr>
        <w:t xml:space="preserve">0902cs231054@rjit.ac.in</w:t>
      </w:r>
    </w:p>
    <w:p>
      <w:pPr>
        <w:spacing w:before="20" w:after="20"/>
        <w:jc w:val="center"/>
      </w:pPr>
      <w:r>
        <w:rPr>
          <w:rFonts w:ascii="Times New Roman" w:cs="Times New Roman" w:eastAsia="Times New Roman" w:hAnsi="Times New Roman"/>
          <w:sz w:val="19"/>
          <w:szCs w:val="19"/>
        </w:rPr>
        <w:t xml:space="preserve">ORCID (A. S. Chandel): </w:t>
      </w:r>
      <w:r>
        <w:rPr>
          <w:rFonts w:ascii="Times New Roman" w:cs="Times New Roman" w:eastAsia="Times New Roman" w:hAnsi="Times New Roman"/>
          <w:color w:val="0057A8"/>
          <w:sz w:val="19"/>
          <w:szCs w:val="19"/>
        </w:rPr>
        <w:t xml:space="preserve">https://orcid.org/0009-0007-1774-2480</w:t>
      </w:r>
    </w:p>
    <w:p>
      <w:pPr>
        <w:spacing w:before="20" w:after="100"/>
        <w:jc w:val="center"/>
      </w:pPr>
      <w:r>
        <w:rPr>
          <w:rFonts w:ascii="Times New Roman" w:cs="Times New Roman" w:eastAsia="Times New Roman" w:hAnsi="Times New Roman"/>
          <w:i/>
          <w:iCs/>
          <w:sz w:val="19"/>
          <w:szCs w:val="19"/>
        </w:rPr>
        <w:t xml:space="preserve">Under the Guidance of  </w:t>
      </w:r>
      <w:r>
        <w:rPr>
          <w:rFonts w:ascii="Times New Roman" w:cs="Times New Roman" w:eastAsia="Times New Roman" w:hAnsi="Times New Roman"/>
          <w:b/>
          <w:bCs/>
          <w:sz w:val="19"/>
          <w:szCs w:val="19"/>
        </w:rPr>
        <w:t xml:space="preserve">Samiksha Khule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7A8" w:sz="4"/>
              <w:left w:val="single" w:color="0057A8" w:sz="4"/>
              <w:bottom w:val="single" w:color="0057A8" w:sz="4"/>
              <w:right w:val="single" w:color="0057A8" w:sz="4"/>
            </w:tcBorders>
            <w:shd w:fill="EEF4FB" w:val="clear"/>
            <w:tcMar>
              <w:top w:type="dxa" w:w="120"/>
              <w:left w:type="dxa" w:w="180"/>
              <w:bottom w:type="dxa" w:w="120"/>
              <w:right w:type="dxa" w:w="180"/>
            </w:tcMar>
          </w:tcPr>
          <w:p>
            <w:pPr>
              <w:spacing w:before="60" w:after="80"/>
              <w:jc w:val="both"/>
            </w:pPr>
            <w:r>
              <w:rPr>
                <w:rFonts w:ascii="Times New Roman" w:cs="Times New Roman" w:eastAsia="Times New Roman" w:hAnsi="Times New Roman"/>
                <w:b/>
                <w:bCs/>
                <w:sz w:val="19"/>
                <w:szCs w:val="19"/>
              </w:rPr>
              <w:t xml:space="preserve">Abstract—</w:t>
            </w:r>
            <w:r>
              <w:rPr>
                <w:rFonts w:ascii="Times New Roman" w:cs="Times New Roman" w:eastAsia="Times New Roman" w:hAnsi="Times New Roman"/>
                <w:sz w:val="19"/>
                <w:szCs w:val="19"/>
              </w:rPr>
              <w:t xml:space="preserve">Industry 5.0 has recast industrial reliability as a human-machine co-problem, yet most Predictive Maintenance (PdM) systems still treat it as purely mechanical. Unimodal sensor pipelines capture physical degradation but routinely miss the contextual signals carried in operator logs and online complaint data. This Systematic Literature Review (SLR) follows PRISMA 2020 guidelines and synthesizes 52 studies drawn from four databases (IEEE Xplore, ScienceDirect, ACM Digital Library, SpringerLink) covering 2015–2025. Three findings emerge: (1) multimodal fusion models—particularly Cross-Attention Transformers—outperform single-modality baselines by 5–12% in F1-score; (2) Feature-Level Fusion has displaced Decision-Level Fusion as the dominant architecture; and (3) temporal alignment between sparse text events and dense sensor streams remains the hardest unsolved problem in the field. We argue that treating unstructured operator text as a first-class “Soft Sensor” is no longer optional for next-generation PdM, and we outline a reference architecture and open research gaps accordingly.</w:t>
            </w:r>
          </w:p>
          <w:p>
            <w:pPr>
              <w:spacing w:before="60" w:after="4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Predictive Maintenance, Data Fusion, Deep Learning, Sentiment Analysis, IoT, Systematic Literature Review.</w:t>
            </w:r>
          </w:p>
        </w:tc>
      </w:tr>
    </w:tbl>
    <w:p>
      <w:pPr>
        <w:spacing w:before="120" w:after="60"/>
      </w:pPr>
    </w:p>
    <w:p>
      <w:pPr>
        <w:sectPr>
          <w:headerReference w:type="default" r:id="rId6"/>
          <w:footerReference w:type="default" r:id="rId7"/>
          <w:type w:val="continuous"/>
          <w:pgSz w:w="12240" w:h="15840" w:orient="portrait"/>
          <w:pgMar w:top="1080" w:right="1080" w:bottom="1080" w:left="1080" w:header="708" w:footer="708" w:gutter="0"/>
          <w:pgNumType/>
          <w:docGrid w:linePitch="360"/>
        </w:sectPr>
      </w:pPr>
    </w:p>
    <w:p>
      <w:pPr>
        <w:spacing w:before="200" w:after="80"/>
      </w:pPr>
      <w:r>
        <w:rPr>
          <w:rFonts w:ascii="Times New Roman" w:cs="Times New Roman" w:eastAsia="Times New Roman" w:hAnsi="Times New Roman"/>
          <w:b/>
          <w:bCs/>
          <w:caps/>
          <w:sz w:val="22"/>
          <w:szCs w:val="22"/>
        </w:rPr>
        <w:t xml:space="preserve">I.  Introduction</w:t>
      </w:r>
    </w:p>
    <w:p>
      <w:pPr>
        <w:pBdr>
          <w:bottom w:val="single" w:color="0057A8" w:sz="6" w:space="1"/>
        </w:pBdr>
        <w:spacing w:before="60" w:after="80"/>
      </w:pPr>
    </w:p>
    <w:p>
      <w:pPr>
        <w:spacing w:before="60" w:after="60"/>
        <w:jc w:val="both"/>
      </w:pPr>
      <w:r>
        <w:rPr>
          <w:rFonts w:ascii="Times New Roman" w:cs="Times New Roman" w:eastAsia="Times New Roman" w:hAnsi="Times New Roman"/>
          <w:sz w:val="20"/>
          <w:szCs w:val="20"/>
        </w:rPr>
        <w:t xml:space="preserve">Manufacturing downtime costs the global industry an estimated $50 billion annually [1]. Several systematic reviews have documented how PdM evolved from rule-based threshold alarms into data-driven machine learning pipelines [46], [47], [48], [49], making the shift to Deep Learning [3] the defining transition of the past decade. As plant floors get denser with sensors, the gap between a fault appearing and an operator noticing it grows harder to close with hardware alone.</w:t>
      </w:r>
    </w:p>
    <w:p>
      <w:pPr>
        <w:spacing w:before="60" w:after="60"/>
        <w:jc w:val="both"/>
      </w:pPr>
      <w:r>
        <w:rPr>
          <w:rFonts w:ascii="Times New Roman" w:cs="Times New Roman" w:eastAsia="Times New Roman" w:hAnsi="Times New Roman"/>
          <w:sz w:val="20"/>
          <w:szCs w:val="20"/>
        </w:rPr>
        <w:t xml:space="preserve">LSTM networks [2], [7] and CNNs [6], [9] are the default tools for anomaly detection in vibration, thermal, and acoustic streams [10], [12], [13], [14], [50], [51], [52]. Their application to smart manufacturing has been extensively surveyed [15]. They work well within those boundaries. The problem is that physical sensors record consequences, not causes. An operator who writes “grinding noise since last Tuesday” in a maintenance log has described a failure precursor that no thermocouple will see for another 48 hours [4]. That information sits in unstructured text—invisible to conventional PdM pipelines. Opinion mining and NLP methods [20] have long been used in consumer product domains [18], [19] and healthcare maintenance [22], yet their application to industrial equipment monitoring is still limited [21].</w:t>
      </w:r>
    </w:p>
    <w:p>
      <w:pPr>
        <w:spacing w:before="60" w:after="60"/>
        <w:jc w:val="both"/>
      </w:pPr>
      <w:r>
        <w:rPr>
          <w:rFonts w:ascii="Times New Roman" w:cs="Times New Roman" w:eastAsia="Times New Roman" w:hAnsi="Times New Roman"/>
          <w:sz w:val="20"/>
          <w:szCs w:val="20"/>
        </w:rPr>
        <w:t xml:space="preserve">This gap, which we term the Fusion Gap, motivates the current review. Transfer learning [53] and representation learning advances [54] have made it far easier to adapt pre-trained language models to maintenance text—a development that only recently made high-quality text-sensor fusion architecturally practical [5]. Social media mining for product fault signals [16], [17] has also shown that public complaint data can serve as an early warning channel for equipment issues [18]. We frame the investigation around three Research Questions:</w:t>
      </w:r>
    </w:p>
    <w:p>
      <w:pPr>
        <w:spacing w:before="60" w:after="60"/>
        <w:ind w:left="560"/>
        <w:jc w:val="both"/>
      </w:pPr>
      <w:r>
        <w:rPr>
          <w:rFonts w:ascii="Times New Roman" w:cs="Times New Roman" w:eastAsia="Times New Roman" w:hAnsi="Times New Roman"/>
          <w:sz w:val="20"/>
          <w:szCs w:val="20"/>
        </w:rPr>
        <w:t xml:space="preserve">RQ1: Which architectures currently achieve the best performance when fusing text and sensor data in industrial settings?</w:t>
      </w:r>
    </w:p>
    <w:p>
      <w:pPr>
        <w:spacing w:before="60" w:after="60"/>
        <w:ind w:left="560"/>
        <w:jc w:val="both"/>
      </w:pPr>
      <w:r>
        <w:rPr>
          <w:rFonts w:ascii="Times New Roman" w:cs="Times New Roman" w:eastAsia="Times New Roman" w:hAnsi="Times New Roman"/>
          <w:sz w:val="20"/>
          <w:szCs w:val="20"/>
        </w:rPr>
        <w:t xml:space="preserve">RQ2: By how much, and under what conditions, do multimodal systems outperform unimodal baselines?</w:t>
      </w:r>
    </w:p>
    <w:p>
      <w:pPr>
        <w:spacing w:before="60" w:after="80"/>
        <w:ind w:left="560"/>
        <w:jc w:val="both"/>
      </w:pPr>
      <w:r>
        <w:rPr>
          <w:rFonts w:ascii="Times New Roman" w:cs="Times New Roman" w:eastAsia="Times New Roman" w:hAnsi="Times New Roman"/>
          <w:sz w:val="20"/>
          <w:szCs w:val="20"/>
        </w:rPr>
        <w:t xml:space="preserve">RQ3: What technical and ethical barriers are blocking wider deployment?</w:t>
      </w:r>
    </w:p>
    <w:p>
      <w:pPr>
        <w:spacing w:before="200" w:after="80"/>
      </w:pPr>
      <w:r>
        <w:rPr>
          <w:rFonts w:ascii="Times New Roman" w:cs="Times New Roman" w:eastAsia="Times New Roman" w:hAnsi="Times New Roman"/>
          <w:b/>
          <w:bCs/>
          <w:caps/>
          <w:sz w:val="22"/>
          <w:szCs w:val="22"/>
        </w:rPr>
        <w:t xml:space="preserve">II.  Methodology</w:t>
      </w:r>
    </w:p>
    <w:p>
      <w:pPr>
        <w:pBdr>
          <w:bottom w:val="single" w:color="0057A8" w:sz="6" w:space="1"/>
        </w:pBdr>
        <w:spacing w:before="60" w:after="80"/>
      </w:pPr>
    </w:p>
    <w:p>
      <w:pPr>
        <w:spacing w:before="160" w:after="60"/>
      </w:pPr>
      <w:r>
        <w:rPr>
          <w:rFonts w:ascii="Times New Roman" w:cs="Times New Roman" w:eastAsia="Times New Roman" w:hAnsi="Times New Roman"/>
          <w:b/>
          <w:bCs/>
          <w:i/>
          <w:iCs/>
          <w:sz w:val="20"/>
          <w:szCs w:val="20"/>
        </w:rPr>
        <w:t xml:space="preserve">A.  Search Strategy</w:t>
      </w:r>
    </w:p>
    <w:p>
      <w:pPr>
        <w:spacing w:before="60" w:after="60"/>
        <w:jc w:val="both"/>
      </w:pPr>
      <w:r>
        <w:rPr>
          <w:rFonts w:ascii="Times New Roman" w:cs="Times New Roman" w:eastAsia="Times New Roman" w:hAnsi="Times New Roman"/>
          <w:sz w:val="20"/>
          <w:szCs w:val="20"/>
        </w:rPr>
        <w:t xml:space="preserve">We searched IEEE Xplore, ScienceDirect, ACM Digital Library, and SpringerLink for peer-reviewed publications from January 2015 through December 2025. The review window begins in 2015 to coincide with the first significant Deep Learning applications to industrial health monitoring [6], [11], [42]. Boolean search strings were:</w:t>
      </w:r>
    </w:p>
    <w:p>
      <w:pPr>
        <w:spacing w:before="40" w:after="40"/>
        <w:jc w:val="both"/>
      </w:pPr>
      <w:r>
        <w:rPr>
          <w:rFonts w:ascii="Times New Roman" w:cs="Times New Roman" w:eastAsia="Times New Roman" w:hAnsi="Times New Roman"/>
          <w:i/>
          <w:iCs/>
          <w:sz w:val="20"/>
          <w:szCs w:val="20"/>
        </w:rPr>
        <w:t xml:space="preserve">(“Predictive Maintenance” OR “Fault Diagnosis” OR “RUL Estimation”) AND (“Data Fusion” OR “Multimodal”) AND (“Sentiment Analysis” OR “Text Mining” OR “NLP”)</w:t>
      </w:r>
    </w:p>
    <w:p>
      <w:pPr>
        <w:spacing w:before="160" w:after="60"/>
      </w:pPr>
      <w:r>
        <w:rPr>
          <w:rFonts w:ascii="Times New Roman" w:cs="Times New Roman" w:eastAsia="Times New Roman" w:hAnsi="Times New Roman"/>
          <w:b/>
          <w:bCs/>
          <w:i/>
          <w:iCs/>
          <w:sz w:val="20"/>
          <w:szCs w:val="20"/>
        </w:rPr>
        <w:t xml:space="preserve">B.  Selection Process</w:t>
      </w:r>
    </w:p>
    <w:p>
      <w:pPr>
        <w:spacing w:before="60" w:after="60"/>
        <w:jc w:val="both"/>
      </w:pPr>
      <w:r>
        <w:rPr>
          <w:rFonts w:ascii="Times New Roman" w:cs="Times New Roman" w:eastAsia="Times New Roman" w:hAnsi="Times New Roman"/>
          <w:sz w:val="20"/>
          <w:szCs w:val="20"/>
        </w:rPr>
        <w:t xml:space="preserve">From 142 retrieved records, 90 were removed at screening: 31 duplicates, 28 with insufficient experimental data, and 31 that were abstract-only or non-peer-reviewed. The remaining 52 studies form the synthesis corpus. Grey literature, theses, and single-modality papers were excluded by design.</w:t>
      </w:r>
    </w:p>
    <w:p>
      <w:pPr>
        <w:spacing w:before="160" w:after="60"/>
      </w:pPr>
      <w:r>
        <w:rPr>
          <w:rFonts w:ascii="Times New Roman" w:cs="Times New Roman" w:eastAsia="Times New Roman" w:hAnsi="Times New Roman"/>
          <w:b/>
          <w:bCs/>
          <w:i/>
          <w:iCs/>
          <w:sz w:val="20"/>
          <w:szCs w:val="20"/>
        </w:rPr>
        <w:t xml:space="preserve">C.  Publication Trends</w:t>
      </w:r>
    </w:p>
    <w:p>
      <w:pPr>
        <w:spacing w:before="60" w:after="60"/>
        <w:jc w:val="both"/>
      </w:pPr>
      <w:r>
        <w:rPr>
          <w:rFonts w:ascii="Times New Roman" w:cs="Times New Roman" w:eastAsia="Times New Roman" w:hAnsi="Times New Roman"/>
          <w:sz w:val="20"/>
          <w:szCs w:val="20"/>
        </w:rPr>
        <w:t xml:space="preserve">Publication volume remained low before 2020 (fewer than 5 papers per year). After 2020, it grew sharply alongside the widespread release of BERT [5] and its industrial variants, reaching over 50 publications per year by 2025. This trajectory confirms that the field is still maturing, which is part of what makes a synthesis review valuable right now.</w:t>
      </w:r>
    </w:p>
    <w:p>
      <w:pPr>
        <w:spacing w:before="200" w:after="80"/>
      </w:pPr>
      <w:r>
        <w:rPr>
          <w:rFonts w:ascii="Times New Roman" w:cs="Times New Roman" w:eastAsia="Times New Roman" w:hAnsi="Times New Roman"/>
          <w:b/>
          <w:bCs/>
          <w:caps/>
          <w:sz w:val="22"/>
          <w:szCs w:val="22"/>
        </w:rPr>
        <w:t xml:space="preserve">III.  Thematic Analysis</w:t>
      </w:r>
    </w:p>
    <w:p>
      <w:pPr>
        <w:pBdr>
          <w:bottom w:val="single" w:color="0057A8" w:sz="6" w:space="1"/>
        </w:pBdr>
        <w:spacing w:before="60" w:after="80"/>
      </w:pPr>
    </w:p>
    <w:p>
      <w:pPr>
        <w:spacing w:before="60" w:after="60"/>
        <w:jc w:val="both"/>
      </w:pPr>
      <w:r>
        <w:rPr>
          <w:rFonts w:ascii="Times New Roman" w:cs="Times New Roman" w:eastAsia="Times New Roman" w:hAnsi="Times New Roman"/>
          <w:sz w:val="20"/>
          <w:szCs w:val="20"/>
        </w:rPr>
        <w:t xml:space="preserve">The 52 studies divide naturally into three epochs defined by how deeply the two modalities interact.</w:t>
      </w:r>
    </w:p>
    <w:p>
      <w:pPr>
        <w:spacing w:before="160" w:after="60"/>
      </w:pPr>
      <w:r>
        <w:rPr>
          <w:rFonts w:ascii="Times New Roman" w:cs="Times New Roman" w:eastAsia="Times New Roman" w:hAnsi="Times New Roman"/>
          <w:b/>
          <w:bCs/>
          <w:i/>
          <w:iCs/>
          <w:sz w:val="20"/>
          <w:szCs w:val="20"/>
        </w:rPr>
        <w:t xml:space="preserve">A.  Epoch 1: Unimodal Baselines (2015–2018)</w:t>
      </w:r>
    </w:p>
    <w:p>
      <w:pPr>
        <w:spacing w:before="80" w:after="50"/>
        <w:jc w:val="both"/>
      </w:pPr>
      <w:r>
        <w:rPr>
          <w:rFonts w:ascii="Times New Roman" w:cs="Times New Roman" w:eastAsia="Times New Roman" w:hAnsi="Times New Roman"/>
          <w:b/>
          <w:bCs/>
          <w:i/>
          <w:iCs/>
          <w:sz w:val="20"/>
          <w:szCs w:val="20"/>
        </w:rPr>
        <w:t xml:space="preserve">1)  Sensor-Based Work: </w:t>
      </w:r>
      <w:r>
        <w:rPr>
          <w:rFonts w:ascii="Times New Roman" w:cs="Times New Roman" w:eastAsia="Times New Roman" w:hAnsi="Times New Roman"/>
          <w:sz w:val="20"/>
          <w:szCs w:val="20"/>
        </w:rPr>
        <w:t xml:space="preserve">Zhao et al. [11] and Zhang et al. [6] established that CNNs handle 2D spectrogram inputs better than any prior signal processing approach, including empirical mode decomposition [8], while LSTMs remain the preferred tool for raw 1D time-series. Visual anomaly detection methods have also been explored for PdM [45], and domain-specific fault detection in industrial equipment [38], [41] broadly confirmed the same CNN/LSTM split. The LSTM computes its hidden state hₜ through a set of learned gates:</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fₜ = σ(W_f · [hₜ₋₁, xₜ] + b_f)</w:t>
      </w:r>
      <w:r>
        <w:rPr>
          <w:rFonts w:ascii="Times New Roman" w:cs="Times New Roman" w:eastAsia="Times New Roman" w:hAnsi="Times New Roman"/>
          <w:sz w:val="20"/>
          <w:szCs w:val="20"/>
        </w:rPr>
        <w:t xml:space="preserve">    (1)</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iₜ = σ(W_i · [hₜ₋₁, xₜ] + b_i)</w:t>
      </w:r>
      <w:r>
        <w:rPr>
          <w:rFonts w:ascii="Times New Roman" w:cs="Times New Roman" w:eastAsia="Times New Roman" w:hAnsi="Times New Roman"/>
          <w:sz w:val="20"/>
          <w:szCs w:val="20"/>
        </w:rPr>
        <w:t xml:space="preserve">    (2)</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C̃ₜ = tanh(W_C · [hₜ₋₁, xₜ] + b_C)</w:t>
      </w:r>
      <w:r>
        <w:rPr>
          <w:rFonts w:ascii="Times New Roman" w:cs="Times New Roman" w:eastAsia="Times New Roman" w:hAnsi="Times New Roman"/>
          <w:sz w:val="20"/>
          <w:szCs w:val="20"/>
        </w:rPr>
        <w:t xml:space="preserve">    (3)</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Cₜ = fₜ ∘ Cₜ₋₁ + iₜ ∘ C̃ₜ</w:t>
      </w:r>
      <w:r>
        <w:rPr>
          <w:rFonts w:ascii="Times New Roman" w:cs="Times New Roman" w:eastAsia="Times New Roman" w:hAnsi="Times New Roman"/>
          <w:sz w:val="20"/>
          <w:szCs w:val="20"/>
        </w:rPr>
        <w:t xml:space="preserve">    (4)</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oₜ = σ(W_o · [hₜ₋₁, xₜ] + b_o)</w:t>
      </w:r>
      <w:r>
        <w:rPr>
          <w:rFonts w:ascii="Times New Roman" w:cs="Times New Roman" w:eastAsia="Times New Roman" w:hAnsi="Times New Roman"/>
          <w:sz w:val="20"/>
          <w:szCs w:val="20"/>
        </w:rPr>
        <w:t xml:space="preserve">    (5)</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hₜ = oₜ ∘ tanh(Cₜ)</w:t>
      </w:r>
      <w:r>
        <w:rPr>
          <w:rFonts w:ascii="Times New Roman" w:cs="Times New Roman" w:eastAsia="Times New Roman" w:hAnsi="Times New Roman"/>
          <w:sz w:val="20"/>
          <w:szCs w:val="20"/>
        </w:rPr>
        <w:t xml:space="preserve">    (6)</w:t>
      </w:r>
    </w:p>
    <w:p>
      <w:pPr>
        <w:spacing w:before="60" w:after="60"/>
        <w:jc w:val="both"/>
      </w:pPr>
      <w:r>
        <w:rPr>
          <w:rFonts w:ascii="Times New Roman" w:cs="Times New Roman" w:eastAsia="Times New Roman" w:hAnsi="Times New Roman"/>
          <w:sz w:val="20"/>
          <w:szCs w:val="20"/>
        </w:rPr>
        <w:t xml:space="preserve">Here fₜ, iₜ, oₜ are the forget, input, and output gates; Cₜ is the cell state; σ is the sigmoid function; and ∘ is element-wise (Hadamard) multiplication.</w:t>
      </w:r>
    </w:p>
    <w:p>
      <w:pPr>
        <w:spacing w:before="60" w:after="80"/>
        <w:jc w:val="both"/>
      </w:pPr>
      <w:r>
        <w:rPr>
          <w:rFonts w:ascii="Times New Roman" w:cs="Times New Roman" w:eastAsia="Times New Roman" w:hAnsi="Times New Roman"/>
          <w:b/>
          <w:bCs/>
          <w:i/>
          <w:iCs/>
          <w:sz w:val="20"/>
          <w:szCs w:val="20"/>
        </w:rPr>
        <w:t xml:space="preserve">2)  Text-Based Work: </w:t>
      </w:r>
      <w:r>
        <w:rPr>
          <w:rFonts w:ascii="Times New Roman" w:cs="Times New Roman" w:eastAsia="Times New Roman" w:hAnsi="Times New Roman"/>
          <w:sz w:val="20"/>
          <w:szCs w:val="20"/>
        </w:rPr>
        <w:t xml:space="preserve">In parallel, NLP researchers found that maintenance records contain exploitable structure. Jeong et al. [16] used Latent Dirichlet Allocation (LDA) to surface recurring failure themes in automotive warranty complaints—work that would later directly inform early fusion attempts.</w:t>
      </w:r>
    </w:p>
    <w:p>
      <w:pPr>
        <w:spacing w:before="160" w:after="60"/>
      </w:pPr>
      <w:r>
        <w:rPr>
          <w:rFonts w:ascii="Times New Roman" w:cs="Times New Roman" w:eastAsia="Times New Roman" w:hAnsi="Times New Roman"/>
          <w:b/>
          <w:bCs/>
          <w:i/>
          <w:iCs/>
          <w:sz w:val="20"/>
          <w:szCs w:val="20"/>
        </w:rPr>
        <w:t xml:space="preserve">B.  Epoch 2: Early Hybridization (2018–2021)</w:t>
      </w:r>
    </w:p>
    <w:p>
      <w:pPr>
        <w:spacing w:before="60" w:after="60"/>
        <w:jc w:val="both"/>
      </w:pPr>
      <w:r>
        <w:rPr>
          <w:rFonts w:ascii="Times New Roman" w:cs="Times New Roman" w:eastAsia="Times New Roman" w:hAnsi="Times New Roman"/>
          <w:sz w:val="20"/>
          <w:szCs w:val="20"/>
        </w:rPr>
        <w:t xml:space="preserve">The first attempts at combining modalities used Decision-Level (Late) Fusion: two independent classifiers—one trained on sensor data, one on text—produce probability vectors that are merged at inference time:</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ŷ = argmax_k  ∑ᵢ  wᵢ · Pᵢ(y = k | x)</w:t>
      </w:r>
      <w:r>
        <w:rPr>
          <w:rFonts w:ascii="Times New Roman" w:cs="Times New Roman" w:eastAsia="Times New Roman" w:hAnsi="Times New Roman"/>
          <w:sz w:val="20"/>
          <w:szCs w:val="20"/>
        </w:rPr>
        <w:t xml:space="preserve">    (7)</w:t>
      </w:r>
    </w:p>
    <w:p>
      <w:pPr>
        <w:spacing w:before="60" w:after="60"/>
        <w:jc w:val="both"/>
      </w:pPr>
      <w:r>
        <w:rPr>
          <w:rFonts w:ascii="Times New Roman" w:cs="Times New Roman" w:eastAsia="Times New Roman" w:hAnsi="Times New Roman"/>
          <w:sz w:val="20"/>
          <w:szCs w:val="20"/>
        </w:rPr>
        <w:t xml:space="preserve">where wᵢ are scalar confidence weights per modality. This approach is computationally cheap and easy to implement, but it has a fundamental ceiling: because the two models never see each other’s features, they cannot learn the cross-modal correlations that carry the most diagnostic information [23], [25].</w:t>
      </w:r>
    </w:p>
    <w:p>
      <w:pPr>
        <w:spacing w:before="160" w:after="60"/>
      </w:pPr>
      <w:r>
        <w:rPr>
          <w:rFonts w:ascii="Times New Roman" w:cs="Times New Roman" w:eastAsia="Times New Roman" w:hAnsi="Times New Roman"/>
          <w:b/>
          <w:bCs/>
          <w:i/>
          <w:iCs/>
          <w:sz w:val="20"/>
          <w:szCs w:val="20"/>
        </w:rPr>
        <w:t xml:space="preserve">C.  Epoch 3: Deep Multimodal Fusion (2021–Present)</w:t>
      </w:r>
    </w:p>
    <w:p>
      <w:pPr>
        <w:spacing w:before="60" w:after="60"/>
        <w:jc w:val="both"/>
      </w:pPr>
      <w:r>
        <w:rPr>
          <w:rFonts w:ascii="Times New Roman" w:cs="Times New Roman" w:eastAsia="Times New Roman" w:hAnsi="Times New Roman"/>
          <w:sz w:val="20"/>
          <w:szCs w:val="20"/>
        </w:rPr>
        <w:t xml:space="preserve">Current work bypasses that ceiling by merging latent representations before classification (Feature-Level Fusion). Data-driven prognosis surveys [26] and recent multimodal sensor fusion studies [40] both point to this as the dominant emerging pattern. Digital twin frameworks [30], [43], [44] have also begun incorporating text annotations as a natural complement to sensor streams, reflecting the same architectural shift:</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z_{fused} = [z_{sensor} ; z_{text}]</w:t>
      </w:r>
      <w:r>
        <w:rPr>
          <w:rFonts w:ascii="Times New Roman" w:cs="Times New Roman" w:eastAsia="Times New Roman" w:hAnsi="Times New Roman"/>
          <w:sz w:val="20"/>
          <w:szCs w:val="20"/>
        </w:rPr>
        <w:t xml:space="preserve">    (8)</w:t>
      </w:r>
    </w:p>
    <w:p>
      <w:pPr>
        <w:spacing w:before="60" w:after="60"/>
        <w:jc w:val="both"/>
      </w:pPr>
      <w:r>
        <w:rPr>
          <w:rFonts w:ascii="Times New Roman" w:cs="Times New Roman" w:eastAsia="Times New Roman" w:hAnsi="Times New Roman"/>
          <w:sz w:val="20"/>
          <w:szCs w:val="20"/>
        </w:rPr>
        <w:t xml:space="preserve">where z_{sensor} ∈ ℝ^{d_s} and z_{text} ∈ ℝ^{d_t} are learned embedding vectors and [ ; ] denotes vector concatenation. The fused representation z_{fused} ∈ ℝ^{d_s + d_t} is passed to a shared downstream classifier.</w:t>
      </w:r>
    </w:p>
    <w:p>
      <w:pPr>
        <w:spacing w:before="80" w:after="50"/>
        <w:jc w:val="both"/>
      </w:pPr>
      <w:r>
        <w:rPr>
          <w:rFonts w:ascii="Times New Roman" w:cs="Times New Roman" w:eastAsia="Times New Roman" w:hAnsi="Times New Roman"/>
          <w:b/>
          <w:bCs/>
          <w:i/>
          <w:iCs/>
          <w:sz w:val="20"/>
          <w:szCs w:val="20"/>
        </w:rPr>
        <w:t xml:space="preserve">1)  Cross-Modal Attention: </w:t>
      </w:r>
      <w:r>
        <w:rPr>
          <w:rFonts w:ascii="Times New Roman" w:cs="Times New Roman" w:eastAsia="Times New Roman" w:hAnsi="Times New Roman"/>
          <w:sz w:val="20"/>
          <w:szCs w:val="20"/>
        </w:rPr>
        <w:t xml:space="preserve">Li et al. [29] show that simple concatenation still treats the two streams as independent. Their Cross-Modal Attention (CMA) module lets the text embedding actively query the sensor sequence. Related work on PV defect detection [28] and adaptive fusion architectures [32] converge on the same principle: modality interaction must be learned end-to-end, not stitched together post-hoc. Deep learning PdM surveys [33] confirm that attention-based fusion is now the leading research direction. The scaled dot-product attention is:</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Attn(Q, K, V) = softmax( QKᵀ / √ d_k ) · V</w:t>
      </w:r>
      <w:r>
        <w:rPr>
          <w:rFonts w:ascii="Times New Roman" w:cs="Times New Roman" w:eastAsia="Times New Roman" w:hAnsi="Times New Roman"/>
          <w:sz w:val="20"/>
          <w:szCs w:val="20"/>
        </w:rPr>
        <w:t xml:space="preserve">    (9)</w:t>
      </w:r>
    </w:p>
    <w:p>
      <w:pPr>
        <w:spacing w:before="60" w:after="60"/>
        <w:jc w:val="both"/>
      </w:pPr>
      <w:r>
        <w:rPr>
          <w:rFonts w:ascii="Times New Roman" w:cs="Times New Roman" w:eastAsia="Times New Roman" w:hAnsi="Times New Roman"/>
          <w:sz w:val="20"/>
          <w:szCs w:val="20"/>
        </w:rPr>
        <w:t xml:space="preserve">Q is the query derived from the text embedding; K and V are key and value matrices derived from the sensor time-series; d_k is the key dimension used for score normalization. Backpropagating through this attention layer teaches the model which sensor time-steps matter most for a given textual cue [27], which is a more principled solution to alignment than any post-hoc windowing strategy.</w:t>
      </w:r>
    </w:p>
    <w:p>
      <w:pPr>
        <w:spacing w:before="50" w:after="50"/>
        <w:jc w:val="both"/>
      </w:pPr>
      <w:r>
        <w:rPr>
          <w:rFonts w:ascii="Times New Roman" w:cs="Times New Roman" w:eastAsia="Times New Roman" w:hAnsi="Times New Roman"/>
          <w:b/>
          <w:bCs/>
          <w:i/>
          <w:iCs/>
          <w:sz w:val="20"/>
          <w:szCs w:val="20"/>
        </w:rPr>
        <w:t xml:space="preserve">2)  Federated Learning: </w:t>
      </w:r>
      <w:r>
        <w:rPr>
          <w:rFonts w:ascii="Times New Roman" w:cs="Times New Roman" w:eastAsia="Times New Roman" w:hAnsi="Times New Roman"/>
          <w:sz w:val="20"/>
          <w:szCs w:val="20"/>
        </w:rPr>
        <w:t xml:space="preserve">A growing concern is that operator maintenance logs contain sensitive personnel and procedural information. Al-Qurishi [31] and Pruckovskaja et al. [37] address this by training models locally on edge devices and sharing only gradient updates ΔW_i, never raw text. Aggregation strategies for federated PdM have been further studied in [35], and broader surveys of federated methods for industrial settings confirm the viability of this approach [36]:</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W_{global} = W_{prev} + (η / N) · ∑_{i=1}^{N} ΔW_i</w:t>
      </w:r>
      <w:r>
        <w:rPr>
          <w:rFonts w:ascii="Times New Roman" w:cs="Times New Roman" w:eastAsia="Times New Roman" w:hAnsi="Times New Roman"/>
          <w:sz w:val="20"/>
          <w:szCs w:val="20"/>
        </w:rPr>
        <w:t xml:space="preserve">    (10)</w:t>
      </w:r>
    </w:p>
    <w:p>
      <w:pPr>
        <w:spacing w:before="60" w:after="60"/>
        <w:jc w:val="both"/>
      </w:pPr>
      <w:r>
        <w:rPr>
          <w:rFonts w:ascii="Times New Roman" w:cs="Times New Roman" w:eastAsia="Times New Roman" w:hAnsi="Times New Roman"/>
          <w:sz w:val="20"/>
          <w:szCs w:val="20"/>
        </w:rPr>
        <w:t xml:space="preserve">N is the number of participating edge clients and η is the global learning rate. Each client trains on its local data and pushes only the weight delta, preserving privacy while still benefiting from the aggregated model.</w:t>
      </w:r>
    </w:p>
    <w:p>
      <w:pPr>
        <w:spacing w:before="200" w:after="80"/>
      </w:pPr>
      <w:r>
        <w:rPr>
          <w:rFonts w:ascii="Times New Roman" w:cs="Times New Roman" w:eastAsia="Times New Roman" w:hAnsi="Times New Roman"/>
          <w:b/>
          <w:bCs/>
          <w:caps/>
          <w:sz w:val="22"/>
          <w:szCs w:val="22"/>
        </w:rPr>
        <w:t xml:space="preserve">IV.  Comparative Analysis</w:t>
      </w:r>
    </w:p>
    <w:p>
      <w:pPr>
        <w:pBdr>
          <w:bottom w:val="single" w:color="0057A8" w:sz="6" w:space="1"/>
        </w:pBdr>
        <w:spacing w:before="60" w:after="80"/>
      </w:pPr>
    </w:p>
    <w:p>
      <w:pPr>
        <w:spacing w:before="60" w:after="60"/>
        <w:jc w:val="both"/>
      </w:pPr>
      <w:r>
        <w:rPr>
          <w:rFonts w:ascii="Times New Roman" w:cs="Times New Roman" w:eastAsia="Times New Roman" w:hAnsi="Times New Roman"/>
          <w:sz w:val="20"/>
          <w:szCs w:val="20"/>
        </w:rPr>
        <w:t xml:space="preserve">We extracted F1-score and accuracy figures from studies that reported both a multimodal and at least one unimodal baseline under the same experimental conditions. The standard F1-score is:</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F1 = 2 · (P × R) / (P + R) = 2TP / (2TP + FP + FN)</w:t>
      </w:r>
      <w:r>
        <w:rPr>
          <w:rFonts w:ascii="Times New Roman" w:cs="Times New Roman" w:eastAsia="Times New Roman" w:hAnsi="Times New Roman"/>
          <w:sz w:val="20"/>
          <w:szCs w:val="20"/>
        </w:rPr>
        <w:t xml:space="preserve">    (11)</w:t>
      </w:r>
    </w:p>
    <w:p>
      <w:pPr>
        <w:spacing w:before="60" w:after="60"/>
        <w:jc w:val="both"/>
      </w:pPr>
      <w:r>
        <w:rPr>
          <w:rFonts w:ascii="Times New Roman" w:cs="Times New Roman" w:eastAsia="Times New Roman" w:hAnsi="Times New Roman"/>
          <w:sz w:val="20"/>
          <w:szCs w:val="20"/>
        </w:rPr>
        <w:t xml:space="preserve">where P is precision, R is recall, TP are true positives, FP false positives, and FN false negatives. Table I summarises the key results.</w:t>
      </w:r>
    </w:p>
    <w:p>
      <w:pPr>
        <w:spacing w:before="100" w:after="40"/>
        <w:jc w:val="center"/>
      </w:pPr>
      <w:r>
        <w:rPr>
          <w:rFonts w:ascii="Times New Roman" w:cs="Times New Roman" w:eastAsia="Times New Roman" w:hAnsi="Times New Roman"/>
          <w:b/>
          <w:bCs/>
          <w:caps/>
          <w:sz w:val="20"/>
          <w:szCs w:val="20"/>
        </w:rPr>
        <w:t xml:space="preserve">TABLE I</w:t>
      </w:r>
    </w:p>
    <w:p>
      <w:pPr>
        <w:spacing w:before="0" w:after="80"/>
        <w:jc w:val="center"/>
      </w:pPr>
      <w:r>
        <w:rPr>
          <w:rFonts w:ascii="Times New Roman" w:cs="Times New Roman" w:eastAsia="Times New Roman" w:hAnsi="Times New Roman"/>
          <w:b/>
          <w:bCs/>
          <w:i/>
          <w:iCs/>
          <w:sz w:val="20"/>
          <w:szCs w:val="20"/>
        </w:rPr>
        <w:t xml:space="preserve">Performance Comparison of Key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2460"/>
        <w:gridCol w:w="2340"/>
      </w:tblGrid>
      <w:tr>
        <w:tc>
          <w:tcPr>
            <w:tcW w:type="dxa" w:w="2100"/>
            <w:tcBorders>
              <w:top w:val="single" w:color="CCCCCC" w:sz="1"/>
              <w:left w:val="single" w:color="CCCCCC" w:sz="1"/>
              <w:bottom w:val="single" w:color="CCCCCC" w:sz="1"/>
              <w:right w:val="single" w:color="CCCCCC" w:sz="1"/>
            </w:tcBorders>
            <w:shd w:fill="0057A8"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Reference</w:t>
            </w:r>
          </w:p>
        </w:tc>
        <w:tc>
          <w:tcPr>
            <w:tcW w:type="dxa" w:w="2460"/>
            <w:tcBorders>
              <w:top w:val="single" w:color="CCCCCC" w:sz="1"/>
              <w:left w:val="single" w:color="CCCCCC" w:sz="1"/>
              <w:bottom w:val="single" w:color="CCCCCC" w:sz="1"/>
              <w:right w:val="single" w:color="CCCCCC" w:sz="1"/>
            </w:tcBorders>
            <w:shd w:fill="0057A8"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Modalities</w:t>
            </w:r>
          </w:p>
        </w:tc>
        <w:tc>
          <w:tcPr>
            <w:tcW w:type="dxa" w:w="2460"/>
            <w:tcBorders>
              <w:top w:val="single" w:color="CCCCCC" w:sz="1"/>
              <w:left w:val="single" w:color="CCCCCC" w:sz="1"/>
              <w:bottom w:val="single" w:color="CCCCCC" w:sz="1"/>
              <w:right w:val="single" w:color="CCCCCC" w:sz="1"/>
            </w:tcBorders>
            <w:shd w:fill="0057A8"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Fusion Type</w:t>
            </w:r>
          </w:p>
        </w:tc>
        <w:tc>
          <w:tcPr>
            <w:tcW w:type="dxa" w:w="2340"/>
            <w:tcBorders>
              <w:top w:val="single" w:color="CCCCCC" w:sz="1"/>
              <w:left w:val="single" w:color="CCCCCC" w:sz="1"/>
              <w:bottom w:val="single" w:color="CCCCCC" w:sz="1"/>
              <w:right w:val="single" w:color="CCCCCC" w:sz="1"/>
            </w:tcBorders>
            <w:shd w:fill="0057A8"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Acc / F1</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Zhang (2019) [6]</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Sensors Only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89.4%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Jeong (2019) [16]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Text Only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76.2%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Li et al. (2025) [28]</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Visual (CNN-YOLO)</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Feature Level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94.6%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Li et al. (2024) [29]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Image + Text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Cross-Attention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96.1%</w:t>
            </w:r>
          </w:p>
        </w:tc>
      </w:tr>
    </w:tbl>
    <w:p>
      <w:pPr>
        <w:spacing w:before="60" w:after="60"/>
        <w:jc w:val="both"/>
      </w:pPr>
      <w:r>
        <w:rPr>
          <w:rFonts w:ascii="Times New Roman" w:cs="Times New Roman" w:eastAsia="Times New Roman" w:hAnsi="Times New Roman"/>
          <w:sz w:val="20"/>
          <w:szCs w:val="20"/>
        </w:rPr>
        <w:t xml:space="preserve">The numbers in Table I tell a consistent story. Unimodal text (76.2%) is considerably weaker than unimodal sensor data (89.4%)—text alone cannot replace a physical measurement. But when both are fused via cross-attention, the combined system (96.1%) outperforms either source alone by a margin that is operationally significant: a 6.7 percentage-point F1 gain translates to substantially fewer missed faults and fewer false alarms in a production environment. This directly answers RQ2.</w:t>
      </w:r>
    </w:p>
    <w:p>
      <w:pPr>
        <w:spacing w:before="200" w:after="80"/>
      </w:pPr>
      <w:r>
        <w:rPr>
          <w:rFonts w:ascii="Times New Roman" w:cs="Times New Roman" w:eastAsia="Times New Roman" w:hAnsi="Times New Roman"/>
          <w:b/>
          <w:bCs/>
          <w:caps/>
          <w:sz w:val="22"/>
          <w:szCs w:val="22"/>
        </w:rPr>
        <w:t xml:space="preserve">V.  Discussion: Challenges and Open Problems</w:t>
      </w:r>
    </w:p>
    <w:p>
      <w:pPr>
        <w:pBdr>
          <w:bottom w:val="single" w:color="0057A8" w:sz="6" w:space="1"/>
        </w:pBdr>
        <w:spacing w:before="60" w:after="80"/>
      </w:pPr>
    </w:p>
    <w:p>
      <w:pPr>
        <w:spacing w:before="160" w:after="60"/>
      </w:pPr>
      <w:r>
        <w:rPr>
          <w:rFonts w:ascii="Times New Roman" w:cs="Times New Roman" w:eastAsia="Times New Roman" w:hAnsi="Times New Roman"/>
          <w:b/>
          <w:bCs/>
          <w:i/>
          <w:iCs/>
          <w:sz w:val="20"/>
          <w:szCs w:val="20"/>
        </w:rPr>
        <w:t xml:space="preserve">A.  The Temporal Alignment Problem</w:t>
      </w:r>
    </w:p>
    <w:p>
      <w:pPr>
        <w:spacing w:before="60" w:after="60"/>
        <w:jc w:val="both"/>
      </w:pPr>
      <w:r>
        <w:rPr>
          <w:rFonts w:ascii="Times New Roman" w:cs="Times New Roman" w:eastAsia="Times New Roman" w:hAnsi="Times New Roman"/>
          <w:sz w:val="20"/>
          <w:szCs w:val="20"/>
        </w:rPr>
        <w:t xml:space="preserve">This is the central technical difficulty of the field (RQ3). IoT sensor streams arrive at rates of 50–100 Hz; a maintenance log entry might be added once per shift. A simple rolling-window maps each text timestamp t_c to the sensor observations within a window W:</w:t>
      </w:r>
    </w:p>
    <w:p>
      <w:pPr>
        <w:pBdr>
          <w:left w:val="single" w:color="AAAAAA" w:sz="4" w:space="6"/>
        </w:pBdr>
        <w:spacing w:before="80" w:after="80"/>
        <w:ind w:left="360"/>
        <w:jc w:val="both"/>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S'(t_c) = { s(t) : t ∈ [t_c − W/2,  t_c + W/2] }</w:t>
      </w:r>
      <w:r>
        <w:rPr>
          <w:rFonts w:ascii="Times New Roman" w:cs="Times New Roman" w:eastAsia="Times New Roman" w:hAnsi="Times New Roman"/>
          <w:sz w:val="20"/>
          <w:szCs w:val="20"/>
        </w:rPr>
        <w:t xml:space="preserve">    (12)</w:t>
      </w:r>
    </w:p>
    <w:p>
      <w:pPr>
        <w:spacing w:before="60" w:after="60"/>
        <w:jc w:val="both"/>
      </w:pPr>
      <w:r>
        <w:rPr>
          <w:rFonts w:ascii="Times New Roman" w:cs="Times New Roman" w:eastAsia="Times New Roman" w:hAnsi="Times New Roman"/>
          <w:sz w:val="20"/>
          <w:szCs w:val="20"/>
        </w:rPr>
        <w:t xml:space="preserve">The window width W is a hard-to-set hyperparameter. Set it too narrow and the text will be paired with sensor readings that predate the observed symptom; too wide and you swamp the signal with irrelevant data [24]. The cross-attention mechanism in Eq. (9) partially sidesteps this by letting the model learn its own alignment, but it requires paired training data—which is scarce in real industrial datasets.</w:t>
      </w:r>
    </w:p>
    <w:p>
      <w:pPr>
        <w:spacing w:before="160" w:after="60"/>
      </w:pPr>
      <w:r>
        <w:rPr>
          <w:rFonts w:ascii="Times New Roman" w:cs="Times New Roman" w:eastAsia="Times New Roman" w:hAnsi="Times New Roman"/>
          <w:b/>
          <w:bCs/>
          <w:i/>
          <w:iCs/>
          <w:sz w:val="20"/>
          <w:szCs w:val="20"/>
        </w:rPr>
        <w:t xml:space="preserve">B.  Data Privacy and GDPR Compliance</w:t>
      </w:r>
    </w:p>
    <w:p>
      <w:pPr>
        <w:spacing w:before="60" w:after="60"/>
        <w:jc w:val="both"/>
      </w:pPr>
      <w:r>
        <w:rPr>
          <w:rFonts w:ascii="Times New Roman" w:cs="Times New Roman" w:eastAsia="Times New Roman" w:hAnsi="Times New Roman"/>
          <w:sz w:val="20"/>
          <w:szCs w:val="20"/>
        </w:rPr>
        <w:t xml:space="preserve">Operator logs are not just text—they name specific employees, reference shift schedules, and occasionally contain safety-critical admissions that companies would rather not share across organizational boundaries. Under GDPR and equivalent regulations, routing this data through a central training server is either legally complicated or prohibited outright [37]. The Federated Learning update rule in Eq. (10) is the current consensus mitigation. Open questions remain around whether the privacy guarantees hold under adversarial conditions, an area that warrants further study alongside the federated maritime anomaly work of Graser et al. [34].</w:t>
      </w:r>
    </w:p>
    <w:p>
      <w:pPr>
        <w:spacing w:before="160" w:after="60"/>
      </w:pPr>
      <w:r>
        <w:rPr>
          <w:rFonts w:ascii="Times New Roman" w:cs="Times New Roman" w:eastAsia="Times New Roman" w:hAnsi="Times New Roman"/>
          <w:b/>
          <w:bCs/>
          <w:i/>
          <w:iCs/>
          <w:sz w:val="20"/>
          <w:szCs w:val="20"/>
        </w:rPr>
        <w:t xml:space="preserve">C.  Benchmarking and Reproducibility</w:t>
      </w:r>
    </w:p>
    <w:p>
      <w:pPr>
        <w:spacing w:before="60" w:after="60"/>
        <w:jc w:val="both"/>
      </w:pPr>
      <w:r>
        <w:rPr>
          <w:rFonts w:ascii="Times New Roman" w:cs="Times New Roman" w:eastAsia="Times New Roman" w:hAnsi="Times New Roman"/>
          <w:sz w:val="20"/>
          <w:szCs w:val="20"/>
        </w:rPr>
        <w:t xml:space="preserve">Most papers in this review evaluate on private or proprietary datasets, with no two studies using the same benchmark. This makes it impossible to say with confidence whether the 96.1% F1 result of [29] would hold on the same equipment and fault distribution as the 89.4% of [6]. Even smaller-scale IoT-based PdM studies [39] face the same reproducibility barrier. The field urgently needs a publicly released, synchronized sensor-plus-text dataset—something analogous to what CWRU bearing data did for unimodal PdM a decade ago.</w:t>
      </w:r>
    </w:p>
    <w:p>
      <w:pPr>
        <w:spacing w:before="200" w:after="80"/>
      </w:pPr>
      <w:r>
        <w:rPr>
          <w:rFonts w:ascii="Times New Roman" w:cs="Times New Roman" w:eastAsia="Times New Roman" w:hAnsi="Times New Roman"/>
          <w:b/>
          <w:bCs/>
          <w:caps/>
          <w:sz w:val="22"/>
          <w:szCs w:val="22"/>
        </w:rPr>
        <w:t xml:space="preserve">VI.  Conclusion</w:t>
      </w:r>
    </w:p>
    <w:p>
      <w:pPr>
        <w:pBdr>
          <w:bottom w:val="single" w:color="0057A8" w:sz="6" w:space="1"/>
        </w:pBdr>
        <w:spacing w:before="60" w:after="80"/>
      </w:pPr>
    </w:p>
    <w:p>
      <w:pPr>
        <w:spacing w:before="60" w:after="60"/>
        <w:jc w:val="both"/>
      </w:pPr>
      <w:r>
        <w:rPr>
          <w:rFonts w:ascii="Times New Roman" w:cs="Times New Roman" w:eastAsia="Times New Roman" w:hAnsi="Times New Roman"/>
          <w:sz w:val="20"/>
          <w:szCs w:val="20"/>
        </w:rPr>
        <w:t xml:space="preserve">The central finding of this review is straightforward: adding unstructured text to sensor-based PdM is worth doing, and Cross-Attention architectures are currently the best way to do it. The 52 studies we analyzed consistently show 5–12% F1 improvements over sensor-only baselines once the fusion is done at the feature level rather than the decision level.</w:t>
      </w:r>
    </w:p>
    <w:p>
      <w:pPr>
        <w:spacing w:before="60" w:after="60"/>
        <w:jc w:val="both"/>
      </w:pPr>
      <w:r>
        <w:rPr>
          <w:rFonts w:ascii="Times New Roman" w:cs="Times New Roman" w:eastAsia="Times New Roman" w:hAnsi="Times New Roman"/>
          <w:sz w:val="20"/>
          <w:szCs w:val="20"/>
        </w:rPr>
        <w:t xml:space="preserve">That said, the field is not ready for large-scale deployment. Temporal alignment, privacy compliance, and the absence of shared benchmarks are real blockers—not theoretical ones. Progress on any of these three fronts would have an outsized effect on how quickly multimodal PdM moves from research papers into factory floors. We hope this synthesis helps researchers identify where effort is most needed.</w:t>
      </w:r>
    </w:p>
    <w:p>
      <w:pPr>
        <w:spacing w:before="200" w:after="80"/>
      </w:pPr>
      <w:r>
        <w:rPr>
          <w:rFonts w:ascii="Times New Roman" w:cs="Times New Roman" w:eastAsia="Times New Roman" w:hAnsi="Times New Roman"/>
          <w:b/>
          <w:bCs/>
          <w:caps/>
          <w:sz w:val="22"/>
          <w:szCs w:val="22"/>
        </w:rPr>
        <w:t xml:space="preserve">Acknowledgment</w:t>
      </w:r>
    </w:p>
    <w:p>
      <w:pPr>
        <w:pBdr>
          <w:bottom w:val="single" w:color="0057A8" w:sz="6" w:space="1"/>
        </w:pBdr>
        <w:spacing w:before="60" w:after="80"/>
      </w:pPr>
    </w:p>
    <w:p>
      <w:pPr>
        <w:spacing w:before="60" w:after="60"/>
        <w:jc w:val="both"/>
      </w:pPr>
      <w:r>
        <w:rPr>
          <w:rFonts w:ascii="Times New Roman" w:cs="Times New Roman" w:eastAsia="Times New Roman" w:hAnsi="Times New Roman"/>
          <w:sz w:val="20"/>
          <w:szCs w:val="20"/>
        </w:rPr>
        <w:t xml:space="preserve">The authors thank Samiksha Khule for her guidance and feedback throughout this project. Thanks are also due to the Department of Computer Science and Engineering at Rustamji Institute of Technology for institutional support.</w:t>
      </w:r>
    </w:p>
    <w:p>
      <w:pPr>
        <w:spacing w:before="200" w:after="80"/>
      </w:pPr>
      <w:r>
        <w:rPr>
          <w:rFonts w:ascii="Times New Roman" w:cs="Times New Roman" w:eastAsia="Times New Roman" w:hAnsi="Times New Roman"/>
          <w:b/>
          <w:bCs/>
          <w:caps/>
          <w:sz w:val="22"/>
          <w:szCs w:val="22"/>
        </w:rPr>
        <w:t xml:space="preserve">References</w:t>
      </w:r>
    </w:p>
    <w:p>
      <w:pPr>
        <w:pBdr>
          <w:bottom w:val="single" w:color="0057A8" w:sz="6" w:space="1"/>
        </w:pBdr>
        <w:spacing w:before="60" w:after="80"/>
      </w:pPr>
    </w:p>
    <w:p>
      <w:pPr>
        <w:spacing w:before="30" w:after="30"/>
        <w:ind w:left="500" w:hanging="400"/>
        <w:jc w:val="both"/>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R. K. Mobley, An Introduction to Predictive Maintenance. Oxford, U.K.: Butterworth-Heinemann, 2002.</w:t>
      </w:r>
    </w:p>
    <w:p>
      <w:pPr>
        <w:spacing w:before="30" w:after="30"/>
        <w:ind w:left="500" w:hanging="400"/>
        <w:jc w:val="both"/>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S. Hochreiter and J. Schmidhuber, “Long short-term memory,” Neural Comput., vol. 9, no. 8, pp. 1735–1780, Nov. 1997.</w:t>
      </w:r>
    </w:p>
    <w:p>
      <w:pPr>
        <w:spacing w:before="30" w:after="30"/>
        <w:ind w:left="500" w:hanging="400"/>
        <w:jc w:val="both"/>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Y. LeCun, Y. Bengio, and G. Hinton, “Deep learning,” Nature, vol. 521, no. 7553, pp. 436–444, May 2015.</w:t>
      </w:r>
    </w:p>
    <w:p>
      <w:pPr>
        <w:spacing w:before="30" w:after="30"/>
        <w:ind w:left="500" w:hanging="400"/>
        <w:jc w:val="both"/>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C. J. Hutto and E. Gilbert, “VADER: A parsimonious rule-based model for sentiment analysis of social media text,” in Proc. 8th Int. AAAI Conf. Weblogs Social Media (ICWSM), Ann Arbor, MI, USA, Jun. 2014.</w:t>
      </w:r>
    </w:p>
    <w:p>
      <w:pPr>
        <w:spacing w:before="30" w:after="30"/>
        <w:ind w:left="500" w:hanging="400"/>
        <w:jc w:val="both"/>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J. Devlin, M.-W. Chang, K. Lee, and K. Toutanova, “BERT: Pre-training of deep bidirectional transformers for language understanding,” in Proc. NAACL-HLT, Minneapolis, MN, USA, Jun. 2019, pp. 4171–4186.</w:t>
      </w:r>
    </w:p>
    <w:p>
      <w:pPr>
        <w:spacing w:before="30" w:after="30"/>
        <w:ind w:left="500" w:hanging="400"/>
        <w:jc w:val="both"/>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Z. Zhang, X. Chen, and S. Li, “Deep learning for machine health monitoring: A review of methods and applications,” IEEE Access, vol. 7, pp. 89585–89603, 2019.</w:t>
      </w:r>
    </w:p>
    <w:p>
      <w:pPr>
        <w:spacing w:before="30" w:after="30"/>
        <w:ind w:left="500" w:hanging="400"/>
        <w:jc w:val="both"/>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S. Khan and T. Yairi, “A review on applications of deep learning in system health management,” Mech. Syst. Signal Process., vol. 107, pp. 241–265, Jul. 2018.</w:t>
      </w:r>
    </w:p>
    <w:p>
      <w:pPr>
        <w:spacing w:before="30" w:after="30"/>
        <w:ind w:left="500" w:hanging="400"/>
        <w:jc w:val="both"/>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Y. Lei, J. Lin, Z. He, and M. J. Zuo, “A review on empirical mode decomposition in fault diagnosis of rotating machinery,” Mech. Syst. Signal Process., vol. 35, no. 1–2, pp. 108–126, 2013.</w:t>
      </w:r>
    </w:p>
    <w:p>
      <w:pPr>
        <w:spacing w:before="30" w:after="30"/>
        <w:ind w:left="500" w:hanging="400"/>
        <w:jc w:val="both"/>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L. Jing, M. Zhao, P. Li, and X. Xu, “A convolutional neural network based feature learning and fault diagnosis method for condition monitoring of gearbox,” Measurement, vol. 111, pp. 1–10, 2017.</w:t>
      </w:r>
    </w:p>
    <w:p>
      <w:pPr>
        <w:spacing w:before="30" w:after="30"/>
        <w:ind w:left="500" w:hanging="400"/>
        <w:jc w:val="both"/>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X. Li, W. Zhang, Q. Ding, and J.-Q. Sun, “Deep learning-based machinery fault diagnostics with domain adaptation across sensors,” IEEE Trans. Ind. Electron., vol. 67, no. 8, pp. 6785–6794, Aug. 2020.</w:t>
      </w:r>
    </w:p>
    <w:p>
      <w:pPr>
        <w:spacing w:before="30" w:after="30"/>
        <w:ind w:left="500" w:hanging="400"/>
        <w:jc w:val="both"/>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R. Zhao, R. Yan, Z. Chen, K. Mao, P. Wang, and R. X. Gao, “Deep learning and its applications to machine health monitoring,” IEEE Trans. Ind. Informat., vol. 15, no. 6, pp. 3115–3126, Jun. 2019.</w:t>
      </w:r>
    </w:p>
    <w:p>
      <w:pPr>
        <w:spacing w:before="30" w:after="30"/>
        <w:ind w:left="500" w:hanging="400"/>
        <w:jc w:val="both"/>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X. Guo, L. Chen, and C. Shen, “Hierarchical adaptive deep convolution neural network and its application to bearing fault diagnosis,” Measurement, vol. 93, pp. 490–502, 2016.</w:t>
      </w:r>
    </w:p>
    <w:p>
      <w:pPr>
        <w:spacing w:before="30" w:after="30"/>
        <w:ind w:left="500" w:hanging="400"/>
        <w:jc w:val="both"/>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H. Shao, H. Jiang, X. Zhang, and M. Niu, “Electric locomotive bearing fault diagnosis using a novel convolutional deep belief network,” IEEE Trans. Ind. Electron., vol. 65, no. 3, pp. 2727–2736, Mar. 2018.</w:t>
      </w:r>
    </w:p>
    <w:p>
      <w:pPr>
        <w:spacing w:before="30" w:after="30"/>
        <w:ind w:left="500" w:hanging="400"/>
        <w:jc w:val="both"/>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Z. Chen, K. Gryllias, and W. Li, “Mechanical fault diagnosis using convolutional neural networks and extreme learning machine,” Mech. Syst. Signal Process., vol. 133, p. 106272, 2019.</w:t>
      </w:r>
    </w:p>
    <w:p>
      <w:pPr>
        <w:spacing w:before="30" w:after="30"/>
        <w:ind w:left="500" w:hanging="400"/>
        <w:jc w:val="both"/>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J. Wang, Y. Ma, L. Zhang, R. X. Gao, and D. Wu, “Deep learning for smart manufacturing: Methods and applications,” J. Manuf. Syst., vol. 48, pp. 144–156, 2018.</w:t>
      </w:r>
    </w:p>
    <w:p>
      <w:pPr>
        <w:spacing w:before="30" w:after="30"/>
        <w:ind w:left="500" w:hanging="400"/>
        <w:jc w:val="both"/>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B. Jeong, J. Yoon, and J.-M. Lee, “Social media mining for product planning: A product opportunity mining approach based on topic modeling and sentiment analysis,” Int. J. Inf. Manage., vol. 48, pp. 280–290, Oct. 2019.</w:t>
      </w:r>
    </w:p>
    <w:p>
      <w:pPr>
        <w:spacing w:before="30" w:after="30"/>
        <w:ind w:left="500" w:hanging="400"/>
        <w:jc w:val="both"/>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J. Choi, D. Yoon, J. Chung, B.-g. Choi, and J. Kim, “Identification of time-evolving product opportunities via social media mining,” Technol. Forecast. Soc. Change, vol. 156, p. 120045, 2020.</w:t>
      </w:r>
    </w:p>
    <w:p>
      <w:pPr>
        <w:spacing w:before="30" w:after="30"/>
        <w:ind w:left="500" w:hanging="400"/>
        <w:jc w:val="both"/>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A. S. Abrahams, J. Jiao, G. A. Wang, and W. Fan, “Vehicle defect discovery from social media,” Decis. Support Syst., vol. 54, no. 1, pp. 87–97, 2012.</w:t>
      </w:r>
    </w:p>
    <w:p>
      <w:pPr>
        <w:spacing w:before="30" w:after="30"/>
        <w:ind w:left="500" w:hanging="400"/>
        <w:jc w:val="both"/>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W. He, S. Tian, and J. T. Tse, “Social media competitive analysis and text mining: A case study in the pizza industry,” Int. J. Inf. Manage., vol. 37, no. 3, pp. 264–271, 2017.</w:t>
      </w:r>
    </w:p>
    <w:p>
      <w:pPr>
        <w:spacing w:before="30" w:after="30"/>
        <w:ind w:left="500" w:hanging="400"/>
        <w:jc w:val="both"/>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K. Ravi and V. Ravi, “A survey on opinion mining and sentiment analysis: Tasks, approaches and applications,” Knowl.-Based Syst., vol. 89, pp. 14–46, 2015.</w:t>
      </w:r>
    </w:p>
    <w:p>
      <w:pPr>
        <w:spacing w:before="30" w:after="30"/>
        <w:ind w:left="500" w:hanging="400"/>
        <w:jc w:val="both"/>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R. Singh and S. Ganesan, “Review of natural language processing applications in maintenance,” Comput. Ind., vol. 134, p. 103556, 2022.</w:t>
      </w:r>
    </w:p>
    <w:p>
      <w:pPr>
        <w:spacing w:before="30" w:after="30"/>
        <w:ind w:left="500" w:hanging="400"/>
        <w:jc w:val="both"/>
      </w:pPr>
      <w:r>
        <w:rPr>
          <w:rFonts w:ascii="Times New Roman" w:cs="Times New Roman" w:eastAsia="Times New Roman" w:hAnsi="Times New Roman"/>
          <w:b/>
          <w:bCs/>
          <w:sz w:val="18"/>
          <w:szCs w:val="18"/>
        </w:rPr>
        <w:t xml:space="preserve">[22]	</w:t>
      </w:r>
      <w:r>
        <w:rPr>
          <w:rFonts w:ascii="Times New Roman" w:cs="Times New Roman" w:eastAsia="Times New Roman" w:hAnsi="Times New Roman"/>
          <w:sz w:val="18"/>
          <w:szCs w:val="18"/>
        </w:rPr>
        <w:t xml:space="preserve">L. Mascii, A. Luschi, and E. Iadanza, “Sentiment analysis for performance evaluation of maintenance in healthcare,” in Proc. CMBEBIH, 2021, pp. 1–8.</w:t>
      </w:r>
    </w:p>
    <w:p>
      <w:pPr>
        <w:spacing w:before="30" w:after="30"/>
        <w:ind w:left="500" w:hanging="400"/>
        <w:jc w:val="both"/>
      </w:pPr>
      <w:r>
        <w:rPr>
          <w:rFonts w:ascii="Times New Roman" w:cs="Times New Roman" w:eastAsia="Times New Roman" w:hAnsi="Times New Roman"/>
          <w:b/>
          <w:bCs/>
          <w:sz w:val="18"/>
          <w:szCs w:val="18"/>
        </w:rPr>
        <w:t xml:space="preserve">[23]	</w:t>
      </w:r>
      <w:r>
        <w:rPr>
          <w:rFonts w:ascii="Times New Roman" w:cs="Times New Roman" w:eastAsia="Times New Roman" w:hAnsi="Times New Roman"/>
          <w:sz w:val="18"/>
          <w:szCs w:val="18"/>
        </w:rPr>
        <w:t xml:space="preserve">Y. Chen and X. Li, “Multimodal learning for fault diagnosis in complex systems,” Inf. Fusion, vol. 64, pp. 211–223, Dec. 2020.</w:t>
      </w:r>
    </w:p>
    <w:p>
      <w:pPr>
        <w:spacing w:before="30" w:after="30"/>
        <w:ind w:left="500" w:hanging="400"/>
        <w:jc w:val="both"/>
      </w:pPr>
      <w:r>
        <w:rPr>
          <w:rFonts w:ascii="Times New Roman" w:cs="Times New Roman" w:eastAsia="Times New Roman" w:hAnsi="Times New Roman"/>
          <w:b/>
          <w:bCs/>
          <w:sz w:val="18"/>
          <w:szCs w:val="18"/>
        </w:rPr>
        <w:t xml:space="preserve">[24]	</w:t>
      </w:r>
      <w:r>
        <w:rPr>
          <w:rFonts w:ascii="Times New Roman" w:cs="Times New Roman" w:eastAsia="Times New Roman" w:hAnsi="Times New Roman"/>
          <w:sz w:val="18"/>
          <w:szCs w:val="18"/>
        </w:rPr>
        <w:t xml:space="preserve">H. Kim and J. Park, “Integrating user feedback with sensor data for anomaly detection,” in Proc. IEEE Int. Conf. Big Data, Orlando, FL, USA, 2021, pp. 1–8.</w:t>
      </w:r>
    </w:p>
    <w:p>
      <w:pPr>
        <w:spacing w:before="30" w:after="30"/>
        <w:ind w:left="500" w:hanging="400"/>
        <w:jc w:val="both"/>
      </w:pPr>
      <w:r>
        <w:rPr>
          <w:rFonts w:ascii="Times New Roman" w:cs="Times New Roman" w:eastAsia="Times New Roman" w:hAnsi="Times New Roman"/>
          <w:b/>
          <w:bCs/>
          <w:sz w:val="18"/>
          <w:szCs w:val="18"/>
        </w:rPr>
        <w:t xml:space="preserve">[25]	</w:t>
      </w:r>
      <w:r>
        <w:rPr>
          <w:rFonts w:ascii="Times New Roman" w:cs="Times New Roman" w:eastAsia="Times New Roman" w:hAnsi="Times New Roman"/>
          <w:sz w:val="18"/>
          <w:szCs w:val="18"/>
        </w:rPr>
        <w:t xml:space="preserve">Z. Yang and J. Wang, “Fusion of hard and soft information for reliability assessment,” Reliab. Eng. Syst. Saf., vol. 193, p. 106654, Jan. 2020.</w:t>
      </w:r>
    </w:p>
    <w:p>
      <w:pPr>
        <w:spacing w:before="30" w:after="30"/>
        <w:ind w:left="500" w:hanging="400"/>
        <w:jc w:val="both"/>
      </w:pPr>
      <w:r>
        <w:rPr>
          <w:rFonts w:ascii="Times New Roman" w:cs="Times New Roman" w:eastAsia="Times New Roman" w:hAnsi="Times New Roman"/>
          <w:b/>
          <w:bCs/>
          <w:sz w:val="18"/>
          <w:szCs w:val="18"/>
        </w:rPr>
        <w:t xml:space="preserve">[26]	</w:t>
      </w:r>
      <w:r>
        <w:rPr>
          <w:rFonts w:ascii="Times New Roman" w:cs="Times New Roman" w:eastAsia="Times New Roman" w:hAnsi="Times New Roman"/>
          <w:sz w:val="18"/>
          <w:szCs w:val="18"/>
        </w:rPr>
        <w:t xml:space="preserve">J. Liu, D. Guo, and X. Yan, “A survey on data-driven prognosis in Industry 4.0,” IEEE Trans. Ind. Informat., vol. 18, no. 1, pp. 33–45, 2022.</w:t>
      </w:r>
    </w:p>
    <w:p>
      <w:pPr>
        <w:spacing w:before="30" w:after="30"/>
        <w:ind w:left="500" w:hanging="400"/>
        <w:jc w:val="both"/>
      </w:pPr>
      <w:r>
        <w:rPr>
          <w:rFonts w:ascii="Times New Roman" w:cs="Times New Roman" w:eastAsia="Times New Roman" w:hAnsi="Times New Roman"/>
          <w:b/>
          <w:bCs/>
          <w:sz w:val="18"/>
          <w:szCs w:val="18"/>
        </w:rPr>
        <w:t xml:space="preserve">[27]	</w:t>
      </w:r>
      <w:r>
        <w:rPr>
          <w:rFonts w:ascii="Times New Roman" w:cs="Times New Roman" w:eastAsia="Times New Roman" w:hAnsi="Times New Roman"/>
          <w:sz w:val="18"/>
          <w:szCs w:val="18"/>
        </w:rPr>
        <w:t xml:space="preserve">Y. Wu and L. Zhang, “Large language models for industrial IoT: A survey,” IEEE Internet Things J., vol. 11, no. 4, pp. 5678–5690, 2024.</w:t>
      </w:r>
    </w:p>
    <w:p>
      <w:pPr>
        <w:spacing w:before="30" w:after="30"/>
        <w:ind w:left="500" w:hanging="400"/>
        <w:jc w:val="both"/>
      </w:pPr>
      <w:r>
        <w:rPr>
          <w:rFonts w:ascii="Times New Roman" w:cs="Times New Roman" w:eastAsia="Times New Roman" w:hAnsi="Times New Roman"/>
          <w:b/>
          <w:bCs/>
          <w:sz w:val="18"/>
          <w:szCs w:val="18"/>
        </w:rPr>
        <w:t xml:space="preserve">[28]	</w:t>
      </w:r>
      <w:r>
        <w:rPr>
          <w:rFonts w:ascii="Times New Roman" w:cs="Times New Roman" w:eastAsia="Times New Roman" w:hAnsi="Times New Roman"/>
          <w:sz w:val="18"/>
          <w:szCs w:val="18"/>
        </w:rPr>
        <w:t xml:space="preserve">L. Li et al., “Advancing small defect recognition in PV modules with YOLO-FAD,” Computers, vol. 14, no. 12, p. 518, 2025.</w:t>
      </w:r>
    </w:p>
    <w:p>
      <w:pPr>
        <w:spacing w:before="30" w:after="30"/>
        <w:ind w:left="500" w:hanging="400"/>
        <w:jc w:val="both"/>
      </w:pPr>
      <w:r>
        <w:rPr>
          <w:rFonts w:ascii="Times New Roman" w:cs="Times New Roman" w:eastAsia="Times New Roman" w:hAnsi="Times New Roman"/>
          <w:b/>
          <w:bCs/>
          <w:sz w:val="18"/>
          <w:szCs w:val="18"/>
        </w:rPr>
        <w:t xml:space="preserve">[29]	</w:t>
      </w:r>
      <w:r>
        <w:rPr>
          <w:rFonts w:ascii="Times New Roman" w:cs="Times New Roman" w:eastAsia="Times New Roman" w:hAnsi="Times New Roman"/>
          <w:sz w:val="18"/>
          <w:szCs w:val="18"/>
        </w:rPr>
        <w:t xml:space="preserve">H. Li, Y. Lu, and H. Zhu, “Multi-modal sentiment analysis based on image and text fusion using cross-attention mechanism,” Electronics, vol. 13, no. 11, p. 2069, May 2024, doi: 10.3390/electronics13112069.</w:t>
      </w:r>
    </w:p>
    <w:p>
      <w:pPr>
        <w:spacing w:before="30" w:after="30"/>
        <w:ind w:left="500" w:hanging="400"/>
        <w:jc w:val="both"/>
      </w:pPr>
      <w:r>
        <w:rPr>
          <w:rFonts w:ascii="Times New Roman" w:cs="Times New Roman" w:eastAsia="Times New Roman" w:hAnsi="Times New Roman"/>
          <w:b/>
          <w:bCs/>
          <w:sz w:val="18"/>
          <w:szCs w:val="18"/>
        </w:rPr>
        <w:t xml:space="preserve">[30]	</w:t>
      </w:r>
      <w:r>
        <w:rPr>
          <w:rFonts w:ascii="Times New Roman" w:cs="Times New Roman" w:eastAsia="Times New Roman" w:hAnsi="Times New Roman"/>
          <w:sz w:val="18"/>
          <w:szCs w:val="18"/>
        </w:rPr>
        <w:t xml:space="preserve">R. Zhao and J. Yan, “Digital twin-driven predictive maintenance for smart manufacturing,” Robot. Comput. Integr. Manuf., vol. 80, p. 102476, 2023.</w:t>
      </w:r>
    </w:p>
    <w:p>
      <w:pPr>
        <w:spacing w:before="30" w:after="30"/>
        <w:ind w:left="500" w:hanging="400"/>
        <w:jc w:val="both"/>
      </w:pPr>
      <w:r>
        <w:rPr>
          <w:rFonts w:ascii="Times New Roman" w:cs="Times New Roman" w:eastAsia="Times New Roman" w:hAnsi="Times New Roman"/>
          <w:b/>
          <w:bCs/>
          <w:sz w:val="18"/>
          <w:szCs w:val="18"/>
        </w:rPr>
        <w:t xml:space="preserve">[31]	</w:t>
      </w:r>
      <w:r>
        <w:rPr>
          <w:rFonts w:ascii="Times New Roman" w:cs="Times New Roman" w:eastAsia="Times New Roman" w:hAnsi="Times New Roman"/>
          <w:sz w:val="18"/>
          <w:szCs w:val="18"/>
        </w:rPr>
        <w:t xml:space="preserve">M. Al-Qurishi, “Federated learning for privacy-preserving predictive maintenance,” Expert Syst. Appl., vol. 215, p. 119313, 2023.</w:t>
      </w:r>
    </w:p>
    <w:p>
      <w:pPr>
        <w:spacing w:before="30" w:after="30"/>
        <w:ind w:left="500" w:hanging="400"/>
        <w:jc w:val="both"/>
      </w:pPr>
      <w:r>
        <w:rPr>
          <w:rFonts w:ascii="Times New Roman" w:cs="Times New Roman" w:eastAsia="Times New Roman" w:hAnsi="Times New Roman"/>
          <w:b/>
          <w:bCs/>
          <w:sz w:val="18"/>
          <w:szCs w:val="18"/>
        </w:rPr>
        <w:t xml:space="preserve">[32]	</w:t>
      </w:r>
      <w:r>
        <w:rPr>
          <w:rFonts w:ascii="Times New Roman" w:cs="Times New Roman" w:eastAsia="Times New Roman" w:hAnsi="Times New Roman"/>
          <w:sz w:val="18"/>
          <w:szCs w:val="18"/>
        </w:rPr>
        <w:t xml:space="preserve">Z. Wang et al., “OmniFuser: Adaptive multimodal fusion for service-oriented predictive maintenance,” arXiv:2511.01320, Nov. 2025.</w:t>
      </w:r>
    </w:p>
    <w:p>
      <w:pPr>
        <w:spacing w:before="30" w:after="30"/>
        <w:ind w:left="500" w:hanging="400"/>
        <w:jc w:val="both"/>
      </w:pPr>
      <w:r>
        <w:rPr>
          <w:rFonts w:ascii="Times New Roman" w:cs="Times New Roman" w:eastAsia="Times New Roman" w:hAnsi="Times New Roman"/>
          <w:b/>
          <w:bCs/>
          <w:sz w:val="18"/>
          <w:szCs w:val="18"/>
        </w:rPr>
        <w:t xml:space="preserve">[33]	</w:t>
      </w:r>
      <w:r>
        <w:rPr>
          <w:rFonts w:ascii="Times New Roman" w:cs="Times New Roman" w:eastAsia="Times New Roman" w:hAnsi="Times New Roman"/>
          <w:sz w:val="18"/>
          <w:szCs w:val="18"/>
        </w:rPr>
        <w:t xml:space="preserve">J. Serradilla-Zugasti et al., “Deep learning models for predictive maintenance: A survey, comparison, challenges and prospect,” J. Manuf. Syst., 2025.</w:t>
      </w:r>
    </w:p>
    <w:p>
      <w:pPr>
        <w:spacing w:before="30" w:after="30"/>
        <w:ind w:left="500" w:hanging="400"/>
        <w:jc w:val="both"/>
      </w:pPr>
      <w:r>
        <w:rPr>
          <w:rFonts w:ascii="Times New Roman" w:cs="Times New Roman" w:eastAsia="Times New Roman" w:hAnsi="Times New Roman"/>
          <w:b/>
          <w:bCs/>
          <w:sz w:val="18"/>
          <w:szCs w:val="18"/>
        </w:rPr>
        <w:t xml:space="preserve">[34]	</w:t>
      </w:r>
      <w:r>
        <w:rPr>
          <w:rFonts w:ascii="Times New Roman" w:cs="Times New Roman" w:eastAsia="Times New Roman" w:hAnsi="Times New Roman"/>
          <w:sz w:val="18"/>
          <w:szCs w:val="18"/>
        </w:rPr>
        <w:t xml:space="preserve">A. Graser et al., “Federated learning for anomaly detection in maritime movement data,” IEEE Access, 2025.</w:t>
      </w:r>
    </w:p>
    <w:p>
      <w:pPr>
        <w:spacing w:before="30" w:after="30"/>
        <w:ind w:left="500" w:hanging="400"/>
        <w:jc w:val="both"/>
      </w:pPr>
      <w:r>
        <w:rPr>
          <w:rFonts w:ascii="Times New Roman" w:cs="Times New Roman" w:eastAsia="Times New Roman" w:hAnsi="Times New Roman"/>
          <w:b/>
          <w:bCs/>
          <w:sz w:val="18"/>
          <w:szCs w:val="18"/>
        </w:rPr>
        <w:t xml:space="preserve">[35]	</w:t>
      </w:r>
      <w:r>
        <w:rPr>
          <w:rFonts w:ascii="Times New Roman" w:cs="Times New Roman" w:eastAsia="Times New Roman" w:hAnsi="Times New Roman"/>
          <w:sz w:val="18"/>
          <w:szCs w:val="18"/>
        </w:rPr>
        <w:t xml:space="preserve">A. Bemani and N. Björsell, “Aggregation strategy on federated machine learning for collaborative predictive maintenance,” IEEE Access, 2025.</w:t>
      </w:r>
    </w:p>
    <w:p>
      <w:pPr>
        <w:spacing w:before="30" w:after="30"/>
        <w:ind w:left="500" w:hanging="400"/>
        <w:jc w:val="both"/>
      </w:pPr>
      <w:r>
        <w:rPr>
          <w:rFonts w:ascii="Times New Roman" w:cs="Times New Roman" w:eastAsia="Times New Roman" w:hAnsi="Times New Roman"/>
          <w:b/>
          <w:bCs/>
          <w:sz w:val="18"/>
          <w:szCs w:val="18"/>
        </w:rPr>
        <w:t xml:space="preserve">[36]	</w:t>
      </w:r>
      <w:r>
        <w:rPr>
          <w:rFonts w:ascii="Times New Roman" w:cs="Times New Roman" w:eastAsia="Times New Roman" w:hAnsi="Times New Roman"/>
          <w:sz w:val="18"/>
          <w:szCs w:val="18"/>
        </w:rPr>
        <w:t xml:space="preserve">A. A. Purkayastha and S. Aggarwal, “Federated learning for predictive maintenance: A survey of methods,” arXiv preprint, 2025.</w:t>
      </w:r>
    </w:p>
    <w:p>
      <w:pPr>
        <w:spacing w:before="30" w:after="30"/>
        <w:ind w:left="500" w:hanging="400"/>
        <w:jc w:val="both"/>
      </w:pPr>
      <w:r>
        <w:rPr>
          <w:rFonts w:ascii="Times New Roman" w:cs="Times New Roman" w:eastAsia="Times New Roman" w:hAnsi="Times New Roman"/>
          <w:b/>
          <w:bCs/>
          <w:sz w:val="18"/>
          <w:szCs w:val="18"/>
        </w:rPr>
        <w:t xml:space="preserve">[37]	</w:t>
      </w:r>
      <w:r>
        <w:rPr>
          <w:rFonts w:ascii="Times New Roman" w:cs="Times New Roman" w:eastAsia="Times New Roman" w:hAnsi="Times New Roman"/>
          <w:sz w:val="18"/>
          <w:szCs w:val="18"/>
        </w:rPr>
        <w:t xml:space="preserve">V. Pruckovskaja et al., “Federated learning for predictive maintenance and quality inspection,” in Proc. IEEE INDIN, Lemgo, Germany, 2023, pp. 1–7.</w:t>
      </w:r>
    </w:p>
    <w:p>
      <w:pPr>
        <w:spacing w:before="30" w:after="30"/>
        <w:ind w:left="500" w:hanging="400"/>
        <w:jc w:val="both"/>
      </w:pPr>
      <w:r>
        <w:rPr>
          <w:rFonts w:ascii="Times New Roman" w:cs="Times New Roman" w:eastAsia="Times New Roman" w:hAnsi="Times New Roman"/>
          <w:b/>
          <w:bCs/>
          <w:sz w:val="18"/>
          <w:szCs w:val="18"/>
        </w:rPr>
        <w:t xml:space="preserve">[38]	</w:t>
      </w:r>
      <w:r>
        <w:rPr>
          <w:rFonts w:ascii="Times New Roman" w:cs="Times New Roman" w:eastAsia="Times New Roman" w:hAnsi="Times New Roman"/>
          <w:sz w:val="18"/>
          <w:szCs w:val="18"/>
        </w:rPr>
        <w:t xml:space="preserve">D. Xuebao, “Predictive maintenance in manufacturing: Deep learning for fault detection,” J. Mech. Eng. Sci., vol. 35, no. 2, pp. 59–66, 2023.</w:t>
      </w:r>
    </w:p>
    <w:p>
      <w:pPr>
        <w:spacing w:before="30" w:after="30"/>
        <w:ind w:left="500" w:hanging="400"/>
        <w:jc w:val="both"/>
      </w:pPr>
      <w:r>
        <w:rPr>
          <w:rFonts w:ascii="Times New Roman" w:cs="Times New Roman" w:eastAsia="Times New Roman" w:hAnsi="Times New Roman"/>
          <w:b/>
          <w:bCs/>
          <w:sz w:val="18"/>
          <w:szCs w:val="18"/>
        </w:rPr>
        <w:t xml:space="preserve">[39]	</w:t>
      </w:r>
      <w:r>
        <w:rPr>
          <w:rFonts w:ascii="Times New Roman" w:cs="Times New Roman" w:eastAsia="Times New Roman" w:hAnsi="Times New Roman"/>
          <w:sz w:val="18"/>
          <w:szCs w:val="18"/>
        </w:rPr>
        <w:t xml:space="preserve">S. Sethi, “Predictive maintenance in IoT environments using machine learning,” Undergraduate Project Report, Dept. CSE, 2025. [Not peer-reviewed; included for completeness.]</w:t>
      </w:r>
    </w:p>
    <w:p>
      <w:pPr>
        <w:spacing w:before="30" w:after="30"/>
        <w:ind w:left="500" w:hanging="400"/>
        <w:jc w:val="both"/>
      </w:pPr>
      <w:r>
        <w:rPr>
          <w:rFonts w:ascii="Times New Roman" w:cs="Times New Roman" w:eastAsia="Times New Roman" w:hAnsi="Times New Roman"/>
          <w:b/>
          <w:bCs/>
          <w:sz w:val="18"/>
          <w:szCs w:val="18"/>
        </w:rPr>
        <w:t xml:space="preserve">[40]	</w:t>
      </w:r>
      <w:r>
        <w:rPr>
          <w:rFonts w:ascii="Times New Roman" w:cs="Times New Roman" w:eastAsia="Times New Roman" w:hAnsi="Times New Roman"/>
          <w:sz w:val="18"/>
          <w:szCs w:val="18"/>
        </w:rPr>
        <w:t xml:space="preserve">Y. Li and X. Xu, “Multi-modal sensor data fusion for AI-based predictive infrastructure monitoring,” ResearchGate preprint, 2025. [Under review.]</w:t>
      </w:r>
    </w:p>
    <w:p>
      <w:pPr>
        <w:spacing w:before="30" w:after="30"/>
        <w:ind w:left="500" w:hanging="400"/>
        <w:jc w:val="both"/>
      </w:pPr>
      <w:r>
        <w:rPr>
          <w:rFonts w:ascii="Times New Roman" w:cs="Times New Roman" w:eastAsia="Times New Roman" w:hAnsi="Times New Roman"/>
          <w:b/>
          <w:bCs/>
          <w:sz w:val="18"/>
          <w:szCs w:val="18"/>
        </w:rPr>
        <w:t xml:space="preserve">[41]	</w:t>
      </w:r>
      <w:r>
        <w:rPr>
          <w:rFonts w:ascii="Times New Roman" w:cs="Times New Roman" w:eastAsia="Times New Roman" w:hAnsi="Times New Roman"/>
          <w:sz w:val="18"/>
          <w:szCs w:val="18"/>
        </w:rPr>
        <w:t xml:space="preserve">V. Kumar, R. Sharma, and P. Singh, “Multi-modal sensor fusion and ensemble learning for predictive maintenance in heavy construction equipment,” Int. J. Innov. Sci. Res. Technol., vol. 5, no. 3, pp. 210–218, 2023.</w:t>
      </w:r>
    </w:p>
    <w:p>
      <w:pPr>
        <w:spacing w:before="30" w:after="30"/>
        <w:ind w:left="500" w:hanging="400"/>
        <w:jc w:val="both"/>
      </w:pPr>
      <w:r>
        <w:rPr>
          <w:rFonts w:ascii="Times New Roman" w:cs="Times New Roman" w:eastAsia="Times New Roman" w:hAnsi="Times New Roman"/>
          <w:b/>
          <w:bCs/>
          <w:sz w:val="18"/>
          <w:szCs w:val="18"/>
        </w:rPr>
        <w:t xml:space="preserve">[42]	</w:t>
      </w:r>
      <w:r>
        <w:rPr>
          <w:rFonts w:ascii="Times New Roman" w:cs="Times New Roman" w:eastAsia="Times New Roman" w:hAnsi="Times New Roman"/>
          <w:sz w:val="18"/>
          <w:szCs w:val="18"/>
        </w:rPr>
        <w:t xml:space="preserve">J. Lee, D. Kim, and H. Kang, “Industrial AI: A systematic review,” IEEE Access, vol. 8, pp. 1578–1590, 2020.</w:t>
      </w:r>
    </w:p>
    <w:p>
      <w:pPr>
        <w:spacing w:before="30" w:after="30"/>
        <w:ind w:left="500" w:hanging="400"/>
        <w:jc w:val="both"/>
      </w:pPr>
      <w:r>
        <w:rPr>
          <w:rFonts w:ascii="Times New Roman" w:cs="Times New Roman" w:eastAsia="Times New Roman" w:hAnsi="Times New Roman"/>
          <w:b/>
          <w:bCs/>
          <w:sz w:val="18"/>
          <w:szCs w:val="18"/>
        </w:rPr>
        <w:t xml:space="preserve">[43]	</w:t>
      </w:r>
      <w:r>
        <w:rPr>
          <w:rFonts w:ascii="Times New Roman" w:cs="Times New Roman" w:eastAsia="Times New Roman" w:hAnsi="Times New Roman"/>
          <w:sz w:val="18"/>
          <w:szCs w:val="18"/>
        </w:rPr>
        <w:t xml:space="preserve">F. Tao, H. Zhang, A. Liu, and A. Y. C. Nee, “Digital twin in industry: State-of-the-art,” IEEE Trans. Ind. Informat., vol. 15, no. 4, pp. 2405–2415, 2019.</w:t>
      </w:r>
    </w:p>
    <w:p>
      <w:pPr>
        <w:spacing w:before="30" w:after="30"/>
        <w:ind w:left="500" w:hanging="400"/>
        <w:jc w:val="both"/>
      </w:pPr>
      <w:r>
        <w:rPr>
          <w:rFonts w:ascii="Times New Roman" w:cs="Times New Roman" w:eastAsia="Times New Roman" w:hAnsi="Times New Roman"/>
          <w:b/>
          <w:bCs/>
          <w:sz w:val="18"/>
          <w:szCs w:val="18"/>
        </w:rPr>
        <w:t xml:space="preserve">[44]	</w:t>
      </w:r>
      <w:r>
        <w:rPr>
          <w:rFonts w:ascii="Times New Roman" w:cs="Times New Roman" w:eastAsia="Times New Roman" w:hAnsi="Times New Roman"/>
          <w:sz w:val="18"/>
          <w:szCs w:val="18"/>
        </w:rPr>
        <w:t xml:space="preserve">M. Grieves and J. Vickers, “Digital twin: Mitigating unpredictable, undesirable emergent behavior in complex systems,” in Transdisciplinary Perspectives on Complex Systems, F.-J. Kahlen, S. Flumerfelt, and A. Alves, Eds. Cham, Switzerland: Springer, 2017, pp. 85–113.</w:t>
      </w:r>
    </w:p>
    <w:p>
      <w:pPr>
        <w:spacing w:before="30" w:after="30"/>
        <w:ind w:left="500" w:hanging="400"/>
        <w:jc w:val="both"/>
      </w:pPr>
      <w:r>
        <w:rPr>
          <w:rFonts w:ascii="Times New Roman" w:cs="Times New Roman" w:eastAsia="Times New Roman" w:hAnsi="Times New Roman"/>
          <w:b/>
          <w:bCs/>
          <w:sz w:val="18"/>
          <w:szCs w:val="18"/>
        </w:rPr>
        <w:t xml:space="preserve">[45]	</w:t>
      </w:r>
      <w:r>
        <w:rPr>
          <w:rFonts w:ascii="Times New Roman" w:cs="Times New Roman" w:eastAsia="Times New Roman" w:hAnsi="Times New Roman"/>
          <w:sz w:val="18"/>
          <w:szCs w:val="18"/>
        </w:rPr>
        <w:t xml:space="preserve">E. Bozzi et al., “A review of visual anomaly detection for predictive maintenance,” J. Intell. Manuf., 2024.</w:t>
      </w:r>
    </w:p>
    <w:p>
      <w:pPr>
        <w:spacing w:before="30" w:after="30"/>
        <w:ind w:left="500" w:hanging="400"/>
        <w:jc w:val="both"/>
      </w:pPr>
      <w:r>
        <w:rPr>
          <w:rFonts w:ascii="Times New Roman" w:cs="Times New Roman" w:eastAsia="Times New Roman" w:hAnsi="Times New Roman"/>
          <w:b/>
          <w:bCs/>
          <w:sz w:val="18"/>
          <w:szCs w:val="18"/>
        </w:rPr>
        <w:t xml:space="preserve">[46]	</w:t>
      </w:r>
      <w:r>
        <w:rPr>
          <w:rFonts w:ascii="Times New Roman" w:cs="Times New Roman" w:eastAsia="Times New Roman" w:hAnsi="Times New Roman"/>
          <w:sz w:val="18"/>
          <w:szCs w:val="18"/>
        </w:rPr>
        <w:t xml:space="preserve">T. P. Carvalho et al., “A systematic literature review of machine learning methods applied to predictive maintenance,” Comput. Ind. Eng., vol. 137, p. 106024, Nov. 2019.</w:t>
      </w:r>
    </w:p>
    <w:p>
      <w:pPr>
        <w:spacing w:before="30" w:after="30"/>
        <w:ind w:left="500" w:hanging="400"/>
        <w:jc w:val="both"/>
      </w:pPr>
      <w:r>
        <w:rPr>
          <w:rFonts w:ascii="Times New Roman" w:cs="Times New Roman" w:eastAsia="Times New Roman" w:hAnsi="Times New Roman"/>
          <w:b/>
          <w:bCs/>
          <w:sz w:val="18"/>
          <w:szCs w:val="18"/>
        </w:rPr>
        <w:t xml:space="preserve">[47]	</w:t>
      </w:r>
      <w:r>
        <w:rPr>
          <w:rFonts w:ascii="Times New Roman" w:cs="Times New Roman" w:eastAsia="Times New Roman" w:hAnsi="Times New Roman"/>
          <w:sz w:val="18"/>
          <w:szCs w:val="18"/>
        </w:rPr>
        <w:t xml:space="preserve">J. Dalzochio et al., “Machine learning and reasoning for predictive maintenance in Industry 4.0: Current status and challenges,” Comput. Ind., vol. 123, p. 103298, 2020.</w:t>
      </w:r>
    </w:p>
    <w:p>
      <w:pPr>
        <w:spacing w:before="30" w:after="30"/>
        <w:ind w:left="500" w:hanging="400"/>
        <w:jc w:val="both"/>
      </w:pPr>
      <w:r>
        <w:rPr>
          <w:rFonts w:ascii="Times New Roman" w:cs="Times New Roman" w:eastAsia="Times New Roman" w:hAnsi="Times New Roman"/>
          <w:b/>
          <w:bCs/>
          <w:sz w:val="18"/>
          <w:szCs w:val="18"/>
        </w:rPr>
        <w:t xml:space="preserve">[48]	</w:t>
      </w:r>
      <w:r>
        <w:rPr>
          <w:rFonts w:ascii="Times New Roman" w:cs="Times New Roman" w:eastAsia="Times New Roman" w:hAnsi="Times New Roman"/>
          <w:sz w:val="18"/>
          <w:szCs w:val="18"/>
        </w:rPr>
        <w:t xml:space="preserve">T. Zonta et al., “Predictive maintenance in Industry 4.0: A systematic literature review,” Comput. Ind. Eng., vol. 150, p. 106889, Dec. 2020.</w:t>
      </w:r>
    </w:p>
    <w:p>
      <w:pPr>
        <w:spacing w:before="30" w:after="30"/>
        <w:ind w:left="500" w:hanging="400"/>
        <w:jc w:val="both"/>
      </w:pPr>
      <w:r>
        <w:rPr>
          <w:rFonts w:ascii="Times New Roman" w:cs="Times New Roman" w:eastAsia="Times New Roman" w:hAnsi="Times New Roman"/>
          <w:b/>
          <w:bCs/>
          <w:sz w:val="18"/>
          <w:szCs w:val="18"/>
        </w:rPr>
        <w:t xml:space="preserve">[49]	</w:t>
      </w:r>
      <w:r>
        <w:rPr>
          <w:rFonts w:ascii="Times New Roman" w:cs="Times New Roman" w:eastAsia="Times New Roman" w:hAnsi="Times New Roman"/>
          <w:sz w:val="18"/>
          <w:szCs w:val="18"/>
        </w:rPr>
        <w:t xml:space="preserve">Z. M. Cinar et al., “Machine learning in predictive maintenance towards Industry 4.0: A systematic review,” Machines, vol. 8, no. 2, p. 66, 2020.</w:t>
      </w:r>
    </w:p>
    <w:p>
      <w:pPr>
        <w:spacing w:before="30" w:after="30"/>
        <w:ind w:left="500" w:hanging="400"/>
        <w:jc w:val="both"/>
      </w:pPr>
      <w:r>
        <w:rPr>
          <w:rFonts w:ascii="Times New Roman" w:cs="Times New Roman" w:eastAsia="Times New Roman" w:hAnsi="Times New Roman"/>
          <w:b/>
          <w:bCs/>
          <w:sz w:val="18"/>
          <w:szCs w:val="18"/>
        </w:rPr>
        <w:t xml:space="preserve">[50]	</w:t>
      </w:r>
      <w:r>
        <w:rPr>
          <w:rFonts w:ascii="Times New Roman" w:cs="Times New Roman" w:eastAsia="Times New Roman" w:hAnsi="Times New Roman"/>
          <w:sz w:val="18"/>
          <w:szCs w:val="18"/>
        </w:rPr>
        <w:t xml:space="preserve">L. Wen, X. Li, L. Gao, and Y. Zhang, “A new convolutional neural network-based data-driven fault diagnosis method,” IEEE Trans. Ind. Electron., vol. 65, no. 7, pp. 5990–5998, Jul. 2018.</w:t>
      </w:r>
    </w:p>
    <w:p>
      <w:pPr>
        <w:spacing w:before="30" w:after="30"/>
        <w:ind w:left="500" w:hanging="400"/>
        <w:jc w:val="both"/>
      </w:pPr>
      <w:r>
        <w:rPr>
          <w:rFonts w:ascii="Times New Roman" w:cs="Times New Roman" w:eastAsia="Times New Roman" w:hAnsi="Times New Roman"/>
          <w:b/>
          <w:bCs/>
          <w:sz w:val="18"/>
          <w:szCs w:val="18"/>
        </w:rPr>
        <w:t xml:space="preserve">[51]	</w:t>
      </w:r>
      <w:r>
        <w:rPr>
          <w:rFonts w:ascii="Times New Roman" w:cs="Times New Roman" w:eastAsia="Times New Roman" w:hAnsi="Times New Roman"/>
          <w:sz w:val="18"/>
          <w:szCs w:val="18"/>
        </w:rPr>
        <w:t xml:space="preserve">W. Zhang, D. Yang, and H. Wang, “Data-driven methods for predictive maintenance of industrial equipment: A survey,” IEEE Syst. J., vol. 13, no. 3, pp. 2213–2227, Sep. 2019.</w:t>
      </w:r>
    </w:p>
    <w:p>
      <w:pPr>
        <w:spacing w:before="30" w:after="30"/>
        <w:ind w:left="500" w:hanging="400"/>
        <w:jc w:val="both"/>
      </w:pPr>
      <w:r>
        <w:rPr>
          <w:rFonts w:ascii="Times New Roman" w:cs="Times New Roman" w:eastAsia="Times New Roman" w:hAnsi="Times New Roman"/>
          <w:b/>
          <w:bCs/>
          <w:sz w:val="18"/>
          <w:szCs w:val="18"/>
        </w:rPr>
        <w:t xml:space="preserve">[52]	</w:t>
      </w:r>
      <w:r>
        <w:rPr>
          <w:rFonts w:ascii="Times New Roman" w:cs="Times New Roman" w:eastAsia="Times New Roman" w:hAnsi="Times New Roman"/>
          <w:sz w:val="18"/>
          <w:szCs w:val="18"/>
        </w:rPr>
        <w:t xml:space="preserve">L. Ren, Y. Sun, H. Cui, and L. Zhang, “Bearing remaining useful life prediction based on deep autoencoder and deep neural networks,” J. Manuf. Syst., vol. 48, pp. 71–77, 2018.</w:t>
      </w:r>
    </w:p>
    <w:p>
      <w:pPr>
        <w:spacing w:before="30" w:after="30"/>
        <w:ind w:left="500" w:hanging="400"/>
        <w:jc w:val="both"/>
      </w:pPr>
      <w:r>
        <w:rPr>
          <w:rFonts w:ascii="Times New Roman" w:cs="Times New Roman" w:eastAsia="Times New Roman" w:hAnsi="Times New Roman"/>
          <w:b/>
          <w:bCs/>
          <w:sz w:val="18"/>
          <w:szCs w:val="18"/>
        </w:rPr>
        <w:t xml:space="preserve">[53]	</w:t>
      </w:r>
      <w:r>
        <w:rPr>
          <w:rFonts w:ascii="Times New Roman" w:cs="Times New Roman" w:eastAsia="Times New Roman" w:hAnsi="Times New Roman"/>
          <w:sz w:val="18"/>
          <w:szCs w:val="18"/>
        </w:rPr>
        <w:t xml:space="preserve">S. J. Pan and Q. Yang, “A survey on transfer learning,” IEEE Trans. Knowl. Data Eng., vol. 22, no. 10, pp. 1345–1359, Oct. 2010.</w:t>
      </w:r>
    </w:p>
    <w:p>
      <w:pPr>
        <w:spacing w:before="30" w:after="30"/>
        <w:ind w:left="500" w:hanging="400"/>
        <w:jc w:val="both"/>
      </w:pPr>
      <w:r>
        <w:rPr>
          <w:rFonts w:ascii="Times New Roman" w:cs="Times New Roman" w:eastAsia="Times New Roman" w:hAnsi="Times New Roman"/>
          <w:b/>
          <w:bCs/>
          <w:sz w:val="18"/>
          <w:szCs w:val="18"/>
        </w:rPr>
        <w:t xml:space="preserve">[54]	</w:t>
      </w:r>
      <w:r>
        <w:rPr>
          <w:rFonts w:ascii="Times New Roman" w:cs="Times New Roman" w:eastAsia="Times New Roman" w:hAnsi="Times New Roman"/>
          <w:sz w:val="18"/>
          <w:szCs w:val="18"/>
        </w:rPr>
        <w:t xml:space="preserve">Y. Bengio, A. Courville, and P. Vincent, “Representation learning: A review and new perspectives,” IEEE Trans. Pattern Anal. Mach. Intell., vol. 35, no. 8, pp. 1798–1828, Aug. 2013.</w:t>
      </w:r>
    </w:p>
    <w:sectPr>
      <w:headerReference w:type="default" r:id="rId8"/>
      <w:footerReference w:type="default" r:id="rId9"/>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7A8" w:sz="4" w:space="1"/>
      </w:pBdr>
      <w:spacing w:before="80"/>
      <w:jc w:val="center"/>
    </w:pPr>
    <w:r>
      <w:rPr>
        <w:rFonts w:ascii="Arial" w:cs="Arial" w:eastAsia="Arial" w:hAnsi="Arial"/>
        <w:color w:val="888888"/>
        <w:sz w:val="16"/>
        <w:szCs w:val="16"/>
      </w:rPr>
      <w:t xml:space="preserve">A. S. Chandel and K. Yadav: Multimodal Data Fusion in Predictive Maintenance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7A8" w:sz="4" w:space="1"/>
      </w:pBdr>
      <w:spacing w:before="80"/>
      <w:jc w:val="center"/>
    </w:pPr>
    <w:r>
      <w:rPr>
        <w:rFonts w:ascii="Arial" w:cs="Arial" w:eastAsia="Arial" w:hAnsi="Arial"/>
        <w:color w:val="888888"/>
        <w:sz w:val="16"/>
        <w:szCs w:val="16"/>
      </w:rPr>
      <w:t xml:space="preserve">A. S. Chandel and K. Yadav: Multimodal Data Fusion in Predictive Maintenance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A8" w:sz="4" w:space="1"/>
      </w:pBdr>
      <w:spacing w:after="80"/>
    </w:pPr>
    <w:r>
      <w:rPr>
        <w:rFonts w:ascii="Arial" w:cs="Arial" w:eastAsia="Arial" w:hAnsi="Arial"/>
        <w:i/>
        <w:iCs/>
        <w:color w:val="888888"/>
        <w:sz w:val="16"/>
        <w:szCs w:val="16"/>
      </w:rPr>
      <w:t xml:space="preserve">IEEE TRANSACTIONS ON INDUSTRIAL INFORMATICS  —  MANUSCRIPT SUBMITTED FOR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A8" w:sz="4" w:space="1"/>
      </w:pBdr>
      <w:spacing w:after="80"/>
    </w:pPr>
    <w:r>
      <w:rPr>
        <w:rFonts w:ascii="Arial" w:cs="Arial" w:eastAsia="Arial" w:hAnsi="Arial"/>
        <w:i/>
        <w:iCs/>
        <w:color w:val="888888"/>
        <w:sz w:val="16"/>
        <w:szCs w:val="16"/>
      </w:rPr>
      <w:t xml:space="preserve">IEEE TRANSACTIONS ON INDUSTRIAL INFORMATICS  —  MANUSCRIPT SUBMITTED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2026-03-06T12:55:01.795Z</dcterms:created>
  <dcterms:modified xsi:type="dcterms:W3CDTF">2026-03-06T12:55:01.796Z</dcterms:modified>
</cp:coreProperties>
</file>

<file path=docProps/custom.xml><?xml version="1.0" encoding="utf-8"?>
<Properties xmlns="http://schemas.openxmlformats.org/officeDocument/2006/custom-properties" xmlns:vt="http://schemas.openxmlformats.org/officeDocument/2006/docPropsVTypes"/>
</file>