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Override PartName="/word/media/rId21.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Hollow Purple Semantic Nullification: Contradiction-Induced Instability in Language-Model Representation Space</w:t>
      </w:r>
    </w:p>
    <w:p>
      <w:pPr>
        <w:pStyle w:val="Author"/>
      </w:pPr>
      <w:r>
        <w:t xml:space="preserve">Aryan Singh Chandel </w:t>
      </w:r>
    </w:p>
    <w:p>
      <w:pPr>
        <w:pStyle w:val="Date"/>
      </w:pPr>
      <w:r>
        <w:t xml:space="preserve">June 26, 2026</w:t>
      </w:r>
    </w:p>
    <w:p>
      <w:pPr>
        <w:pStyle w:val="AbstractTitle"/>
      </w:pPr>
      <w:r>
        <w:t xml:space="preserve">Abstract</w:t>
      </w:r>
    </w:p>
    <w:p>
      <w:pPr>
        <w:pStyle w:val="Abstract"/>
      </w:pPr>
      <w:r>
        <w:t xml:space="preserve">Contradiction in language models is usually treated as a labeling problem, not as a question about contextual stability. We ask whether prompts that force incompatible commitments into a single local context produce a measurable instability regime beyond ordinary prompt difficulty. To make that question testable, we define a semantic nullification index that aggregates predictive entropy, representation drift, and output inconsistency under matched controls. We then specify a benchmark with explicit control conditions, estimands, decision rules, and falsifiers, and run a seed experiment on three public SNLI-derived contradiction families. The initial evidence is mixed: the measurement pipeline is executable and informative, but the present seed run does not support a clean contradiction threshold. That result sharpens the theory by ruling out weaker, more rhetorical versions of the claim.</w:t>
      </w:r>
    </w:p>
    <w:bookmarkStart w:id="10" w:name="introduction"/>
    <w:p>
      <w:pPr>
        <w:pStyle w:val="Heading1"/>
      </w:pPr>
      <w:r>
        <w:t xml:space="preserve">Introduction</w:t>
      </w:r>
    </w:p>
    <w:p>
      <w:pPr>
        <w:pStyle w:val="FirstParagraph"/>
      </w:pPr>
      <w:r>
        <w:t xml:space="preserve">Distributional semantics has long shown that lexical opposition and lexical similarity do not separate neatly in ordinary vector spaces. Words that are conceptually opposed often remain geometrically close because they appear in similar discourse environments</w:t>
      </w:r>
      <w:r>
        <w:t xml:space="preserve"> </w:t>
      </w:r>
      <w:r>
        <w:t xml:space="preserve">. Transformer language models complicate the picture further: meaning is not read off a single embedding, but assembled through repeated contextual mixing across layers and positions</w:t>
      </w:r>
      <w:r>
        <w:t xml:space="preserve"> </w:t>
      </w:r>
      <w:r>
        <w:t xml:space="preserve">. If contradiction-sensitive failure exists, it is therefore more plausible as a dynamical instability pattern than as a simple antonym direction in representation space.</w:t>
      </w:r>
    </w:p>
    <w:p>
      <w:pPr>
        <w:pStyle w:val="BodyText"/>
      </w:pPr>
      <w:r>
        <w:t xml:space="preserve">The question in this paper is narrower than generic</w:t>
      </w:r>
      <w:r>
        <w:t xml:space="preserve"> </w:t>
      </w:r>
      <w:r>
        <w:t xml:space="preserve">“reasoning failure.”</w:t>
      </w:r>
      <w:r>
        <w:t xml:space="preserve"> </w:t>
      </w:r>
      <w:r>
        <w:t xml:space="preserve">We ask whether contradiction-rich prompts induce a distinct instability regime after controlling for topic, length, discourse style, and generic semantic density. The motivating metaphor is vivid, but the paper does not ask the reader to believe in literal cancellation inside a transformer. Its aim is more disciplined: convert an evocative intuition into explicit observables and then subject that formulation to the possibility of failure.</w:t>
      </w:r>
    </w:p>
    <w:bookmarkStart w:id="9" w:name="contributions."/>
    <w:p>
      <w:pPr>
        <w:pStyle w:val="Heading4"/>
      </w:pPr>
      <w:r>
        <w:t xml:space="preserve">Contributions.</w:t>
      </w:r>
    </w:p>
    <w:p>
      <w:pPr>
        <w:numPr>
          <w:ilvl w:val="0"/>
          <w:numId w:val="1001"/>
        </w:numPr>
      </w:pPr>
      <w:r>
        <w:t xml:space="preserve">We define a semantic nullification index that aggregates predictive entropy, representation drift, and output inconsistency.</w:t>
      </w:r>
    </w:p>
    <w:p>
      <w:pPr>
        <w:numPr>
          <w:ilvl w:val="0"/>
          <w:numId w:val="1001"/>
        </w:numPr>
      </w:pPr>
      <w:r>
        <w:t xml:space="preserve">We specify a contradiction benchmark with coherent controls, difficulty-matched non-contradictory controls, explicit contradictions, and nested contradictions.</w:t>
      </w:r>
    </w:p>
    <w:p>
      <w:pPr>
        <w:numPr>
          <w:ilvl w:val="0"/>
          <w:numId w:val="1001"/>
        </w:numPr>
      </w:pPr>
      <w:r>
        <w:t xml:space="preserve">We give formal hypotheses, test statistics, decision rules, and falsifiers that separate contradiction effects from ordinary prompt difficulty.</w:t>
      </w:r>
    </w:p>
    <w:p>
      <w:pPr>
        <w:numPr>
          <w:ilvl w:val="0"/>
          <w:numId w:val="1001"/>
        </w:numPr>
      </w:pPr>
      <w:r>
        <w:t xml:space="preserve">We report a public-data seed measurement on three SNLI-derived prompt families using a fixed model and fixed decoding protocol.</w:t>
      </w:r>
    </w:p>
    <w:bookmarkEnd w:id="9"/>
    <w:bookmarkEnd w:id="10"/>
    <w:bookmarkStart w:id="12" w:name="formal-setup"/>
    <w:p>
      <w:pPr>
        <w:pStyle w:val="Heading1"/>
      </w:pPr>
      <w:r>
        <w:t xml:space="preserve">Formal setup</w:t>
      </w:r>
    </w:p>
    <w:p>
      <w:pPr>
        <w:pStyle w:val="FirstParagraph"/>
      </w:pPr>
      <w:r>
        <w:t xml:space="preserve">Let</w:t>
      </w:r>
      <w:r>
        <w:t xml:space="preserve"> </w:t>
      </w:r>
      <m:oMath>
        <m:sSup>
          <m:e>
            <m:r>
              <m:t>x</m:t>
            </m:r>
          </m:e>
          <m:sup>
            <m:r>
              <m:rPr>
                <m:sty m:val="p"/>
              </m:rPr>
              <m:t>(</m:t>
            </m:r>
            <m:r>
              <m:t>0</m:t>
            </m:r>
            <m:r>
              <m:rPr>
                <m:sty m:val="p"/>
              </m:rPr>
              <m:t>)</m:t>
            </m:r>
          </m:sup>
        </m:sSup>
      </m:oMath>
      <w:r>
        <w:t xml:space="preserve"> </w:t>
      </w:r>
      <w:r>
        <w:t xml:space="preserve">denote a matched control prompt and</w:t>
      </w:r>
      <w:r>
        <w:t xml:space="preserve"> </w:t>
      </w:r>
      <m:oMath>
        <m:sSup>
          <m:e>
            <m:r>
              <m:t>x</m:t>
            </m:r>
          </m:e>
          <m:sup>
            <m:r>
              <m:rPr>
                <m:sty m:val="p"/>
              </m:rPr>
              <m:t>(</m:t>
            </m:r>
            <m:r>
              <m:t>c</m:t>
            </m:r>
            <m:r>
              <m:rPr>
                <m:sty m:val="p"/>
              </m:rPr>
              <m:t>)</m:t>
            </m:r>
          </m:sup>
        </m:sSup>
      </m:oMath>
      <w:r>
        <w:t xml:space="preserve"> </w:t>
      </w:r>
      <w:r>
        <w:t xml:space="preserve">a contradiction-bearing prompt. Let</w:t>
      </w:r>
      <w:r>
        <w:t xml:space="preserve"> </w:t>
      </w:r>
      <m:oMath>
        <m:sSub>
          <m:e>
            <m:r>
              <m:t>p</m:t>
            </m:r>
          </m:e>
          <m:sub>
            <m:r>
              <m:t>θ</m:t>
            </m:r>
          </m:sub>
        </m:sSub>
        <m:r>
          <m:rPr>
            <m:sty m:val="p"/>
          </m:rPr>
          <m:t>(</m:t>
        </m:r>
        <m:r>
          <m:rPr>
            <m:sty m:val="p"/>
          </m:rPr>
          <m:t>⋅</m:t>
        </m:r>
        <m:r>
          <m:rPr>
            <m:sty m:val="p"/>
          </m:rPr>
          <m:t>∣</m:t>
        </m:r>
        <m:sSub>
          <m:e>
            <m:r>
              <m:t>x</m:t>
            </m:r>
          </m:e>
          <m:sub>
            <m:r>
              <m:rPr>
                <m:sty m:val="p"/>
              </m:rPr>
              <m:t>&lt;</m:t>
            </m:r>
            <m:r>
              <m:t>t</m:t>
            </m:r>
          </m:sub>
        </m:sSub>
        <m:r>
          <m:rPr>
            <m:sty m:val="p"/>
          </m:rPr>
          <m:t>)</m:t>
        </m:r>
      </m:oMath>
      <w:r>
        <w:t xml:space="preserve"> </w:t>
      </w:r>
      <w:r>
        <w:t xml:space="preserve">be the next-token distribution at position</w:t>
      </w:r>
      <w:r>
        <w:t xml:space="preserve"> </w:t>
      </w:r>
      <m:oMath>
        <m:r>
          <m:t>t</m:t>
        </m:r>
      </m:oMath>
      <w:r>
        <w:t xml:space="preserve">, and let</w:t>
      </w:r>
      <w:r>
        <w:t xml:space="preserve"> </w:t>
      </w:r>
      <m:oMath>
        <m:sSub>
          <m:e>
            <m:r>
              <m:t>h</m:t>
            </m:r>
          </m:e>
          <m:sub>
            <m:r>
              <m:t>ℓ</m:t>
            </m:r>
          </m:sub>
        </m:sSub>
        <m:r>
          <m:rPr>
            <m:sty m:val="p"/>
          </m:rPr>
          <m:t>(</m:t>
        </m:r>
        <m:r>
          <m:t>x</m:t>
        </m:r>
        <m:r>
          <m:rPr>
            <m:sty m:val="p"/>
          </m:rPr>
          <m:t>)</m:t>
        </m:r>
        <m:r>
          <m:rPr>
            <m:sty m:val="p"/>
          </m:rPr>
          <m:t>∈</m:t>
        </m:r>
        <m:sSup>
          <m:e>
            <m:r>
              <m:rPr>
                <m:scr m:val="double-struck"/>
                <m:sty m:val="p"/>
              </m:rPr>
              <m:t>R</m:t>
            </m:r>
          </m:e>
          <m:sup>
            <m:sSub>
              <m:e>
                <m:r>
                  <m:t>d</m:t>
                </m:r>
              </m:e>
              <m:sub>
                <m:r>
                  <m:t>ℓ</m:t>
                </m:r>
              </m:sub>
            </m:sSub>
          </m:sup>
        </m:sSup>
      </m:oMath>
      <w:r>
        <w:t xml:space="preserve"> </w:t>
      </w:r>
      <w:r>
        <w:t xml:space="preserve">be a layer summary at layer</w:t>
      </w:r>
      <w:r>
        <w:t xml:space="preserve"> </w:t>
      </w:r>
      <m:oMath>
        <m:r>
          <m:t>ℓ</m:t>
        </m:r>
      </m:oMath>
      <w:r>
        <w:t xml:space="preserve">.</w:t>
      </w:r>
    </w:p>
    <w:p>
      <w:pPr>
        <w:pStyle w:val="BodyText"/>
      </w:pPr>
      <w:r>
        <w:t xml:space="preserve">The contradiction depth of prompt</w:t>
      </w:r>
      <w:r>
        <w:t xml:space="preserve"> </w:t>
      </w:r>
      <m:oMath>
        <m:r>
          <m:t>x</m:t>
        </m:r>
      </m:oMath>
      <w:r>
        <w:t xml:space="preserve"> </w:t>
      </w:r>
      <w:r>
        <w:t xml:space="preserve">is a normalized score</w:t>
      </w:r>
      <w:r>
        <w:t xml:space="preserve"> </w:t>
      </w:r>
      <m:oMath>
        <m:r>
          <m:t>d</m:t>
        </m:r>
        <m:r>
          <m:rPr>
            <m:sty m:val="p"/>
          </m:rPr>
          <m:t>(</m:t>
        </m:r>
        <m:r>
          <m:t>x</m:t>
        </m:r>
        <m:r>
          <m:rPr>
            <m:sty m:val="p"/>
          </m:rPr>
          <m:t>)</m:t>
        </m:r>
        <m:r>
          <m:rPr>
            <m:sty m:val="p"/>
          </m:rPr>
          <m:t>∈</m:t>
        </m:r>
        <m:r>
          <m:rPr>
            <m:sty m:val="p"/>
          </m:rPr>
          <m:t>[</m:t>
        </m:r>
        <m:r>
          <m:t>0</m:t>
        </m:r>
        <m:r>
          <m:rPr>
            <m:sty m:val="p"/>
          </m:rPr>
          <m:t>,</m:t>
        </m:r>
        <m:r>
          <m:t>1</m:t>
        </m:r>
        <m:r>
          <m:rPr>
            <m:sty m:val="p"/>
          </m:rPr>
          <m:t>]</m:t>
        </m:r>
      </m:oMath>
      <w:r>
        <w:t xml:space="preserve"> </w:t>
      </w:r>
      <w:r>
        <w:t xml:space="preserve">that measures the density of mutually incompatible semantic commitments relative to the number of proposition-bearing clauses in</w:t>
      </w:r>
      <w:r>
        <w:t xml:space="preserve"> </w:t>
      </w:r>
      <m:oMath>
        <m:r>
          <m:t>x</m:t>
        </m:r>
      </m:oMath>
      <w:r>
        <w:t xml:space="preserve">.</w:t>
      </w:r>
    </w:p>
    <w:p>
      <w:pPr>
        <w:pStyle w:val="BodyText"/>
      </w:pPr>
      <w:r>
        <w:t xml:space="preserve">For a monitored token set</w:t>
      </w:r>
      <w:r>
        <w:t xml:space="preserve"> </w:t>
      </w:r>
      <m:oMath>
        <m:r>
          <m:t>T</m:t>
        </m:r>
        <m:r>
          <m:rPr>
            <m:sty m:val="p"/>
          </m:rPr>
          <m:t>(</m:t>
        </m:r>
        <m:r>
          <m:t>x</m:t>
        </m:r>
        <m:r>
          <m:rPr>
            <m:sty m:val="p"/>
          </m:rPr>
          <m:t>)</m:t>
        </m:r>
      </m:oMath>
      <w:r>
        <w:t xml:space="preserve">, define the mean predictive entropy</w:t>
      </w:r>
    </w:p>
    <w:p>
      <w:pPr>
        <w:pStyle w:val="BodyText"/>
      </w:pPr>
      <m:oMathPara>
        <m:oMathParaPr>
          <m:jc m:val="center"/>
        </m:oMathParaPr>
        <m:oMath>
          <m:r>
            <m:t>H</m:t>
          </m:r>
          <m:r>
            <m:rPr>
              <m:sty m:val="p"/>
            </m:rPr>
            <m:t>(</m:t>
          </m:r>
          <m:r>
            <m:t>x</m:t>
          </m:r>
          <m:r>
            <m:rPr>
              <m:sty m:val="p"/>
            </m:rPr>
            <m:t>)</m:t>
          </m:r>
          <m:r>
            <m:rPr>
              <m:sty m:val="p"/>
            </m:rPr>
            <m:t>=</m:t>
          </m:r>
          <m:f>
            <m:fPr>
              <m:type m:val="bar"/>
            </m:fPr>
            <m:num>
              <m:r>
                <m:t>1</m:t>
              </m:r>
            </m:num>
            <m:den>
              <m:r>
                <m:rPr>
                  <m:sty m:val="p"/>
                </m:rPr>
                <m:t>|</m:t>
              </m:r>
              <m:r>
                <m:t>T</m:t>
              </m:r>
              <m:r>
                <m:rPr>
                  <m:sty m:val="p"/>
                </m:rPr>
                <m:t>(</m:t>
              </m:r>
              <m:r>
                <m:t>x</m:t>
              </m:r>
              <m:r>
                <m:rPr>
                  <m:sty m:val="p"/>
                </m:rPr>
                <m:t>)</m:t>
              </m:r>
              <m:r>
                <m:rPr>
                  <m:sty m:val="p"/>
                </m:rPr>
                <m:t>|</m:t>
              </m:r>
            </m:den>
          </m:f>
          <m:nary>
            <m:naryPr>
              <m:chr m:val="∑"/>
              <m:limLoc m:val="undOvr"/>
              <m:subHide m:val="off"/>
              <m:supHide m:val="on"/>
            </m:naryPr>
            <m:sub>
              <m:r>
                <m:t>t</m:t>
              </m:r>
              <m:r>
                <m:rPr>
                  <m:sty m:val="p"/>
                </m:rPr>
                <m:t>∈</m:t>
              </m:r>
              <m:r>
                <m:t>T</m:t>
              </m:r>
              <m:r>
                <m:rPr>
                  <m:sty m:val="p"/>
                </m:rPr>
                <m:t>(</m:t>
              </m:r>
              <m:r>
                <m:t>x</m:t>
              </m:r>
              <m:r>
                <m:rPr>
                  <m:sty m:val="p"/>
                </m:rPr>
                <m:t>)</m:t>
              </m:r>
            </m:sub>
            <m:sup>
              <m:r>
                <m:t>​</m:t>
              </m:r>
            </m:sup>
            <m:e>
              <m:d>
                <m:dPr>
                  <m:begChr m:val="("/>
                  <m:sepChr m:val=""/>
                  <m:endChr m:val=")"/>
                  <m:grow/>
                </m:dPr>
                <m:e>
                  <m:r>
                    <m:rPr>
                      <m:sty m:val="p"/>
                    </m:rPr>
                    <m:t>−</m:t>
                  </m:r>
                  <m:nary>
                    <m:naryPr>
                      <m:chr m:val="∑"/>
                      <m:limLoc m:val="undOvr"/>
                      <m:subHide m:val="off"/>
                      <m:supHide m:val="on"/>
                    </m:naryPr>
                    <m:sub>
                      <m:r>
                        <m:t>v</m:t>
                      </m:r>
                    </m:sub>
                    <m:sup>
                      <m:r>
                        <m:t>​</m:t>
                      </m:r>
                    </m:sup>
                    <m:e>
                      <m:sSub>
                        <m:e>
                          <m:r>
                            <m:t>p</m:t>
                          </m:r>
                        </m:e>
                        <m:sub>
                          <m:r>
                            <m:t>θ</m:t>
                          </m:r>
                        </m:sub>
                      </m:sSub>
                    </m:e>
                  </m:nary>
                  <m:r>
                    <m:rPr>
                      <m:sty m:val="p"/>
                    </m:rPr>
                    <m:t>(</m:t>
                  </m:r>
                  <m:r>
                    <m:t>v</m:t>
                  </m:r>
                  <m:r>
                    <m:rPr>
                      <m:sty m:val="p"/>
                    </m:rPr>
                    <m:t>∣</m:t>
                  </m:r>
                  <m:sSub>
                    <m:e>
                      <m:r>
                        <m:t>x</m:t>
                      </m:r>
                    </m:e>
                    <m:sub>
                      <m:r>
                        <m:rPr>
                          <m:sty m:val="p"/>
                        </m:rPr>
                        <m:t>&lt;</m:t>
                      </m:r>
                      <m:r>
                        <m:t>t</m:t>
                      </m:r>
                    </m:sub>
                  </m:sSub>
                  <m:r>
                    <m:rPr>
                      <m:sty m:val="p"/>
                    </m:rPr>
                    <m:t>)</m:t>
                  </m:r>
                  <m:r>
                    <m:rPr>
                      <m:sty m:val="p"/>
                    </m:rPr>
                    <m:t>log</m:t>
                  </m:r>
                  <m:sSub>
                    <m:e>
                      <m:r>
                        <m:t>p</m:t>
                      </m:r>
                    </m:e>
                    <m:sub>
                      <m:r>
                        <m:t>θ</m:t>
                      </m:r>
                    </m:sub>
                  </m:sSub>
                  <m:r>
                    <m:rPr>
                      <m:sty m:val="p"/>
                    </m:rPr>
                    <m:t>(</m:t>
                  </m:r>
                  <m:r>
                    <m:t>v</m:t>
                  </m:r>
                  <m:r>
                    <m:rPr>
                      <m:sty m:val="p"/>
                    </m:rPr>
                    <m:t>∣</m:t>
                  </m:r>
                  <m:sSub>
                    <m:e>
                      <m:r>
                        <m:t>x</m:t>
                      </m:r>
                    </m:e>
                    <m:sub>
                      <m:r>
                        <m:rPr>
                          <m:sty m:val="p"/>
                        </m:rPr>
                        <m:t>&lt;</m:t>
                      </m:r>
                      <m:r>
                        <m:t>t</m:t>
                      </m:r>
                    </m:sub>
                  </m:sSub>
                  <m:r>
                    <m:rPr>
                      <m:sty m:val="p"/>
                    </m:rPr>
                    <m:t>)</m:t>
                  </m:r>
                </m:e>
              </m:d>
            </m:e>
          </m:nary>
          <m:r>
            <m:rPr>
              <m:sty m:val="p"/>
            </m:rPr>
            <m:t>.</m:t>
          </m:r>
        </m:oMath>
      </m:oMathPara>
    </w:p>
    <w:p>
      <w:pPr>
        <w:pStyle w:val="FirstParagraph"/>
      </w:pPr>
      <w:r>
        <w:t xml:space="preserve">For a matched pair</w:t>
      </w:r>
      <w:r>
        <w:t xml:space="preserve"> </w:t>
      </w:r>
      <m:oMath>
        <m:r>
          <m:rPr>
            <m:sty m:val="p"/>
          </m:rPr>
          <m:t>(</m:t>
        </m:r>
        <m:sSup>
          <m:e>
            <m:r>
              <m:t>x</m:t>
            </m:r>
          </m:e>
          <m:sup>
            <m:r>
              <m:rPr>
                <m:sty m:val="p"/>
              </m:rPr>
              <m:t>(</m:t>
            </m:r>
            <m:r>
              <m:t>c</m:t>
            </m:r>
            <m:r>
              <m:rPr>
                <m:sty m:val="p"/>
              </m:rPr>
              <m:t>)</m:t>
            </m:r>
          </m:sup>
        </m:sSup>
        <m:r>
          <m:rPr>
            <m:sty m:val="p"/>
          </m:rPr>
          <m:t>,</m:t>
        </m:r>
        <m:sSup>
          <m:e>
            <m:r>
              <m:t>x</m:t>
            </m:r>
          </m:e>
          <m:sup>
            <m:r>
              <m:rPr>
                <m:sty m:val="p"/>
              </m:rPr>
              <m:t>(</m:t>
            </m:r>
            <m:r>
              <m:t>0</m:t>
            </m:r>
            <m:r>
              <m:rPr>
                <m:sty m:val="p"/>
              </m:rPr>
              <m:t>)</m:t>
            </m:r>
          </m:sup>
        </m:sSup>
        <m:r>
          <m:rPr>
            <m:sty m:val="p"/>
          </m:rPr>
          <m:t>)</m:t>
        </m:r>
      </m:oMath>
      <w:r>
        <w:t xml:space="preserve">, the layerwise representation drift is</w:t>
      </w:r>
    </w:p>
    <w:p>
      <w:pPr>
        <w:pStyle w:val="BodyText"/>
      </w:pPr>
      <m:oMathPara>
        <m:oMathParaPr>
          <m:jc m:val="center"/>
        </m:oMathParaPr>
        <m:oMath>
          <m:sSub>
            <m:e>
              <m:r>
                <m:rPr>
                  <m:sty m:val="p"/>
                </m:rPr>
                <m:t>Δ</m:t>
              </m:r>
            </m:e>
            <m:sub>
              <m:r>
                <m:t>ℓ</m:t>
              </m:r>
            </m:sub>
          </m:sSub>
          <m:r>
            <m:rPr>
              <m:sty m:val="p"/>
            </m:rPr>
            <m:t>(</m:t>
          </m:r>
          <m:sSup>
            <m:e>
              <m:r>
                <m:t>x</m:t>
              </m:r>
            </m:e>
            <m:sup>
              <m:r>
                <m:rPr>
                  <m:sty m:val="p"/>
                </m:rPr>
                <m:t>(</m:t>
              </m:r>
              <m:r>
                <m:t>c</m:t>
              </m:r>
              <m:r>
                <m:rPr>
                  <m:sty m:val="p"/>
                </m:rPr>
                <m:t>)</m:t>
              </m:r>
            </m:sup>
          </m:sSup>
          <m:r>
            <m:rPr>
              <m:sty m:val="p"/>
            </m:rPr>
            <m:t>,</m:t>
          </m:r>
          <m:sSup>
            <m:e>
              <m:r>
                <m:t>x</m:t>
              </m:r>
            </m:e>
            <m:sup>
              <m:r>
                <m:rPr>
                  <m:sty m:val="p"/>
                </m:rPr>
                <m:t>(</m:t>
              </m:r>
              <m:r>
                <m:t>0</m:t>
              </m:r>
              <m:r>
                <m:rPr>
                  <m:sty m:val="p"/>
                </m:rPr>
                <m:t>)</m:t>
              </m:r>
            </m:sup>
          </m:sSup>
          <m:r>
            <m:rPr>
              <m:sty m:val="p"/>
            </m:rPr>
            <m:t>)</m:t>
          </m:r>
          <m:r>
            <m:rPr>
              <m:sty m:val="p"/>
            </m:rPr>
            <m:t>=</m:t>
          </m:r>
          <m:r>
            <m:t>1</m:t>
          </m:r>
          <m:r>
            <m:rPr>
              <m:sty m:val="p"/>
            </m:rPr>
            <m:t>−</m:t>
          </m:r>
          <m:r>
            <m:rPr>
              <m:sty m:val="p"/>
            </m:rPr>
            <m:t>cos</m:t>
          </m:r>
          <m:r>
            <m:t>​</m:t>
          </m:r>
          <m:d>
            <m:dPr>
              <m:begChr m:val="("/>
              <m:sepChr m:val=""/>
              <m:endChr m:val=")"/>
              <m:grow/>
            </m:dPr>
            <m:e>
              <m:sSub>
                <m:e>
                  <m:r>
                    <m:t>h</m:t>
                  </m:r>
                </m:e>
                <m:sub>
                  <m:r>
                    <m:t>ℓ</m:t>
                  </m:r>
                </m:sub>
              </m:sSub>
              <m:r>
                <m:rPr>
                  <m:sty m:val="p"/>
                </m:rPr>
                <m:t>(</m:t>
              </m:r>
              <m:sSup>
                <m:e>
                  <m:r>
                    <m:t>x</m:t>
                  </m:r>
                </m:e>
                <m:sup>
                  <m:r>
                    <m:rPr>
                      <m:sty m:val="p"/>
                    </m:rPr>
                    <m:t>(</m:t>
                  </m:r>
                  <m:r>
                    <m:t>c</m:t>
                  </m:r>
                  <m:r>
                    <m:rPr>
                      <m:sty m:val="p"/>
                    </m:rPr>
                    <m:t>)</m:t>
                  </m:r>
                </m:sup>
              </m:sSup>
              <m:r>
                <m:rPr>
                  <m:sty m:val="p"/>
                </m:rPr>
                <m:t>)</m:t>
              </m:r>
              <m:r>
                <m:rPr>
                  <m:sty m:val="p"/>
                </m:rPr>
                <m:t>,</m:t>
              </m:r>
              <m:sSub>
                <m:e>
                  <m:r>
                    <m:t>h</m:t>
                  </m:r>
                </m:e>
                <m:sub>
                  <m:r>
                    <m:t>ℓ</m:t>
                  </m:r>
                </m:sub>
              </m:sSub>
              <m:r>
                <m:rPr>
                  <m:sty m:val="p"/>
                </m:rPr>
                <m:t>(</m:t>
              </m:r>
              <m:sSup>
                <m:e>
                  <m:r>
                    <m:t>x</m:t>
                  </m:r>
                </m:e>
                <m:sup>
                  <m:r>
                    <m:rPr>
                      <m:sty m:val="p"/>
                    </m:rPr>
                    <m:t>(</m:t>
                  </m:r>
                  <m:r>
                    <m:t>0</m:t>
                  </m:r>
                  <m:r>
                    <m:rPr>
                      <m:sty m:val="p"/>
                    </m:rPr>
                    <m:t>)</m:t>
                  </m:r>
                </m:sup>
              </m:sSup>
              <m:r>
                <m:rPr>
                  <m:sty m:val="p"/>
                </m:rPr>
                <m:t>)</m:t>
              </m:r>
            </m:e>
          </m:d>
          <m:r>
            <m:rPr>
              <m:sty m:val="p"/>
            </m:rPr>
            <m:t>.</m:t>
          </m:r>
        </m:oMath>
      </m:oMathPara>
    </w:p>
    <w:p>
      <w:pPr>
        <w:pStyle w:val="FirstParagraph"/>
      </w:pPr>
      <w:r>
        <w:t xml:space="preserve">Let</w:t>
      </w:r>
      <w:r>
        <w:t xml:space="preserve"> </w:t>
      </w:r>
      <m:oMath>
        <m:sSub>
          <m:e>
            <m:r>
              <m:t>y</m:t>
            </m:r>
          </m:e>
          <m:sub>
            <m:r>
              <m:t>s</m:t>
            </m:r>
          </m:sub>
        </m:sSub>
        <m:r>
          <m:rPr>
            <m:sty m:val="p"/>
          </m:rPr>
          <m:t>(</m:t>
        </m:r>
        <m:r>
          <m:t>x</m:t>
        </m:r>
        <m:r>
          <m:rPr>
            <m:sty m:val="p"/>
          </m:rPr>
          <m:t>)</m:t>
        </m:r>
      </m:oMath>
      <w:r>
        <w:t xml:space="preserve"> </w:t>
      </w:r>
      <w:r>
        <w:t xml:space="preserve">be the response under seed</w:t>
      </w:r>
      <w:r>
        <w:t xml:space="preserve"> </w:t>
      </w:r>
      <m:oMath>
        <m:r>
          <m:t>s</m:t>
        </m:r>
      </m:oMath>
      <w:r>
        <w:t xml:space="preserve"> </w:t>
      </w:r>
      <w:r>
        <w:t xml:space="preserve">and let</w:t>
      </w:r>
      <w:r>
        <w:t xml:space="preserve"> </w:t>
      </w:r>
      <m:oMath>
        <m:r>
          <m:t>ϕ</m:t>
        </m:r>
        <m:r>
          <m:rPr>
            <m:sty m:val="p"/>
          </m:rPr>
          <m:t>(</m:t>
        </m:r>
        <m:sSub>
          <m:e>
            <m:r>
              <m:t>y</m:t>
            </m:r>
          </m:e>
          <m:sub>
            <m:r>
              <m:t>s</m:t>
            </m:r>
          </m:sub>
        </m:sSub>
        <m:r>
          <m:rPr>
            <m:sty m:val="p"/>
          </m:rPr>
          <m:t>(</m:t>
        </m:r>
        <m:r>
          <m:t>x</m:t>
        </m:r>
        <m:r>
          <m:rPr>
            <m:sty m:val="p"/>
          </m:rPr>
          <m:t>)</m:t>
        </m:r>
        <m:r>
          <m:rPr>
            <m:sty m:val="p"/>
          </m:rPr>
          <m:t>)</m:t>
        </m:r>
      </m:oMath>
      <w:r>
        <w:t xml:space="preserve"> </w:t>
      </w:r>
      <w:r>
        <w:t xml:space="preserve">be a fixed response-code mapping (for example, entailment-compatible, contradiction-compatible, or evasive). The output inconsistency score is</w:t>
      </w:r>
    </w:p>
    <w:p>
      <w:pPr>
        <w:pStyle w:val="BodyText"/>
      </w:pPr>
      <m:oMathPara>
        <m:oMathParaPr>
          <m:jc m:val="center"/>
        </m:oMathParaPr>
        <m:oMath>
          <m:r>
            <m:t>I</m:t>
          </m:r>
          <m:r>
            <m:rPr>
              <m:sty m:val="p"/>
            </m:rPr>
            <m:t>(</m:t>
          </m:r>
          <m:r>
            <m:t>x</m:t>
          </m:r>
          <m:r>
            <m:rPr>
              <m:sty m:val="p"/>
            </m:rPr>
            <m:t>)</m:t>
          </m:r>
          <m:r>
            <m:rPr>
              <m:sty m:val="p"/>
            </m:rPr>
            <m:t>=</m:t>
          </m:r>
          <m:r>
            <m:t>1</m:t>
          </m:r>
          <m:r>
            <m:rPr>
              <m:sty m:val="p"/>
            </m:rPr>
            <m:t>−</m:t>
          </m:r>
          <m:f>
            <m:fPr>
              <m:type m:val="bar"/>
            </m:fPr>
            <m:num>
              <m:r>
                <m:t>1</m:t>
              </m:r>
            </m:num>
            <m:den>
              <m:r>
                <m:rPr>
                  <m:sty m:val="p"/>
                </m:rPr>
                <m:t>|</m:t>
              </m:r>
              <m:r>
                <m:t>S</m:t>
              </m:r>
              <m:r>
                <m:rPr>
                  <m:sty m:val="p"/>
                </m:rPr>
                <m:t>|</m:t>
              </m:r>
              <m:r>
                <m:rPr>
                  <m:sty m:val="p"/>
                </m:rPr>
                <m:t>(</m:t>
              </m:r>
              <m:r>
                <m:rPr>
                  <m:sty m:val="p"/>
                </m:rPr>
                <m:t>|</m:t>
              </m:r>
              <m:r>
                <m:t>S</m:t>
              </m:r>
              <m:r>
                <m:rPr>
                  <m:sty m:val="p"/>
                </m:rPr>
                <m:t>|</m:t>
              </m:r>
              <m:r>
                <m:rPr>
                  <m:sty m:val="p"/>
                </m:rPr>
                <m:t>−</m:t>
              </m:r>
              <m:r>
                <m:t>1</m:t>
              </m:r>
              <m:r>
                <m:rPr>
                  <m:sty m:val="p"/>
                </m:rPr>
                <m:t>)</m:t>
              </m:r>
            </m:den>
          </m:f>
          <m:nary>
            <m:naryPr>
              <m:chr m:val="∑"/>
              <m:limLoc m:val="undOvr"/>
              <m:subHide m:val="off"/>
              <m:supHide m:val="on"/>
            </m:naryPr>
            <m:sub>
              <m:r>
                <m:t>s</m:t>
              </m:r>
              <m:r>
                <m:rPr>
                  <m:sty m:val="p"/>
                </m:rPr>
                <m:t>≠</m:t>
              </m:r>
              <m:sSup>
                <m:e>
                  <m:r>
                    <m:t>s</m:t>
                  </m:r>
                </m:e>
                <m:sup>
                  <m:r>
                    <m:rPr>
                      <m:sty m:val="p"/>
                    </m:rPr>
                    <m:t>′</m:t>
                  </m:r>
                </m:sup>
              </m:sSup>
            </m:sub>
            <m:sup>
              <m:r>
                <m:t>​</m:t>
              </m:r>
            </m:sup>
            <m:e>
              <m:r>
                <m:rPr>
                  <m:sty m:val="b"/>
                </m:rPr>
                <m:t>1</m:t>
              </m:r>
            </m:e>
          </m:nary>
          <m:r>
            <m:rPr>
              <m:sty m:val="p"/>
            </m:rPr>
            <m:t>{</m:t>
          </m:r>
          <m:r>
            <m:t>ϕ</m:t>
          </m:r>
          <m:r>
            <m:rPr>
              <m:sty m:val="p"/>
            </m:rPr>
            <m:t>(</m:t>
          </m:r>
          <m:sSub>
            <m:e>
              <m:r>
                <m:t>y</m:t>
              </m:r>
            </m:e>
            <m:sub>
              <m:r>
                <m:t>s</m:t>
              </m:r>
            </m:sub>
          </m:sSub>
          <m:r>
            <m:rPr>
              <m:sty m:val="p"/>
            </m:rPr>
            <m:t>(</m:t>
          </m:r>
          <m:r>
            <m:t>x</m:t>
          </m:r>
          <m:r>
            <m:rPr>
              <m:sty m:val="p"/>
            </m:rPr>
            <m:t>)</m:t>
          </m:r>
          <m:r>
            <m:rPr>
              <m:sty m:val="p"/>
            </m:rPr>
            <m:t>)</m:t>
          </m:r>
          <m:r>
            <m:rPr>
              <m:sty m:val="p"/>
            </m:rPr>
            <m:t>=</m:t>
          </m:r>
          <m:r>
            <m:t>ϕ</m:t>
          </m:r>
          <m:r>
            <m:rPr>
              <m:sty m:val="p"/>
            </m:rPr>
            <m:t>(</m:t>
          </m:r>
          <m:sSub>
            <m:e>
              <m:r>
                <m:t>y</m:t>
              </m:r>
            </m:e>
            <m:sub>
              <m:sSup>
                <m:e>
                  <m:r>
                    <m:t>s</m:t>
                  </m:r>
                </m:e>
                <m:sup>
                  <m:r>
                    <m:rPr>
                      <m:sty m:val="p"/>
                    </m:rPr>
                    <m:t>′</m:t>
                  </m:r>
                </m:sup>
              </m:sSup>
            </m:sub>
          </m:sSub>
          <m:r>
            <m:rPr>
              <m:sty m:val="p"/>
            </m:rPr>
            <m:t>(</m:t>
          </m:r>
          <m:r>
            <m:t>x</m:t>
          </m:r>
          <m:r>
            <m:rPr>
              <m:sty m:val="p"/>
            </m:rPr>
            <m:t>)</m:t>
          </m:r>
          <m:r>
            <m:rPr>
              <m:sty m:val="p"/>
            </m:rPr>
            <m:t>)</m:t>
          </m:r>
          <m:r>
            <m:rPr>
              <m:sty m:val="p"/>
            </m:rPr>
            <m:t>}</m:t>
          </m:r>
          <m:r>
            <m:rPr>
              <m:sty m:val="p"/>
            </m:rPr>
            <m:t>.</m:t>
          </m:r>
        </m:oMath>
      </m:oMathPara>
    </w:p>
    <w:p>
      <w:pPr>
        <w:pStyle w:val="FirstParagraph"/>
      </w:pPr>
      <w:r>
        <w:t xml:space="preserve">Let</w:t>
      </w:r>
      <w:r>
        <w:t xml:space="preserve"> </w:t>
      </w:r>
      <m:oMath>
        <m:acc>
          <m:accPr>
            <m:chr m:val="̃"/>
          </m:accPr>
          <m:e>
            <m:r>
              <m:t>H</m:t>
            </m:r>
          </m:e>
        </m:acc>
        <m:r>
          <m:rPr>
            <m:sty m:val="p"/>
          </m:rPr>
          <m:t>(</m:t>
        </m:r>
        <m:r>
          <m:t>x</m:t>
        </m:r>
        <m:r>
          <m:rPr>
            <m:sty m:val="p"/>
          </m:rPr>
          <m:t>)</m:t>
        </m:r>
      </m:oMath>
      <w:r>
        <w:t xml:space="preserve">,</w:t>
      </w:r>
      <w:r>
        <w:t xml:space="preserve"> </w:t>
      </w:r>
      <m:oMath>
        <m:acc>
          <m:accPr>
            <m:chr m:val="̃"/>
          </m:accPr>
          <m:e>
            <m:r>
              <m:rPr>
                <m:sty m:val="p"/>
              </m:rPr>
              <m:t>Δ</m:t>
            </m:r>
          </m:e>
        </m:acc>
        <m:r>
          <m:rPr>
            <m:sty m:val="p"/>
          </m:rPr>
          <m:t>(</m:t>
        </m:r>
        <m:r>
          <m:t>x</m:t>
        </m:r>
        <m:r>
          <m:rPr>
            <m:sty m:val="p"/>
          </m:rPr>
          <m:t>)</m:t>
        </m:r>
      </m:oMath>
      <w:r>
        <w:t xml:space="preserve">, and</w:t>
      </w:r>
      <w:r>
        <w:t xml:space="preserve"> </w:t>
      </w:r>
      <m:oMath>
        <m:acc>
          <m:accPr>
            <m:chr m:val="̃"/>
          </m:accPr>
          <m:e>
            <m:r>
              <m:t>I</m:t>
            </m:r>
          </m:e>
        </m:acc>
        <m:r>
          <m:rPr>
            <m:sty m:val="p"/>
          </m:rPr>
          <m:t>(</m:t>
        </m:r>
        <m:r>
          <m:t>x</m:t>
        </m:r>
        <m:r>
          <m:rPr>
            <m:sty m:val="p"/>
          </m:rPr>
          <m:t>)</m:t>
        </m:r>
      </m:oMath>
      <w:r>
        <w:t xml:space="preserve"> </w:t>
      </w:r>
      <w:r>
        <w:t xml:space="preserve">denote standardized forms of entropy, drift, and inconsistency under a declared benchmark. The semantic nullification index is</w:t>
      </w:r>
    </w:p>
    <w:p>
      <w:pPr>
        <w:pStyle w:val="BodyText"/>
      </w:pPr>
      <m:oMathPara>
        <m:oMathParaPr>
          <m:jc m:val="center"/>
        </m:oMathParaPr>
        <m:oMath>
          <m:r>
            <m:t>N</m:t>
          </m:r>
          <m:r>
            <m:rPr>
              <m:sty m:val="p"/>
            </m:rPr>
            <m:t>(</m:t>
          </m:r>
          <m:r>
            <m:t>x</m:t>
          </m:r>
          <m:r>
            <m:rPr>
              <m:sty m:val="p"/>
            </m:rPr>
            <m:t>)</m:t>
          </m:r>
          <m:r>
            <m:rPr>
              <m:sty m:val="p"/>
            </m:rPr>
            <m:t>=</m:t>
          </m:r>
          <m:sSub>
            <m:e>
              <m:r>
                <m:t>w</m:t>
              </m:r>
            </m:e>
            <m:sub>
              <m:r>
                <m:t>H</m:t>
              </m:r>
            </m:sub>
          </m:sSub>
          <m:acc>
            <m:accPr>
              <m:chr m:val="̃"/>
            </m:accPr>
            <m:e>
              <m:r>
                <m:t>H</m:t>
              </m:r>
            </m:e>
          </m:acc>
          <m:r>
            <m:rPr>
              <m:sty m:val="p"/>
            </m:rPr>
            <m:t>(</m:t>
          </m:r>
          <m:r>
            <m:t>x</m:t>
          </m:r>
          <m:r>
            <m:rPr>
              <m:sty m:val="p"/>
            </m:rPr>
            <m:t>)</m:t>
          </m:r>
          <m:r>
            <m:rPr>
              <m:sty m:val="p"/>
            </m:rPr>
            <m:t>+</m:t>
          </m:r>
          <m:sSub>
            <m:e>
              <m:r>
                <m:t>w</m:t>
              </m:r>
            </m:e>
            <m:sub>
              <m:r>
                <m:rPr>
                  <m:sty m:val="p"/>
                </m:rPr>
                <m:t>Δ</m:t>
              </m:r>
            </m:sub>
          </m:sSub>
          <m:acc>
            <m:accPr>
              <m:chr m:val="̃"/>
            </m:accPr>
            <m:e>
              <m:r>
                <m:rPr>
                  <m:sty m:val="p"/>
                </m:rPr>
                <m:t>Δ</m:t>
              </m:r>
            </m:e>
          </m:acc>
          <m:r>
            <m:rPr>
              <m:sty m:val="p"/>
            </m:rPr>
            <m:t>(</m:t>
          </m:r>
          <m:r>
            <m:t>x</m:t>
          </m:r>
          <m:r>
            <m:rPr>
              <m:sty m:val="p"/>
            </m:rPr>
            <m:t>)</m:t>
          </m:r>
          <m:r>
            <m:rPr>
              <m:sty m:val="p"/>
            </m:rPr>
            <m:t>+</m:t>
          </m:r>
          <m:sSub>
            <m:e>
              <m:r>
                <m:t>w</m:t>
              </m:r>
            </m:e>
            <m:sub>
              <m:r>
                <m:t>I</m:t>
              </m:r>
            </m:sub>
          </m:sSub>
          <m:acc>
            <m:accPr>
              <m:chr m:val="̃"/>
            </m:accPr>
            <m:e>
              <m:r>
                <m:t>I</m:t>
              </m:r>
            </m:e>
          </m:acc>
          <m:r>
            <m:rPr>
              <m:sty m:val="p"/>
            </m:rPr>
            <m:t>(</m:t>
          </m:r>
          <m:r>
            <m:t>x</m:t>
          </m:r>
          <m:r>
            <m:rPr>
              <m:sty m:val="p"/>
            </m:rPr>
            <m:t>)</m:t>
          </m:r>
          <m:r>
            <m:rPr>
              <m:sty m:val="p"/>
            </m:rPr>
            <m:t>,</m:t>
          </m:r>
        </m:oMath>
      </m:oMathPara>
    </w:p>
    <w:p>
      <w:pPr>
        <w:pStyle w:val="FirstParagraph"/>
      </w:pPr>
      <w:r>
        <w:t xml:space="preserve">where</w:t>
      </w:r>
      <w:r>
        <w:t xml:space="preserve"> </w:t>
      </w:r>
      <m:oMath>
        <m:sSub>
          <m:e>
            <m:r>
              <m:t>w</m:t>
            </m:r>
          </m:e>
          <m:sub>
            <m:r>
              <m:t>H</m:t>
            </m:r>
          </m:sub>
        </m:sSub>
        <m:r>
          <m:rPr>
            <m:sty m:val="p"/>
          </m:rPr>
          <m:t>,</m:t>
        </m:r>
        <m:sSub>
          <m:e>
            <m:r>
              <m:t>w</m:t>
            </m:r>
          </m:e>
          <m:sub>
            <m:r>
              <m:rPr>
                <m:sty m:val="p"/>
              </m:rPr>
              <m:t>Δ</m:t>
            </m:r>
          </m:sub>
        </m:sSub>
        <m:r>
          <m:rPr>
            <m:sty m:val="p"/>
          </m:rPr>
          <m:t>,</m:t>
        </m:r>
        <m:sSub>
          <m:e>
            <m:r>
              <m:t>w</m:t>
            </m:r>
          </m:e>
          <m:sub>
            <m:r>
              <m:t>I</m:t>
            </m:r>
          </m:sub>
        </m:sSub>
        <m:r>
          <m:rPr>
            <m:sty m:val="p"/>
          </m:rPr>
          <m:t>≥</m:t>
        </m:r>
        <m:r>
          <m:t>0</m:t>
        </m:r>
      </m:oMath>
      <w:r>
        <w:t xml:space="preserve"> </w:t>
      </w:r>
      <w:r>
        <w:t xml:space="preserve">and</w:t>
      </w:r>
      <w:r>
        <w:t xml:space="preserve"> </w:t>
      </w:r>
      <m:oMath>
        <m:sSub>
          <m:e>
            <m:r>
              <m:t>w</m:t>
            </m:r>
          </m:e>
          <m:sub>
            <m:r>
              <m:t>H</m:t>
            </m:r>
          </m:sub>
        </m:sSub>
        <m:r>
          <m:rPr>
            <m:sty m:val="p"/>
          </m:rPr>
          <m:t>+</m:t>
        </m:r>
        <m:sSub>
          <m:e>
            <m:r>
              <m:t>w</m:t>
            </m:r>
          </m:e>
          <m:sub>
            <m:r>
              <m:rPr>
                <m:sty m:val="p"/>
              </m:rPr>
              <m:t>Δ</m:t>
            </m:r>
          </m:sub>
        </m:sSub>
        <m:r>
          <m:rPr>
            <m:sty m:val="p"/>
          </m:rPr>
          <m:t>+</m:t>
        </m:r>
        <m:sSub>
          <m:e>
            <m:r>
              <m:t>w</m:t>
            </m:r>
          </m:e>
          <m:sub>
            <m:r>
              <m:t>I</m:t>
            </m:r>
          </m:sub>
        </m:sSub>
        <m:r>
          <m:rPr>
            <m:sty m:val="p"/>
          </m:rPr>
          <m:t>=</m:t>
        </m:r>
        <m:r>
          <m:t>1</m:t>
        </m:r>
      </m:oMath>
      <w:r>
        <w:t xml:space="preserve">.</w:t>
      </w:r>
    </w:p>
    <w:p>
      <w:pPr>
        <w:pStyle w:val="BodyText"/>
      </w:pPr>
      <w:r>
        <w:t xml:space="preserve">For contradiction family</w:t>
      </w:r>
      <w:r>
        <w:t xml:space="preserve"> </w:t>
      </w:r>
      <m:oMath>
        <m:r>
          <m:t>f</m:t>
        </m:r>
      </m:oMath>
      <w:r>
        <w:t xml:space="preserve"> </w:t>
      </w:r>
      <w:r>
        <w:t xml:space="preserve">with contradiction-bearing set</w:t>
      </w:r>
      <w:r>
        <w:t xml:space="preserve"> </w:t>
      </w:r>
      <m:oMath>
        <m:sSubSup>
          <m:e>
            <m:r>
              <m:rPr>
                <m:scr m:val="script"/>
                <m:sty m:val="p"/>
              </m:rPr>
              <m:t>X</m:t>
            </m:r>
          </m:e>
          <m:sub>
            <m:r>
              <m:t>f</m:t>
            </m:r>
          </m:sub>
          <m:sup>
            <m:r>
              <m:rPr>
                <m:sty m:val="p"/>
              </m:rPr>
              <m:t>(</m:t>
            </m:r>
            <m:r>
              <m:t>c</m:t>
            </m:r>
            <m:r>
              <m:rPr>
                <m:sty m:val="p"/>
              </m:rPr>
              <m:t>)</m:t>
            </m:r>
          </m:sup>
        </m:sSubSup>
      </m:oMath>
      <w:r>
        <w:t xml:space="preserve"> </w:t>
      </w:r>
      <w:r>
        <w:t xml:space="preserve">and difficulty-control set</w:t>
      </w:r>
      <w:r>
        <w:t xml:space="preserve"> </w:t>
      </w:r>
      <m:oMath>
        <m:sSubSup>
          <m:e>
            <m:r>
              <m:rPr>
                <m:scr m:val="script"/>
                <m:sty m:val="p"/>
              </m:rPr>
              <m:t>X</m:t>
            </m:r>
          </m:e>
          <m:sub>
            <m:r>
              <m:t>f</m:t>
            </m:r>
          </m:sub>
          <m:sup>
            <m:r>
              <m:rPr>
                <m:sty m:val="p"/>
              </m:rPr>
              <m:t>(</m:t>
            </m:r>
            <m:r>
              <m:t>d</m:t>
            </m:r>
            <m:r>
              <m:rPr>
                <m:sty m:val="p"/>
              </m:rPr>
              <m:t>)</m:t>
            </m:r>
          </m:sup>
        </m:sSubSup>
      </m:oMath>
      <w:r>
        <w:t xml:space="preserve">, define</w:t>
      </w:r>
    </w:p>
    <w:p>
      <w:pPr>
        <w:pStyle w:val="BodyText"/>
      </w:pPr>
      <m:oMathPara>
        <m:oMathParaPr>
          <m:jc m:val="center"/>
        </m:oMathParaPr>
        <m:oMath>
          <m:sSub>
            <m:e>
              <m:r>
                <m:t>δ</m:t>
              </m:r>
            </m:e>
            <m:sub>
              <m:r>
                <m:t>f</m:t>
              </m:r>
            </m:sub>
          </m:sSub>
          <m:r>
            <m:rPr>
              <m:sty m:val="p"/>
            </m:rPr>
            <m:t>=</m:t>
          </m:r>
          <m:f>
            <m:fPr>
              <m:type m:val="bar"/>
            </m:fPr>
            <m:num>
              <m:r>
                <m:t>1</m:t>
              </m:r>
            </m:num>
            <m:den>
              <m:r>
                <m:rPr>
                  <m:sty m:val="p"/>
                </m:rPr>
                <m:t>|</m:t>
              </m:r>
              <m:sSubSup>
                <m:e>
                  <m:r>
                    <m:rPr>
                      <m:scr m:val="script"/>
                      <m:sty m:val="p"/>
                    </m:rPr>
                    <m:t>X</m:t>
                  </m:r>
                </m:e>
                <m:sub>
                  <m:r>
                    <m:t>f</m:t>
                  </m:r>
                </m:sub>
                <m:sup>
                  <m:r>
                    <m:rPr>
                      <m:sty m:val="p"/>
                    </m:rPr>
                    <m:t>(</m:t>
                  </m:r>
                  <m:r>
                    <m:t>c</m:t>
                  </m:r>
                  <m:r>
                    <m:rPr>
                      <m:sty m:val="p"/>
                    </m:rPr>
                    <m:t>)</m:t>
                  </m:r>
                </m:sup>
              </m:sSubSup>
              <m:r>
                <m:rPr>
                  <m:sty m:val="p"/>
                </m:rPr>
                <m:t>|</m:t>
              </m:r>
            </m:den>
          </m:f>
          <m:nary>
            <m:naryPr>
              <m:chr m:val="∑"/>
              <m:limLoc m:val="undOvr"/>
              <m:subHide m:val="off"/>
              <m:supHide m:val="on"/>
            </m:naryPr>
            <m:sub>
              <m:r>
                <m:t>x</m:t>
              </m:r>
              <m:r>
                <m:rPr>
                  <m:sty m:val="p"/>
                </m:rPr>
                <m:t>∈</m:t>
              </m:r>
              <m:sSubSup>
                <m:e>
                  <m:r>
                    <m:rPr>
                      <m:scr m:val="script"/>
                      <m:sty m:val="p"/>
                    </m:rPr>
                    <m:t>X</m:t>
                  </m:r>
                </m:e>
                <m:sub>
                  <m:r>
                    <m:t>f</m:t>
                  </m:r>
                </m:sub>
                <m:sup>
                  <m:r>
                    <m:rPr>
                      <m:sty m:val="p"/>
                    </m:rPr>
                    <m:t>(</m:t>
                  </m:r>
                  <m:r>
                    <m:t>c</m:t>
                  </m:r>
                  <m:r>
                    <m:rPr>
                      <m:sty m:val="p"/>
                    </m:rPr>
                    <m:t>)</m:t>
                  </m:r>
                </m:sup>
              </m:sSubSup>
            </m:sub>
            <m:sup>
              <m:r>
                <m:t>​</m:t>
              </m:r>
            </m:sup>
            <m:e>
              <m:r>
                <m:t>N</m:t>
              </m:r>
            </m:e>
          </m:nary>
          <m:r>
            <m:rPr>
              <m:sty m:val="p"/>
            </m:rPr>
            <m:t>(</m:t>
          </m:r>
          <m:r>
            <m:t>x</m:t>
          </m:r>
          <m:r>
            <m:rPr>
              <m:sty m:val="p"/>
            </m:rPr>
            <m:t>)</m:t>
          </m:r>
          <m:r>
            <m:t> </m:t>
          </m:r>
          <m:r>
            <m:rPr>
              <m:sty m:val="p"/>
            </m:rPr>
            <m:t>−</m:t>
          </m:r>
          <m:r>
            <m:t> </m:t>
          </m:r>
          <m:f>
            <m:fPr>
              <m:type m:val="bar"/>
            </m:fPr>
            <m:num>
              <m:r>
                <m:t>1</m:t>
              </m:r>
            </m:num>
            <m:den>
              <m:r>
                <m:rPr>
                  <m:sty m:val="p"/>
                </m:rPr>
                <m:t>|</m:t>
              </m:r>
              <m:sSubSup>
                <m:e>
                  <m:r>
                    <m:rPr>
                      <m:scr m:val="script"/>
                      <m:sty m:val="p"/>
                    </m:rPr>
                    <m:t>X</m:t>
                  </m:r>
                </m:e>
                <m:sub>
                  <m:r>
                    <m:t>f</m:t>
                  </m:r>
                </m:sub>
                <m:sup>
                  <m:r>
                    <m:rPr>
                      <m:sty m:val="p"/>
                    </m:rPr>
                    <m:t>(</m:t>
                  </m:r>
                  <m:r>
                    <m:t>d</m:t>
                  </m:r>
                  <m:r>
                    <m:rPr>
                      <m:sty m:val="p"/>
                    </m:rPr>
                    <m:t>)</m:t>
                  </m:r>
                </m:sup>
              </m:sSubSup>
              <m:r>
                <m:rPr>
                  <m:sty m:val="p"/>
                </m:rPr>
                <m:t>|</m:t>
              </m:r>
            </m:den>
          </m:f>
          <m:nary>
            <m:naryPr>
              <m:chr m:val="∑"/>
              <m:limLoc m:val="undOvr"/>
              <m:subHide m:val="off"/>
              <m:supHide m:val="on"/>
            </m:naryPr>
            <m:sub>
              <m:r>
                <m:t>x</m:t>
              </m:r>
              <m:r>
                <m:rPr>
                  <m:sty m:val="p"/>
                </m:rPr>
                <m:t>∈</m:t>
              </m:r>
              <m:sSubSup>
                <m:e>
                  <m:r>
                    <m:rPr>
                      <m:scr m:val="script"/>
                      <m:sty m:val="p"/>
                    </m:rPr>
                    <m:t>X</m:t>
                  </m:r>
                </m:e>
                <m:sub>
                  <m:r>
                    <m:t>f</m:t>
                  </m:r>
                </m:sub>
                <m:sup>
                  <m:r>
                    <m:rPr>
                      <m:sty m:val="p"/>
                    </m:rPr>
                    <m:t>(</m:t>
                  </m:r>
                  <m:r>
                    <m:t>d</m:t>
                  </m:r>
                  <m:r>
                    <m:rPr>
                      <m:sty m:val="p"/>
                    </m:rPr>
                    <m:t>)</m:t>
                  </m:r>
                </m:sup>
              </m:sSubSup>
            </m:sub>
            <m:sup>
              <m:r>
                <m:t>​</m:t>
              </m:r>
            </m:sup>
            <m:e>
              <m:r>
                <m:t>N</m:t>
              </m:r>
            </m:e>
          </m:nary>
          <m:r>
            <m:rPr>
              <m:sty m:val="p"/>
            </m:rPr>
            <m:t>(</m:t>
          </m:r>
          <m:r>
            <m:t>x</m:t>
          </m:r>
          <m:r>
            <m:rPr>
              <m:sty m:val="p"/>
            </m:rPr>
            <m:t>)</m:t>
          </m:r>
          <m:r>
            <m:rPr>
              <m:sty m:val="p"/>
            </m:rPr>
            <m:t>.</m:t>
          </m:r>
        </m:oMath>
      </m:oMathPara>
    </w:p>
    <w:p>
      <w:pPr>
        <w:pStyle w:val="FirstParagraph"/>
      </w:pPr>
      <w:r>
        <w:t xml:space="preserve">For a candidate contradiction threshold</w:t>
      </w:r>
      <w:r>
        <w:t xml:space="preserve"> </w:t>
      </w:r>
      <m:oMath>
        <m:r>
          <m:t>τ</m:t>
        </m:r>
      </m:oMath>
      <w:r>
        <w:t xml:space="preserve">, define</w:t>
      </w:r>
    </w:p>
    <w:p>
      <w:pPr>
        <w:pStyle w:val="BodyText"/>
      </w:pPr>
      <m:oMathPara>
        <m:oMathParaPr>
          <m:jc m:val="center"/>
        </m:oMathParaPr>
        <m:oMath>
          <m:r>
            <m:t>G</m:t>
          </m:r>
          <m:r>
            <m:rPr>
              <m:sty m:val="p"/>
            </m:rPr>
            <m:t>(</m:t>
          </m:r>
          <m:r>
            <m:t>τ</m:t>
          </m:r>
          <m:r>
            <m:rPr>
              <m:sty m:val="p"/>
            </m:rPr>
            <m:t>)</m:t>
          </m:r>
          <m:r>
            <m:rPr>
              <m:sty m:val="p"/>
            </m:rPr>
            <m:t>=</m:t>
          </m:r>
          <m:r>
            <m:rPr>
              <m:scr m:val="double-struck"/>
              <m:sty m:val="p"/>
            </m:rPr>
            <m:t>E</m:t>
          </m:r>
          <m:r>
            <m:rPr>
              <m:sty m:val="p"/>
            </m:rPr>
            <m:t>[</m:t>
          </m:r>
          <m:r>
            <m:t>N</m:t>
          </m:r>
          <m:r>
            <m:rPr>
              <m:sty m:val="p"/>
            </m:rPr>
            <m:t>(</m:t>
          </m:r>
          <m:r>
            <m:t>x</m:t>
          </m:r>
          <m:r>
            <m:rPr>
              <m:sty m:val="p"/>
            </m:rPr>
            <m:t>)</m:t>
          </m:r>
          <m:r>
            <m:rPr>
              <m:sty m:val="p"/>
            </m:rPr>
            <m:t>∣</m:t>
          </m:r>
          <m:r>
            <m:t>d</m:t>
          </m:r>
          <m:r>
            <m:rPr>
              <m:sty m:val="p"/>
            </m:rPr>
            <m:t>(</m:t>
          </m:r>
          <m:r>
            <m:t>x</m:t>
          </m:r>
          <m:r>
            <m:rPr>
              <m:sty m:val="p"/>
            </m:rPr>
            <m:t>)</m:t>
          </m:r>
          <m:r>
            <m:rPr>
              <m:sty m:val="p"/>
            </m:rPr>
            <m:t>≥</m:t>
          </m:r>
          <m:r>
            <m:t>τ</m:t>
          </m:r>
          <m:r>
            <m:rPr>
              <m:sty m:val="p"/>
            </m:rPr>
            <m:t>]</m:t>
          </m:r>
          <m:r>
            <m:rPr>
              <m:sty m:val="p"/>
            </m:rPr>
            <m:t>−</m:t>
          </m:r>
          <m:r>
            <m:rPr>
              <m:scr m:val="double-struck"/>
              <m:sty m:val="p"/>
            </m:rPr>
            <m:t>E</m:t>
          </m:r>
          <m:r>
            <m:rPr>
              <m:sty m:val="p"/>
            </m:rPr>
            <m:t>[</m:t>
          </m:r>
          <m:r>
            <m:t>N</m:t>
          </m:r>
          <m:r>
            <m:rPr>
              <m:sty m:val="p"/>
            </m:rPr>
            <m:t>(</m:t>
          </m:r>
          <m:r>
            <m:t>x</m:t>
          </m:r>
          <m:r>
            <m:rPr>
              <m:sty m:val="p"/>
            </m:rPr>
            <m:t>)</m:t>
          </m:r>
          <m:r>
            <m:rPr>
              <m:sty m:val="p"/>
            </m:rPr>
            <m:t>∣</m:t>
          </m:r>
          <m:r>
            <m:t>d</m:t>
          </m:r>
          <m:r>
            <m:rPr>
              <m:sty m:val="p"/>
            </m:rPr>
            <m:t>(</m:t>
          </m:r>
          <m:r>
            <m:t>x</m:t>
          </m:r>
          <m:r>
            <m:rPr>
              <m:sty m:val="p"/>
            </m:rPr>
            <m:t>)</m:t>
          </m:r>
          <m:r>
            <m:rPr>
              <m:sty m:val="p"/>
            </m:rPr>
            <m:t>&lt;</m:t>
          </m:r>
          <m:r>
            <m:t>τ</m:t>
          </m:r>
          <m:r>
            <m:rPr>
              <m:sty m:val="p"/>
            </m:rPr>
            <m:t>]</m:t>
          </m:r>
          <m:r>
            <m:rPr>
              <m:sty m:val="p"/>
            </m:rPr>
            <m:t>.</m:t>
          </m:r>
        </m:oMath>
      </m:oMathPara>
    </w:p>
    <w:p>
      <w:pPr>
        <w:pStyle w:val="FirstParagraph"/>
      </w:pPr>
      <w:r>
        <w:t xml:space="preserve">The threshold conjecture predicts that</w:t>
      </w:r>
      <w:r>
        <w:t xml:space="preserve"> </w:t>
      </w:r>
      <m:oMath>
        <m:r>
          <m:t>G</m:t>
        </m:r>
        <m:r>
          <m:rPr>
            <m:sty m:val="p"/>
          </m:rPr>
          <m:t>(</m:t>
        </m:r>
        <m:r>
          <m:t>τ</m:t>
        </m:r>
        <m:r>
          <m:rPr>
            <m:sty m:val="p"/>
          </m:rPr>
          <m:t>)</m:t>
        </m:r>
      </m:oMath>
      <w:r>
        <w:t xml:space="preserve"> </w:t>
      </w:r>
      <w:r>
        <w:t xml:space="preserve">becomes positive on a nondegenerate interval rather than only at isolated values of</w:t>
      </w:r>
      <w:r>
        <w:t xml:space="preserve"> </w:t>
      </w:r>
      <m:oMath>
        <m:r>
          <m:t>τ</m:t>
        </m:r>
      </m:oMath>
      <w:r>
        <w:t xml:space="preserve">.</w:t>
      </w:r>
    </w:p>
    <w:bookmarkStart w:id="11" w:name="tab:hp-notation"/>
    <w:p>
      <w:pPr>
        <w:pStyle w:val="TableCaption"/>
      </w:pPr>
      <w:r>
        <w:t xml:space="preserve">Core notation used throughout the manuscript.</w:t>
      </w:r>
    </w:p>
    <w:tbl>
      <w:tblPr>
        <w:tblStyle w:val="Table"/>
        <w:tblW w:type="auto" w:w="0"/>
        <w:tblLook w:firstRow="1" w:lastRow="0" w:firstColumn="0" w:lastColumn="0" w:noHBand="0" w:noVBand="0" w:val="0020"/>
        <w:tblCaption w:val="Core notation used throughout the manuscript."/>
      </w:tblPr>
      <w:tblGrid>
        <w:gridCol w:w="3960"/>
        <w:gridCol w:w="3960"/>
      </w:tblGrid>
      <w:tr>
        <w:trPr>
          <w:tblHeader w:val="on"/>
        </w:trPr>
        <w:tc>
          <w:tcPr/>
          <w:p>
            <w:pPr>
              <w:pStyle w:val="Compact"/>
              <w:jc w:val="left"/>
            </w:pPr>
            <w:r>
              <w:t xml:space="preserve">Symbol</w:t>
            </w:r>
          </w:p>
        </w:tc>
        <w:tc>
          <w:tcPr/>
          <w:p>
            <w:pPr>
              <w:pStyle w:val="Compact"/>
              <w:jc w:val="left"/>
            </w:pPr>
            <w:r>
              <w:t xml:space="preserve">Meaning</w:t>
            </w:r>
          </w:p>
        </w:tc>
      </w:tr>
      <w:tr>
        <w:tc>
          <w:tcPr/>
          <w:p>
            <w:pPr>
              <w:pStyle w:val="Compact"/>
              <w:jc w:val="left"/>
            </w:pPr>
            <m:oMath>
              <m:r>
                <m:t>x</m:t>
              </m:r>
            </m:oMath>
          </w:p>
        </w:tc>
        <w:tc>
          <w:tcPr/>
          <w:p>
            <w:pPr>
              <w:pStyle w:val="Compact"/>
              <w:jc w:val="left"/>
            </w:pPr>
            <w:r>
              <w:t xml:space="preserve">prompt instance</w:t>
            </w:r>
          </w:p>
        </w:tc>
      </w:tr>
      <w:tr>
        <w:tc>
          <w:tcPr/>
          <w:p>
            <w:pPr>
              <w:pStyle w:val="Compact"/>
              <w:jc w:val="left"/>
            </w:pPr>
            <m:oMath>
              <m:r>
                <m:t>d</m:t>
              </m:r>
              <m:r>
                <m:rPr>
                  <m:sty m:val="p"/>
                </m:rPr>
                <m:t>(</m:t>
              </m:r>
              <m:r>
                <m:t>x</m:t>
              </m:r>
              <m:r>
                <m:rPr>
                  <m:sty m:val="p"/>
                </m:rPr>
                <m:t>)</m:t>
              </m:r>
            </m:oMath>
          </w:p>
        </w:tc>
        <w:tc>
          <w:tcPr/>
          <w:p>
            <w:pPr>
              <w:pStyle w:val="Compact"/>
              <w:jc w:val="left"/>
            </w:pPr>
            <w:r>
              <w:t xml:space="preserve">contradiction depth score</w:t>
            </w:r>
          </w:p>
        </w:tc>
      </w:tr>
      <w:tr>
        <w:tc>
          <w:tcPr/>
          <w:p>
            <w:pPr>
              <w:pStyle w:val="Compact"/>
              <w:jc w:val="left"/>
            </w:pPr>
            <m:oMath>
              <m:r>
                <m:t>H</m:t>
              </m:r>
              <m:r>
                <m:rPr>
                  <m:sty m:val="p"/>
                </m:rPr>
                <m:t>(</m:t>
              </m:r>
              <m:r>
                <m:t>x</m:t>
              </m:r>
              <m:r>
                <m:rPr>
                  <m:sty m:val="p"/>
                </m:rPr>
                <m:t>)</m:t>
              </m:r>
            </m:oMath>
          </w:p>
        </w:tc>
        <w:tc>
          <w:tcPr/>
          <w:p>
            <w:pPr>
              <w:pStyle w:val="Compact"/>
              <w:jc w:val="left"/>
            </w:pPr>
            <w:r>
              <w:t xml:space="preserve">mean predictive entropy</w:t>
            </w:r>
          </w:p>
        </w:tc>
      </w:tr>
      <w:tr>
        <w:tc>
          <w:tcPr/>
          <w:p>
            <w:pPr>
              <w:pStyle w:val="Compact"/>
              <w:jc w:val="left"/>
            </w:pPr>
            <m:oMath>
              <m:sSub>
                <m:e>
                  <m:r>
                    <m:rPr>
                      <m:sty m:val="p"/>
                    </m:rPr>
                    <m:t>Δ</m:t>
                  </m:r>
                </m:e>
                <m:sub>
                  <m:r>
                    <m:t>ℓ</m:t>
                  </m:r>
                </m:sub>
              </m:sSub>
              <m:r>
                <m:rPr>
                  <m:sty m:val="p"/>
                </m:rPr>
                <m:t>(</m:t>
              </m:r>
              <m:sSup>
                <m:e>
                  <m:r>
                    <m:t>x</m:t>
                  </m:r>
                </m:e>
                <m:sup>
                  <m:r>
                    <m:rPr>
                      <m:sty m:val="p"/>
                    </m:rPr>
                    <m:t>(</m:t>
                  </m:r>
                  <m:r>
                    <m:t>c</m:t>
                  </m:r>
                  <m:r>
                    <m:rPr>
                      <m:sty m:val="p"/>
                    </m:rPr>
                    <m:t>)</m:t>
                  </m:r>
                </m:sup>
              </m:sSup>
              <m:r>
                <m:rPr>
                  <m:sty m:val="p"/>
                </m:rPr>
                <m:t>,</m:t>
              </m:r>
              <m:sSup>
                <m:e>
                  <m:r>
                    <m:t>x</m:t>
                  </m:r>
                </m:e>
                <m:sup>
                  <m:r>
                    <m:rPr>
                      <m:sty m:val="p"/>
                    </m:rPr>
                    <m:t>(</m:t>
                  </m:r>
                  <m:r>
                    <m:t>0</m:t>
                  </m:r>
                  <m:r>
                    <m:rPr>
                      <m:sty m:val="p"/>
                    </m:rPr>
                    <m:t>)</m:t>
                  </m:r>
                </m:sup>
              </m:sSup>
              <m:r>
                <m:rPr>
                  <m:sty m:val="p"/>
                </m:rPr>
                <m:t>)</m:t>
              </m:r>
            </m:oMath>
          </w:p>
        </w:tc>
        <w:tc>
          <w:tcPr/>
          <w:p>
            <w:pPr>
              <w:pStyle w:val="Compact"/>
              <w:jc w:val="left"/>
            </w:pPr>
            <w:r>
              <w:t xml:space="preserve">layerwise representation drift</w:t>
            </w:r>
          </w:p>
        </w:tc>
      </w:tr>
      <w:tr>
        <w:tc>
          <w:tcPr/>
          <w:p>
            <w:pPr>
              <w:pStyle w:val="Compact"/>
              <w:jc w:val="left"/>
            </w:pPr>
            <m:oMath>
              <m:r>
                <m:t>I</m:t>
              </m:r>
              <m:r>
                <m:rPr>
                  <m:sty m:val="p"/>
                </m:rPr>
                <m:t>(</m:t>
              </m:r>
              <m:r>
                <m:t>x</m:t>
              </m:r>
              <m:r>
                <m:rPr>
                  <m:sty m:val="p"/>
                </m:rPr>
                <m:t>)</m:t>
              </m:r>
            </m:oMath>
          </w:p>
        </w:tc>
        <w:tc>
          <w:tcPr/>
          <w:p>
            <w:pPr>
              <w:pStyle w:val="Compact"/>
              <w:jc w:val="left"/>
            </w:pPr>
            <w:r>
              <w:t xml:space="preserve">output inconsistency across seeds</w:t>
            </w:r>
          </w:p>
        </w:tc>
      </w:tr>
      <w:tr>
        <w:tc>
          <w:tcPr/>
          <w:p>
            <w:pPr>
              <w:pStyle w:val="Compact"/>
              <w:jc w:val="left"/>
            </w:pPr>
            <m:oMath>
              <m:r>
                <m:t>N</m:t>
              </m:r>
              <m:r>
                <m:rPr>
                  <m:sty m:val="p"/>
                </m:rPr>
                <m:t>(</m:t>
              </m:r>
              <m:r>
                <m:t>x</m:t>
              </m:r>
              <m:r>
                <m:rPr>
                  <m:sty m:val="p"/>
                </m:rPr>
                <m:t>)</m:t>
              </m:r>
            </m:oMath>
          </w:p>
        </w:tc>
        <w:tc>
          <w:tcPr/>
          <w:p>
            <w:pPr>
              <w:pStyle w:val="Compact"/>
              <w:jc w:val="left"/>
            </w:pPr>
            <w:r>
              <w:t xml:space="preserve">semantic nullification index</w:t>
            </w:r>
          </w:p>
        </w:tc>
      </w:tr>
      <w:tr>
        <w:tc>
          <w:tcPr/>
          <w:p>
            <w:pPr>
              <w:pStyle w:val="Compact"/>
              <w:jc w:val="left"/>
            </w:pPr>
            <m:oMath>
              <m:sSub>
                <m:e>
                  <m:r>
                    <m:t>T</m:t>
                  </m:r>
                </m:e>
                <m:sub>
                  <m:r>
                    <m:t>N</m:t>
                  </m:r>
                </m:sub>
              </m:sSub>
            </m:oMath>
          </w:p>
        </w:tc>
        <w:tc>
          <w:tcPr/>
          <w:p>
            <w:pPr>
              <w:pStyle w:val="Compact"/>
              <w:jc w:val="left"/>
            </w:pPr>
            <w:r>
              <w:t xml:space="preserve">primary between-condition contrast</w:t>
            </w:r>
          </w:p>
        </w:tc>
      </w:tr>
      <w:tr>
        <w:tc>
          <w:tcPr/>
          <w:p>
            <w:pPr>
              <w:pStyle w:val="Compact"/>
              <w:jc w:val="left"/>
            </w:pPr>
            <m:oMath>
              <m:r>
                <m:t>τ</m:t>
              </m:r>
            </m:oMath>
          </w:p>
        </w:tc>
        <w:tc>
          <w:tcPr/>
          <w:p>
            <w:pPr>
              <w:pStyle w:val="Compact"/>
              <w:jc w:val="left"/>
            </w:pPr>
            <w:r>
              <w:t xml:space="preserve">contradiction-depth threshold under the theory</w:t>
            </w:r>
          </w:p>
        </w:tc>
      </w:tr>
    </w:tbl>
    <w:bookmarkEnd w:id="11"/>
    <w:bookmarkEnd w:id="12"/>
    <w:bookmarkStart w:id="15" w:name="assumptions-and-propositions"/>
    <w:p>
      <w:pPr>
        <w:pStyle w:val="Heading1"/>
      </w:pPr>
      <w:r>
        <w:t xml:space="preserve">Assumptions and propositions</w:t>
      </w:r>
    </w:p>
    <w:p>
      <w:pPr>
        <w:pStyle w:val="FirstParagraph"/>
      </w:pPr>
      <w:r>
        <w:t xml:space="preserve">Matched prompt families preserve topic, approximate length, discourse mode, and lexical rarity closely enough that contradiction depth is the main manipulated factor.</w:t>
      </w:r>
    </w:p>
    <w:p>
      <w:pPr>
        <w:pStyle w:val="BodyText"/>
      </w:pPr>
      <w:r>
        <w:t xml:space="preserve">If contradiction-sensitive instability exists, it leaves a measurable trace in at least one of entropy, representation drift, or output inconsistency.</w:t>
      </w:r>
    </w:p>
    <w:p>
      <w:pPr>
        <w:pStyle w:val="BodyText"/>
      </w:pPr>
      <w:r>
        <w:t xml:space="preserve">A genuine contradiction effect should persist under paraphrase families that preserve incompatibility while varying surface form.</w:t>
      </w:r>
    </w:p>
    <w:p>
      <w:pPr>
        <w:pStyle w:val="BodyText"/>
      </w:pPr>
      <w:r>
        <w:t xml:space="preserve">If semantic nullification exists as a contradiction-sensitive regime, then there is a contradiction-depth threshold</w:t>
      </w:r>
      <w:r>
        <w:t xml:space="preserve"> </w:t>
      </w:r>
      <m:oMath>
        <m:r>
          <m:t>τ</m:t>
        </m:r>
      </m:oMath>
      <w:r>
        <w:t xml:space="preserve"> </w:t>
      </w:r>
      <w:r>
        <w:t xml:space="preserve">such that</w:t>
      </w:r>
    </w:p>
    <w:p>
      <w:pPr>
        <w:pStyle w:val="BodyText"/>
      </w:pPr>
      <m:oMathPara>
        <m:oMathParaPr>
          <m:jc m:val="center"/>
        </m:oMathParaPr>
        <m:oMath>
          <m:r>
            <m:rPr>
              <m:scr m:val="double-struck"/>
              <m:sty m:val="p"/>
            </m:rPr>
            <m:t>E</m:t>
          </m:r>
          <m:r>
            <m:rPr>
              <m:sty m:val="p"/>
            </m:rPr>
            <m:t>[</m:t>
          </m:r>
          <m:r>
            <m:t>N</m:t>
          </m:r>
          <m:r>
            <m:rPr>
              <m:sty m:val="p"/>
            </m:rPr>
            <m:t>(</m:t>
          </m:r>
          <m:r>
            <m:t>x</m:t>
          </m:r>
          <m:r>
            <m:rPr>
              <m:sty m:val="p"/>
            </m:rPr>
            <m:t>)</m:t>
          </m:r>
          <m:r>
            <m:rPr>
              <m:sty m:val="p"/>
            </m:rPr>
            <m:t>∣</m:t>
          </m:r>
          <m:r>
            <m:t>d</m:t>
          </m:r>
          <m:r>
            <m:rPr>
              <m:sty m:val="p"/>
            </m:rPr>
            <m:t>(</m:t>
          </m:r>
          <m:r>
            <m:t>x</m:t>
          </m:r>
          <m:r>
            <m:rPr>
              <m:sty m:val="p"/>
            </m:rPr>
            <m:t>)</m:t>
          </m:r>
          <m:r>
            <m:rPr>
              <m:sty m:val="p"/>
            </m:rPr>
            <m:t>≥</m:t>
          </m:r>
          <m:r>
            <m:t>τ</m:t>
          </m:r>
          <m:r>
            <m:rPr>
              <m:sty m:val="p"/>
            </m:rPr>
            <m:t>]</m:t>
          </m:r>
          <m:r>
            <m:rPr>
              <m:sty m:val="p"/>
            </m:rPr>
            <m:t>&gt;</m:t>
          </m:r>
          <m:r>
            <m:rPr>
              <m:scr m:val="double-struck"/>
              <m:sty m:val="p"/>
            </m:rPr>
            <m:t>E</m:t>
          </m:r>
          <m:r>
            <m:rPr>
              <m:sty m:val="p"/>
            </m:rPr>
            <m:t>[</m:t>
          </m:r>
          <m:r>
            <m:t>N</m:t>
          </m:r>
          <m:r>
            <m:rPr>
              <m:sty m:val="p"/>
            </m:rPr>
            <m:t>(</m:t>
          </m:r>
          <m:r>
            <m:t>x</m:t>
          </m:r>
          <m:r>
            <m:rPr>
              <m:sty m:val="p"/>
            </m:rPr>
            <m:t>)</m:t>
          </m:r>
          <m:r>
            <m:rPr>
              <m:sty m:val="p"/>
            </m:rPr>
            <m:t>∣</m:t>
          </m:r>
          <m:r>
            <m:t>d</m:t>
          </m:r>
          <m:r>
            <m:rPr>
              <m:sty m:val="p"/>
            </m:rPr>
            <m:t>(</m:t>
          </m:r>
          <m:r>
            <m:t>x</m:t>
          </m:r>
          <m:r>
            <m:rPr>
              <m:sty m:val="p"/>
            </m:rPr>
            <m:t>)</m:t>
          </m:r>
          <m:r>
            <m:rPr>
              <m:sty m:val="p"/>
            </m:rPr>
            <m:t>&lt;</m:t>
          </m:r>
          <m:r>
            <m:t>τ</m:t>
          </m:r>
          <m:r>
            <m:rPr>
              <m:sty m:val="p"/>
            </m:rPr>
            <m:t>]</m:t>
          </m:r>
          <m:r>
            <m:rPr>
              <m:sty m:val="p"/>
            </m:rPr>
            <m:t>.</m:t>
          </m:r>
        </m:oMath>
      </m:oMathPara>
    </w:p>
    <w:p>
      <w:pPr>
        <w:pStyle w:val="FirstParagraph"/>
      </w:pPr>
      <w:r>
        <w:t xml:space="preserve">If semantic nullification is specifically contradiction-driven, then contradiction-bearing prompts should satisfy</w:t>
      </w:r>
    </w:p>
    <w:p>
      <w:pPr>
        <w:pStyle w:val="BodyText"/>
      </w:pPr>
      <m:oMathPara>
        <m:oMathParaPr>
          <m:jc m:val="center"/>
        </m:oMathParaPr>
        <m:oMath>
          <m:r>
            <m:rPr>
              <m:scr m:val="double-struck"/>
              <m:sty m:val="p"/>
            </m:rPr>
            <m:t>E</m:t>
          </m:r>
          <m:r>
            <m:rPr>
              <m:sty m:val="p"/>
            </m:rPr>
            <m:t>[</m:t>
          </m:r>
          <m:r>
            <m:t>N</m:t>
          </m:r>
          <m:r>
            <m:rPr>
              <m:sty m:val="p"/>
            </m:rPr>
            <m:t>(</m:t>
          </m:r>
          <m:r>
            <m:t>x</m:t>
          </m:r>
          <m:r>
            <m:rPr>
              <m:sty m:val="p"/>
            </m:rPr>
            <m:t>)</m:t>
          </m:r>
          <m:r>
            <m:rPr>
              <m:sty m:val="p"/>
            </m:rPr>
            <m:t>∣</m:t>
          </m:r>
          <m:r>
            <m:t>x</m:t>
          </m:r>
          <m:r>
            <m:rPr>
              <m:sty m:val="p"/>
            </m:rPr>
            <m:t>∈</m:t>
          </m:r>
          <m:sSub>
            <m:e>
              <m:r>
                <m:rPr>
                  <m:scr m:val="script"/>
                  <m:sty m:val="p"/>
                </m:rPr>
                <m:t>C</m:t>
              </m:r>
            </m:e>
            <m:sub>
              <m:r>
                <m:rPr>
                  <m:nor/>
                  <m:sty m:val="p"/>
                </m:rPr>
                <m:t>contr</m:t>
              </m:r>
            </m:sub>
          </m:sSub>
          <m:r>
            <m:rPr>
              <m:sty m:val="p"/>
            </m:rPr>
            <m:t>]</m:t>
          </m:r>
          <m:r>
            <m:rPr>
              <m:sty m:val="p"/>
            </m:rPr>
            <m:t>&gt;</m:t>
          </m:r>
          <m:r>
            <m:rPr>
              <m:scr m:val="double-struck"/>
              <m:sty m:val="p"/>
            </m:rPr>
            <m:t>E</m:t>
          </m:r>
          <m:r>
            <m:rPr>
              <m:sty m:val="p"/>
            </m:rPr>
            <m:t>[</m:t>
          </m:r>
          <m:r>
            <m:t>N</m:t>
          </m:r>
          <m:r>
            <m:rPr>
              <m:sty m:val="p"/>
            </m:rPr>
            <m:t>(</m:t>
          </m:r>
          <m:r>
            <m:t>x</m:t>
          </m:r>
          <m:r>
            <m:rPr>
              <m:sty m:val="p"/>
            </m:rPr>
            <m:t>)</m:t>
          </m:r>
          <m:r>
            <m:rPr>
              <m:sty m:val="p"/>
            </m:rPr>
            <m:t>∣</m:t>
          </m:r>
          <m:r>
            <m:t>x</m:t>
          </m:r>
          <m:r>
            <m:rPr>
              <m:sty m:val="p"/>
            </m:rPr>
            <m:t>∈</m:t>
          </m:r>
          <m:sSub>
            <m:e>
              <m:r>
                <m:rPr>
                  <m:scr m:val="script"/>
                  <m:sty m:val="p"/>
                </m:rPr>
                <m:t>C</m:t>
              </m:r>
            </m:e>
            <m:sub>
              <m:r>
                <m:rPr>
                  <m:nor/>
                  <m:sty m:val="p"/>
                </m:rPr>
                <m:t>diff</m:t>
              </m:r>
            </m:sub>
          </m:sSub>
          <m:r>
            <m:rPr>
              <m:sty m:val="p"/>
            </m:rPr>
            <m:t>]</m:t>
          </m:r>
          <m:r>
            <m:rPr>
              <m:sty m:val="p"/>
            </m:rPr>
            <m:t>,</m:t>
          </m:r>
        </m:oMath>
      </m:oMathPara>
    </w:p>
    <w:p>
      <w:pPr>
        <w:pStyle w:val="FirstParagraph"/>
      </w:pPr>
      <w:r>
        <w:t xml:space="preserve">where</w:t>
      </w:r>
      <w:r>
        <w:t xml:space="preserve"> </w:t>
      </w:r>
      <m:oMath>
        <m:sSub>
          <m:e>
            <m:r>
              <m:rPr>
                <m:scr m:val="script"/>
                <m:sty m:val="p"/>
              </m:rPr>
              <m:t>C</m:t>
            </m:r>
          </m:e>
          <m:sub>
            <m:r>
              <m:rPr>
                <m:nor/>
                <m:sty m:val="p"/>
              </m:rPr>
              <m:t>diff</m:t>
            </m:r>
          </m:sub>
        </m:sSub>
      </m:oMath>
      <w:r>
        <w:t xml:space="preserve"> </w:t>
      </w:r>
      <w:r>
        <w:t xml:space="preserve">is the set of difficulty-matched but jointly satisfiable controls.</w:t>
      </w:r>
    </w:p>
    <w:p>
      <w:pPr>
        <w:pStyle w:val="BodyText"/>
      </w:pPr>
      <w:r>
        <w:t xml:space="preserve">If the effect is semantic rather than lexical, then the sign of the contradiction-minus-control contrast should be preserved across a paraphrase family</w:t>
      </w:r>
      <w:r>
        <w:t xml:space="preserve"> </w:t>
      </w:r>
      <m:oMath>
        <m:r>
          <m:rPr>
            <m:sty m:val="p"/>
          </m:rPr>
          <m:t>Π</m:t>
        </m:r>
        <m:r>
          <m:rPr>
            <m:sty m:val="p"/>
          </m:rPr>
          <m:t>(</m:t>
        </m:r>
        <m:r>
          <m:t>x</m:t>
        </m:r>
        <m:r>
          <m:rPr>
            <m:sty m:val="p"/>
          </m:rPr>
          <m:t>)</m:t>
        </m:r>
      </m:oMath>
      <w:r>
        <w:t xml:space="preserve"> </w:t>
      </w:r>
      <w:r>
        <w:t xml:space="preserve">with fixed incompatibility structure.</w:t>
      </w:r>
    </w:p>
    <w:p>
      <w:pPr>
        <w:pStyle w:val="BodyText"/>
      </w:pPr>
      <w:r>
        <w:t xml:space="preserve">If semantic nullification is not a one-template artifact, then the mean family contrast</w:t>
      </w:r>
    </w:p>
    <w:p>
      <w:pPr>
        <w:pStyle w:val="BodyText"/>
      </w:pPr>
      <m:oMathPara>
        <m:oMathParaPr>
          <m:jc m:val="center"/>
        </m:oMathParaPr>
        <m:oMath>
          <m:acc>
            <m:accPr>
              <m:chr m:val="‾"/>
            </m:accPr>
            <m:e>
              <m:r>
                <m:t>δ</m:t>
              </m:r>
            </m:e>
          </m:acc>
          <m:r>
            <m:rPr>
              <m:sty m:val="p"/>
            </m:rPr>
            <m:t>=</m:t>
          </m:r>
          <m:f>
            <m:fPr>
              <m:type m:val="bar"/>
            </m:fPr>
            <m:num>
              <m:r>
                <m:t>1</m:t>
              </m:r>
            </m:num>
            <m:den>
              <m:r>
                <m:rPr>
                  <m:sty m:val="p"/>
                </m:rPr>
                <m:t>|</m:t>
              </m:r>
              <m:r>
                <m:rPr>
                  <m:scr m:val="script"/>
                  <m:sty m:val="p"/>
                </m:rPr>
                <m:t>F</m:t>
              </m:r>
              <m:r>
                <m:rPr>
                  <m:sty m:val="p"/>
                </m:rPr>
                <m:t>|</m:t>
              </m:r>
            </m:den>
          </m:f>
          <m:nary>
            <m:naryPr>
              <m:chr m:val="∑"/>
              <m:limLoc m:val="undOvr"/>
              <m:subHide m:val="off"/>
              <m:supHide m:val="on"/>
            </m:naryPr>
            <m:sub>
              <m:r>
                <m:t>f</m:t>
              </m:r>
              <m:r>
                <m:rPr>
                  <m:sty m:val="p"/>
                </m:rPr>
                <m:t>∈</m:t>
              </m:r>
              <m:r>
                <m:rPr>
                  <m:scr m:val="script"/>
                  <m:sty m:val="p"/>
                </m:rPr>
                <m:t>F</m:t>
              </m:r>
            </m:sub>
            <m:sup>
              <m:r>
                <m:t>​</m:t>
              </m:r>
            </m:sup>
            <m:e>
              <m:sSub>
                <m:e>
                  <m:r>
                    <m:t>δ</m:t>
                  </m:r>
                </m:e>
                <m:sub>
                  <m:r>
                    <m:t>f</m:t>
                  </m:r>
                </m:sub>
              </m:sSub>
            </m:e>
          </m:nary>
        </m:oMath>
      </m:oMathPara>
    </w:p>
    <w:p>
      <w:pPr>
        <w:pStyle w:val="FirstParagraph"/>
      </w:pPr>
      <w:r>
        <w:t xml:space="preserve">remains positive under leave-one-family-out re-estimation over the benchmark family set</w:t>
      </w:r>
      <w:r>
        <w:t xml:space="preserve"> </w:t>
      </w:r>
      <m:oMath>
        <m:r>
          <m:rPr>
            <m:scr m:val="script"/>
            <m:sty m:val="p"/>
          </m:rPr>
          <m:t>F</m:t>
        </m:r>
      </m:oMath>
      <w:r>
        <w:t xml:space="preserve">.</w:t>
      </w:r>
    </w:p>
    <w:bookmarkStart w:id="13" w:name="null-hypothesis"/>
    <w:p>
      <w:pPr>
        <w:pStyle w:val="Heading2"/>
      </w:pPr>
      <w:r>
        <w:t xml:space="preserve">Null hypothesis</w:t>
      </w:r>
    </w:p>
    <w:p>
      <w:pPr>
        <w:pStyle w:val="FirstParagraph"/>
      </w:pPr>
      <w:r>
        <w:t xml:space="preserve">After controlling for semantic density, topic, and approximate length, contradiction-bearing prompts do not produce a larger nullification index than non-contradictory difficulty controls.</w:t>
      </w:r>
    </w:p>
    <w:bookmarkEnd w:id="13"/>
    <w:bookmarkStart w:id="14" w:name="effect-size-target"/>
    <w:p>
      <w:pPr>
        <w:pStyle w:val="Heading2"/>
      </w:pPr>
      <w:r>
        <w:t xml:space="preserve">Effect-size target</w:t>
      </w:r>
    </w:p>
    <w:p>
      <w:pPr>
        <w:pStyle w:val="FirstParagraph"/>
      </w:pPr>
      <w:r>
        <w:t xml:space="preserve">For an early-stage benchmark, a practically meaningful signal is a standardized mean difference of at least</w:t>
      </w:r>
      <w:r>
        <w:t xml:space="preserve"> </w:t>
      </w:r>
      <m:oMath>
        <m:r>
          <m:t>0.5</m:t>
        </m:r>
      </m:oMath>
      <w:r>
        <w:t xml:space="preserve"> </w:t>
      </w:r>
      <w:r>
        <w:t xml:space="preserve">in</w:t>
      </w:r>
      <w:r>
        <w:t xml:space="preserve"> </w:t>
      </w:r>
      <m:oMath>
        <m:r>
          <m:t>N</m:t>
        </m:r>
        <m:r>
          <m:rPr>
            <m:sty m:val="p"/>
          </m:rPr>
          <m:t>(</m:t>
        </m:r>
        <m:r>
          <m:t>x</m:t>
        </m:r>
        <m:r>
          <m:rPr>
            <m:sty m:val="p"/>
          </m:rPr>
          <m:t>)</m:t>
        </m:r>
      </m:oMath>
      <w:r>
        <w:t xml:space="preserve"> </w:t>
      </w:r>
      <w:r>
        <w:t xml:space="preserve">between contradiction-bearing prompts and difficulty-matched controls.</w:t>
      </w:r>
    </w:p>
    <w:bookmarkEnd w:id="14"/>
    <w:bookmarkEnd w:id="15"/>
    <w:bookmarkStart w:id="18" w:name="benchmark-design"/>
    <w:p>
      <w:pPr>
        <w:pStyle w:val="Heading1"/>
      </w:pPr>
      <w:r>
        <w:t xml:space="preserve">Benchmark design</w:t>
      </w:r>
    </w:p>
    <w:p>
      <w:pPr>
        <w:pStyle w:val="FirstParagraph"/>
      </w:pPr>
      <w:r>
        <w:t xml:space="preserve">Each prompt family contains four variants: a coherent control, a non-contradictory difficulty control, an explicit contradiction, and a nested contradiction. This structure is deliberately stricter than a simple contradiction-versus-control split because contradiction often co-occurs with increased semantic density.</w:t>
      </w:r>
    </w:p>
    <w:bookmarkStart w:id="16" w:name="tab:hp-conditions"/>
    <w:p>
      <w:pPr>
        <w:pStyle w:val="TableCaption"/>
      </w:pPr>
      <w:r>
        <w:t xml:space="preserve">Condition structure for the semantic nullification benchmark.</w:t>
      </w:r>
    </w:p>
    <w:tbl>
      <w:tblPr>
        <w:tblStyle w:val="Table"/>
        <w:tblW w:type="pct" w:w="4200"/>
        <w:tblLayout w:type="fixed"/>
        <w:tblLook w:firstRow="1" w:lastRow="0" w:firstColumn="0" w:lastColumn="0" w:noHBand="0" w:noVBand="0" w:val="0020"/>
        <w:tblCaption w:val="Condition structure for the semantic nullification benchmark."/>
      </w:tblPr>
      <w:tblGrid>
        <w:gridCol w:w="1742"/>
        <w:gridCol w:w="1425"/>
        <w:gridCol w:w="3484"/>
      </w:tblGrid>
      <w:tr>
        <w:trPr>
          <w:tblHeader w:val="on"/>
        </w:trPr>
        <w:tc>
          <w:tcPr/>
          <w:p>
            <w:pPr>
              <w:pStyle w:val="Compact"/>
              <w:jc w:val="left"/>
            </w:pPr>
            <w:r>
              <w:t xml:space="preserve">Condition</w:t>
            </w:r>
          </w:p>
        </w:tc>
        <w:tc>
          <w:tcPr/>
          <w:p>
            <w:pPr>
              <w:pStyle w:val="Compact"/>
              <w:jc w:val="left"/>
            </w:pPr>
            <w:r>
              <w:t xml:space="preserve">Target depth</w:t>
            </w:r>
          </w:p>
        </w:tc>
        <w:tc>
          <w:tcPr/>
          <w:p>
            <w:pPr>
              <w:pStyle w:val="Compact"/>
              <w:jc w:val="left"/>
            </w:pPr>
            <w:r>
              <w:t xml:space="preserve">Construction principle</w:t>
            </w:r>
          </w:p>
        </w:tc>
      </w:tr>
      <w:tr>
        <w:tc>
          <w:tcPr/>
          <w:p>
            <w:pPr>
              <w:pStyle w:val="Compact"/>
              <w:jc w:val="left"/>
            </w:pPr>
            <w:r>
              <w:t xml:space="preserve">Control</w:t>
            </w:r>
          </w:p>
        </w:tc>
        <w:tc>
          <w:tcPr/>
          <w:p>
            <w:pPr>
              <w:pStyle w:val="Compact"/>
              <w:jc w:val="left"/>
            </w:pPr>
            <w:r>
              <w:t xml:space="preserve">low</w:t>
            </w:r>
          </w:p>
        </w:tc>
        <w:tc>
          <w:tcPr/>
          <w:p>
            <w:pPr>
              <w:pStyle w:val="Compact"/>
              <w:jc w:val="left"/>
            </w:pPr>
            <w:r>
              <w:t xml:space="preserve">coherent premise-hypothesis realization</w:t>
            </w:r>
          </w:p>
        </w:tc>
      </w:tr>
      <w:tr>
        <w:tc>
          <w:tcPr/>
          <w:p>
            <w:pPr>
              <w:pStyle w:val="Compact"/>
              <w:jc w:val="left"/>
            </w:pPr>
            <w:r>
              <w:t xml:space="preserve">Difficulty control</w:t>
            </w:r>
          </w:p>
        </w:tc>
        <w:tc>
          <w:tcPr/>
          <w:p>
            <w:pPr>
              <w:pStyle w:val="Compact"/>
              <w:jc w:val="left"/>
            </w:pPr>
            <w:r>
              <w:t xml:space="preserve">low–mid</w:t>
            </w:r>
          </w:p>
        </w:tc>
        <w:tc>
          <w:tcPr/>
          <w:p>
            <w:pPr>
              <w:pStyle w:val="Compact"/>
              <w:jc w:val="left"/>
            </w:pPr>
            <w:r>
              <w:t xml:space="preserve">denser but jointly satisfiable variant</w:t>
            </w:r>
          </w:p>
        </w:tc>
      </w:tr>
      <w:tr>
        <w:tc>
          <w:tcPr/>
          <w:p>
            <w:pPr>
              <w:pStyle w:val="Compact"/>
              <w:jc w:val="left"/>
            </w:pPr>
            <w:r>
              <w:t xml:space="preserve">Explicit contradiction</w:t>
            </w:r>
          </w:p>
        </w:tc>
        <w:tc>
          <w:tcPr/>
          <w:p>
            <w:pPr>
              <w:pStyle w:val="Compact"/>
              <w:jc w:val="left"/>
            </w:pPr>
            <w:r>
              <w:t xml:space="preserve">mid–high</w:t>
            </w:r>
          </w:p>
        </w:tc>
        <w:tc>
          <w:tcPr/>
          <w:p>
            <w:pPr>
              <w:pStyle w:val="Compact"/>
              <w:jc w:val="left"/>
            </w:pPr>
            <w:r>
              <w:t xml:space="preserve">one direct incompatibility with the premise</w:t>
            </w:r>
          </w:p>
        </w:tc>
      </w:tr>
      <w:tr>
        <w:tc>
          <w:tcPr/>
          <w:p>
            <w:pPr>
              <w:pStyle w:val="Compact"/>
              <w:jc w:val="left"/>
            </w:pPr>
            <w:r>
              <w:t xml:space="preserve">Nested contradiction</w:t>
            </w:r>
          </w:p>
        </w:tc>
        <w:tc>
          <w:tcPr/>
          <w:p>
            <w:pPr>
              <w:pStyle w:val="Compact"/>
              <w:jc w:val="left"/>
            </w:pPr>
            <w:r>
              <w:t xml:space="preserve">high</w:t>
            </w:r>
          </w:p>
        </w:tc>
        <w:tc>
          <w:tcPr/>
          <w:p>
            <w:pPr>
              <w:pStyle w:val="Compact"/>
              <w:jc w:val="left"/>
            </w:pPr>
            <w:r>
              <w:t xml:space="preserve">multiple cross-clause incompatible commitments</w:t>
            </w:r>
          </w:p>
        </w:tc>
      </w:tr>
    </w:tbl>
    <w:bookmarkEnd w:id="16"/>
    <w:bookmarkStart w:id="17" w:name="tab:hp-variables"/>
    <w:p>
      <w:pPr>
        <w:pStyle w:val="TableCaption"/>
      </w:pPr>
      <w:r>
        <w:t xml:space="preserve">Measured variables and their inferential role.</w:t>
      </w:r>
    </w:p>
    <w:tbl>
      <w:tblPr>
        <w:tblStyle w:val="Table"/>
        <w:tblW w:type="pct" w:w="4300"/>
        <w:tblLayout w:type="fixed"/>
        <w:tblLook w:firstRow="1" w:lastRow="0" w:firstColumn="0" w:lastColumn="0" w:noHBand="0" w:noVBand="0" w:val="0020"/>
        <w:tblCaption w:val="Measured variables and their inferential role."/>
      </w:tblPr>
      <w:tblGrid>
        <w:gridCol w:w="2217"/>
        <w:gridCol w:w="1425"/>
        <w:gridCol w:w="3168"/>
      </w:tblGrid>
      <w:tr>
        <w:trPr>
          <w:tblHeader w:val="on"/>
        </w:trPr>
        <w:tc>
          <w:tcPr/>
          <w:p>
            <w:pPr>
              <w:pStyle w:val="Compact"/>
              <w:jc w:val="left"/>
            </w:pPr>
            <w:r>
              <w:t xml:space="preserve">Observable</w:t>
            </w:r>
          </w:p>
        </w:tc>
        <w:tc>
          <w:tcPr/>
          <w:p>
            <w:pPr>
              <w:pStyle w:val="Compact"/>
              <w:jc w:val="left"/>
            </w:pPr>
            <w:r>
              <w:t xml:space="preserve">Symbol</w:t>
            </w:r>
          </w:p>
        </w:tc>
        <w:tc>
          <w:tcPr/>
          <w:p>
            <w:pPr>
              <w:pStyle w:val="Compact"/>
              <w:jc w:val="left"/>
            </w:pPr>
            <w:r>
              <w:t xml:space="preserve">Role in analysis</w:t>
            </w:r>
          </w:p>
        </w:tc>
      </w:tr>
      <w:tr>
        <w:tc>
          <w:tcPr/>
          <w:p>
            <w:pPr>
              <w:pStyle w:val="Compact"/>
              <w:jc w:val="left"/>
            </w:pPr>
            <w:r>
              <w:t xml:space="preserve">Predictive entropy</w:t>
            </w:r>
          </w:p>
        </w:tc>
        <w:tc>
          <w:tcPr/>
          <w:p>
            <w:pPr>
              <w:pStyle w:val="Compact"/>
              <w:jc w:val="left"/>
            </w:pPr>
            <m:oMath>
              <m:r>
                <m:t>H</m:t>
              </m:r>
              <m:r>
                <m:rPr>
                  <m:sty m:val="p"/>
                </m:rPr>
                <m:t>(</m:t>
              </m:r>
              <m:r>
                <m:t>x</m:t>
              </m:r>
              <m:r>
                <m:rPr>
                  <m:sty m:val="p"/>
                </m:rPr>
                <m:t>)</m:t>
              </m:r>
            </m:oMath>
          </w:p>
        </w:tc>
        <w:tc>
          <w:tcPr/>
          <w:p>
            <w:pPr>
              <w:pStyle w:val="Compact"/>
              <w:jc w:val="left"/>
            </w:pPr>
            <w:r>
              <w:t xml:space="preserve">local uncertainty inflation</w:t>
            </w:r>
          </w:p>
        </w:tc>
      </w:tr>
      <w:tr>
        <w:tc>
          <w:tcPr/>
          <w:p>
            <w:pPr>
              <w:pStyle w:val="Compact"/>
              <w:jc w:val="left"/>
            </w:pPr>
            <w:r>
              <w:t xml:space="preserve">Representation drift</w:t>
            </w:r>
          </w:p>
        </w:tc>
        <w:tc>
          <w:tcPr/>
          <w:p>
            <w:pPr>
              <w:pStyle w:val="Compact"/>
              <w:jc w:val="left"/>
            </w:pPr>
            <m:oMath>
              <m:sSub>
                <m:e>
                  <m:r>
                    <m:rPr>
                      <m:sty m:val="p"/>
                    </m:rPr>
                    <m:t>Δ</m:t>
                  </m:r>
                </m:e>
                <m:sub>
                  <m:r>
                    <m:t>ℓ</m:t>
                  </m:r>
                </m:sub>
              </m:sSub>
            </m:oMath>
          </w:p>
        </w:tc>
        <w:tc>
          <w:tcPr/>
          <w:p>
            <w:pPr>
              <w:pStyle w:val="Compact"/>
              <w:jc w:val="left"/>
            </w:pPr>
            <w:r>
              <w:t xml:space="preserve">contextual displacement from control</w:t>
            </w:r>
          </w:p>
        </w:tc>
      </w:tr>
      <w:tr>
        <w:tc>
          <w:tcPr/>
          <w:p>
            <w:pPr>
              <w:pStyle w:val="Compact"/>
              <w:jc w:val="left"/>
            </w:pPr>
            <w:r>
              <w:t xml:space="preserve">Output inconsistency</w:t>
            </w:r>
          </w:p>
        </w:tc>
        <w:tc>
          <w:tcPr/>
          <w:p>
            <w:pPr>
              <w:pStyle w:val="Compact"/>
              <w:jc w:val="left"/>
            </w:pPr>
            <m:oMath>
              <m:r>
                <m:t>I</m:t>
              </m:r>
              <m:r>
                <m:rPr>
                  <m:sty m:val="p"/>
                </m:rPr>
                <m:t>(</m:t>
              </m:r>
              <m:r>
                <m:t>x</m:t>
              </m:r>
              <m:r>
                <m:rPr>
                  <m:sty m:val="p"/>
                </m:rPr>
                <m:t>)</m:t>
              </m:r>
            </m:oMath>
          </w:p>
        </w:tc>
        <w:tc>
          <w:tcPr/>
          <w:p>
            <w:pPr>
              <w:pStyle w:val="Compact"/>
              <w:jc w:val="left"/>
            </w:pPr>
            <w:r>
              <w:t xml:space="preserve">behavioral instability across seeds</w:t>
            </w:r>
          </w:p>
        </w:tc>
      </w:tr>
      <w:tr>
        <w:tc>
          <w:tcPr/>
          <w:p>
            <w:pPr>
              <w:pStyle w:val="Compact"/>
              <w:jc w:val="left"/>
            </w:pPr>
            <w:r>
              <w:t xml:space="preserve">Nullification index</w:t>
            </w:r>
          </w:p>
        </w:tc>
        <w:tc>
          <w:tcPr/>
          <w:p>
            <w:pPr>
              <w:pStyle w:val="Compact"/>
              <w:jc w:val="left"/>
            </w:pPr>
            <m:oMath>
              <m:r>
                <m:t>N</m:t>
              </m:r>
              <m:r>
                <m:rPr>
                  <m:sty m:val="p"/>
                </m:rPr>
                <m:t>(</m:t>
              </m:r>
              <m:r>
                <m:t>x</m:t>
              </m:r>
              <m:r>
                <m:rPr>
                  <m:sty m:val="p"/>
                </m:rPr>
                <m:t>)</m:t>
              </m:r>
            </m:oMath>
          </w:p>
        </w:tc>
        <w:tc>
          <w:tcPr/>
          <w:p>
            <w:pPr>
              <w:pStyle w:val="Compact"/>
              <w:jc w:val="left"/>
            </w:pPr>
            <w:r>
              <w:t xml:space="preserve">primary aggregate endpoint</w:t>
            </w:r>
          </w:p>
        </w:tc>
      </w:tr>
    </w:tbl>
    <w:bookmarkEnd w:id="17"/>
    <w:bookmarkEnd w:id="18"/>
    <w:bookmarkStart w:id="25" w:name="identification-strategy"/>
    <w:p>
      <w:pPr>
        <w:pStyle w:val="Heading1"/>
      </w:pPr>
      <w:r>
        <w:t xml:space="preserve">Identification strategy</w:t>
      </w:r>
    </w:p>
    <w:p>
      <w:pPr>
        <w:pStyle w:val="FirstParagraph"/>
      </w:pPr>
      <w:r>
        <w:t xml:space="preserve">The identification problem is straightforward to state: contradiction is often confounded with generic difficulty, lexical rarity, or benchmark artifacts. The benchmark addresses this in three ways. First, each contradiction prompt is paired with a coherent control and a difficulty-matched non-contradictory control. Second, contradiction can be realized through lexical, temporal, causal, role-based, or world-knowledge incompatibility rather than through overt negation alone. Third, the benchmark is evaluated at family level so that one striking item cannot dominate interpretation.</w:t>
      </w:r>
    </w:p>
    <w:bookmarkStart w:id="19" w:name="fig:hp-flow"/>
    <w:tbl>
      <w:tblPr>
        <w:tblStyle w:val="FigureTable"/>
        <w:tblW w:type="auto" w:w="0"/>
        <w:jc w:val="center"/>
        <w:tblLook w:firstRow="0" w:lastRow="0" w:firstColumn="0" w:lastColumn="0"/>
      </w:tblPr>
      <w:tblGrid/>
    </w:tbl>
    <w:p>
      <w:pPr>
        <w:pStyle w:val="ImageCaption"/>
      </w:pPr>
      <w:r>
        <w:t xml:space="preserve">Family construction and measurement pipeline. Contradiction depth, rather than topic, drives the primary contrast.</w:t>
      </w:r>
    </w:p>
    <w:bookmarkEnd w:id="19"/>
    <w:bookmarkStart w:id="20" w:name="fig:hp-threshold"/>
    <w:tbl>
      <w:tblPr>
        <w:tblStyle w:val="FigureTable"/>
        <w:tblW w:type="auto" w:w="0"/>
        <w:jc w:val="center"/>
        <w:tblLook w:firstRow="0" w:lastRow="0" w:firstColumn="0" w:lastColumn="0"/>
      </w:tblPr>
      <w:tblGrid/>
    </w:tbl>
    <w:p>
      <w:pPr>
        <w:pStyle w:val="ImageCaption"/>
      </w:pPr>
      <w:r>
        <w:t xml:space="preserve">Threshold-style interpretation of the theory. The figure is conceptual rather than empirical: the seed experiment is explicitly allowed to reject this pattern.</w:t>
      </w:r>
    </w:p>
    <w:bookmarkEnd w:id="20"/>
    <w:bookmarkStart w:id="24" w:name="fig:hp-square"/>
    <w:p>
      <w:pPr>
        <w:pStyle w:val="CaptionedFigure"/>
      </w:pPr>
      <w:r>
        <w:drawing>
          <wp:inline>
            <wp:extent cx="3307080" cy="4273658"/>
            <wp:effectExtent b="0" l="0" r="0" t="0"/>
            <wp:docPr descr="" title="" id="22" name="Picture"/>
            <a:graphic>
              <a:graphicData uri="http://schemas.openxmlformats.org/drawingml/2006/picture">
                <pic:pic>
                  <pic:nvPicPr>
                    <pic:cNvPr descr="figures/square_of_opposition_set_diagrams.pdf" id="23" name="Picture"/>
                    <pic:cNvPicPr>
                      <a:picLocks noChangeArrowheads="1" noChangeAspect="1"/>
                    </pic:cNvPicPr>
                  </pic:nvPicPr>
                  <pic:blipFill>
                    <a:blip r:embed="rId21"/>
                    <a:stretch>
                      <a:fillRect/>
                    </a:stretch>
                  </pic:blipFill>
                  <pic:spPr bwMode="auto">
                    <a:xfrm>
                      <a:off x="0" y="0"/>
                      <a:ext cx="3307080" cy="4273658"/>
                    </a:xfrm>
                    <a:prstGeom prst="rect">
                      <a:avLst/>
                    </a:prstGeom>
                    <a:noFill/>
                    <a:ln w="9525">
                      <a:noFill/>
                      <a:headEnd/>
                      <a:tailEnd/>
                    </a:ln>
                  </pic:spPr>
                </pic:pic>
              </a:graphicData>
            </a:graphic>
          </wp:inline>
        </w:drawing>
      </w:r>
    </w:p>
    <w:p>
      <w:pPr>
        <w:pStyle w:val="ImageCaption"/>
      </w:pPr>
      <w:r>
        <w:t xml:space="preserve">Classical opposition structure provides a useful logical baseline for contradiction-sensitive prompt construction. Included from a public-domain Wikimedia Commons figure</w:t>
      </w:r>
      <w:r>
        <w:t xml:space="preserve"> </w:t>
      </w:r>
      <w:r>
        <w:t xml:space="preserve">.</w:t>
      </w:r>
    </w:p>
    <w:bookmarkEnd w:id="24"/>
    <w:bookmarkEnd w:id="25"/>
    <w:bookmarkStart w:id="36" w:name="methodology"/>
    <w:p>
      <w:pPr>
        <w:pStyle w:val="Heading1"/>
      </w:pPr>
      <w:r>
        <w:t xml:space="preserve">Methodology</w:t>
      </w:r>
    </w:p>
    <w:bookmarkStart w:id="26" w:name="model-and-public-data"/>
    <w:p>
      <w:pPr>
        <w:pStyle w:val="Heading2"/>
      </w:pPr>
      <w:r>
        <w:t xml:space="preserve">Model and public data</w:t>
      </w:r>
    </w:p>
    <w:p>
      <w:pPr>
        <w:pStyle w:val="FirstParagraph"/>
      </w:pPr>
      <w:r>
        <w:t xml:space="preserve">The seed benchmark is populated from public SNLI-derived contradiction families</w:t>
      </w:r>
      <w:r>
        <w:t xml:space="preserve"> </w:t>
      </w:r>
      <w:r>
        <w:t xml:space="preserve">. The current seed run uses</w:t>
      </w:r>
      <w:r>
        <w:t xml:space="preserve"> </w:t>
      </w:r>
      <w:r>
        <w:rPr>
          <w:rStyle w:val="VerbatimChar"/>
        </w:rPr>
        <w:t xml:space="preserve">distilgpt2</w:t>
      </w:r>
      <w:r>
        <w:t xml:space="preserve"> </w:t>
      </w:r>
      <w:r>
        <w:t xml:space="preserve">under fixed decoding settings so that observed variation is attributable to prompt family differences rather than to policy drift during sampling.</w:t>
      </w:r>
    </w:p>
    <w:bookmarkEnd w:id="26"/>
    <w:bookmarkStart w:id="27" w:name="primary-test-statistic"/>
    <w:p>
      <w:pPr>
        <w:pStyle w:val="Heading2"/>
      </w:pPr>
      <w:r>
        <w:t xml:space="preserve">Primary test statistic</w:t>
      </w:r>
    </w:p>
    <w:p>
      <w:pPr>
        <w:pStyle w:val="FirstParagraph"/>
      </w:pPr>
      <w:r>
        <w:t xml:space="preserve">Let</w:t>
      </w:r>
      <w:r>
        <w:t xml:space="preserve"> </w:t>
      </w:r>
      <m:oMath>
        <m:sSub>
          <m:e>
            <m:r>
              <m:rPr>
                <m:scr m:val="script"/>
                <m:sty m:val="p"/>
              </m:rPr>
              <m:t>X</m:t>
            </m:r>
          </m:e>
          <m:sub>
            <m:r>
              <m:rPr>
                <m:nor/>
                <m:sty m:val="p"/>
              </m:rPr>
              <m:t>contr</m:t>
            </m:r>
          </m:sub>
        </m:sSub>
      </m:oMath>
      <w:r>
        <w:t xml:space="preserve"> </w:t>
      </w:r>
      <w:r>
        <w:t xml:space="preserve">denote contradiction-bearing prompts and</w:t>
      </w:r>
      <w:r>
        <w:t xml:space="preserve"> </w:t>
      </w:r>
      <m:oMath>
        <m:sSub>
          <m:e>
            <m:r>
              <m:rPr>
                <m:scr m:val="script"/>
                <m:sty m:val="p"/>
              </m:rPr>
              <m:t>X</m:t>
            </m:r>
          </m:e>
          <m:sub>
            <m:r>
              <m:rPr>
                <m:nor/>
                <m:sty m:val="p"/>
              </m:rPr>
              <m:t>ctrl</m:t>
            </m:r>
          </m:sub>
        </m:sSub>
      </m:oMath>
      <w:r>
        <w:t xml:space="preserve"> </w:t>
      </w:r>
      <w:r>
        <w:t xml:space="preserve">the matched coherent controls. The primary contrast is</w:t>
      </w:r>
    </w:p>
    <w:p>
      <w:pPr>
        <w:pStyle w:val="BodyText"/>
      </w:pPr>
      <m:oMathPara>
        <m:oMathParaPr>
          <m:jc m:val="center"/>
        </m:oMathParaPr>
        <m:oMath>
          <m:sSub>
            <m:e>
              <m:r>
                <m:t>T</m:t>
              </m:r>
            </m:e>
            <m:sub>
              <m:r>
                <m:t>N</m:t>
              </m:r>
            </m:sub>
          </m:sSub>
          <m:r>
            <m:rPr>
              <m:sty m:val="p"/>
            </m:rPr>
            <m:t>=</m:t>
          </m:r>
          <m:sSub>
            <m:e>
              <m:bar>
                <m:barPr>
                  <m:pos m:val="top"/>
                </m:barPr>
                <m:e>
                  <m:r>
                    <m:t>N</m:t>
                  </m:r>
                </m:e>
              </m:bar>
            </m:e>
            <m:sub>
              <m:r>
                <m:rPr>
                  <m:nor/>
                  <m:sty m:val="p"/>
                </m:rPr>
                <m:t>contr</m:t>
              </m:r>
            </m:sub>
          </m:sSub>
          <m:r>
            <m:rPr>
              <m:sty m:val="p"/>
            </m:rPr>
            <m:t>−</m:t>
          </m:r>
          <m:sSub>
            <m:e>
              <m:bar>
                <m:barPr>
                  <m:pos m:val="top"/>
                </m:barPr>
                <m:e>
                  <m:r>
                    <m:t>N</m:t>
                  </m:r>
                </m:e>
              </m:bar>
            </m:e>
            <m:sub>
              <m:r>
                <m:rPr>
                  <m:nor/>
                  <m:sty m:val="p"/>
                </m:rPr>
                <m:t>ctrl</m:t>
              </m:r>
            </m:sub>
          </m:sSub>
          <m:r>
            <m:rPr>
              <m:sty m:val="p"/>
            </m:rPr>
            <m:t>.</m:t>
          </m:r>
        </m:oMath>
      </m:oMathPara>
    </w:p>
    <w:p>
      <w:pPr>
        <w:pStyle w:val="FirstParagraph"/>
      </w:pPr>
      <w:r>
        <w:t xml:space="preserve">For the sharper test against generic difficulty, define</w:t>
      </w:r>
    </w:p>
    <w:p>
      <w:pPr>
        <w:pStyle w:val="BodyText"/>
      </w:pPr>
      <m:oMathPara>
        <m:oMathParaPr>
          <m:jc m:val="center"/>
        </m:oMathParaPr>
        <m:oMath>
          <m:sSubSup>
            <m:e>
              <m:r>
                <m:t>T</m:t>
              </m:r>
            </m:e>
            <m:sub>
              <m:r>
                <m:t>N</m:t>
              </m:r>
            </m:sub>
            <m:sup>
              <m:r>
                <m:rPr>
                  <m:sty m:val="p"/>
                </m:rPr>
                <m:t>⋆</m:t>
              </m:r>
            </m:sup>
          </m:sSubSup>
          <m:r>
            <m:rPr>
              <m:sty m:val="p"/>
            </m:rPr>
            <m:t>=</m:t>
          </m:r>
          <m:sSub>
            <m:e>
              <m:bar>
                <m:barPr>
                  <m:pos m:val="top"/>
                </m:barPr>
                <m:e>
                  <m:r>
                    <m:t>N</m:t>
                  </m:r>
                </m:e>
              </m:bar>
            </m:e>
            <m:sub>
              <m:r>
                <m:rPr>
                  <m:nor/>
                  <m:sty m:val="p"/>
                </m:rPr>
                <m:t>contr</m:t>
              </m:r>
            </m:sub>
          </m:sSub>
          <m:r>
            <m:rPr>
              <m:sty m:val="p"/>
            </m:rPr>
            <m:t>−</m:t>
          </m:r>
          <m:sSub>
            <m:e>
              <m:bar>
                <m:barPr>
                  <m:pos m:val="top"/>
                </m:barPr>
                <m:e>
                  <m:r>
                    <m:t>N</m:t>
                  </m:r>
                </m:e>
              </m:bar>
            </m:e>
            <m:sub>
              <m:r>
                <m:rPr>
                  <m:nor/>
                  <m:sty m:val="p"/>
                </m:rPr>
                <m:t>diff</m:t>
              </m:r>
            </m:sub>
          </m:sSub>
          <m:r>
            <m:rPr>
              <m:sty m:val="p"/>
            </m:rPr>
            <m:t>,</m:t>
          </m:r>
        </m:oMath>
      </m:oMathPara>
    </w:p>
    <w:p>
      <w:pPr>
        <w:pStyle w:val="FirstParagraph"/>
      </w:pPr>
      <w:r>
        <w:t xml:space="preserve">where</w:t>
      </w:r>
      <w:r>
        <w:t xml:space="preserve"> </w:t>
      </w:r>
      <m:oMath>
        <m:sSub>
          <m:e>
            <m:bar>
              <m:barPr>
                <m:pos m:val="top"/>
              </m:barPr>
              <m:e>
                <m:r>
                  <m:t>N</m:t>
                </m:r>
              </m:e>
            </m:bar>
          </m:e>
          <m:sub>
            <m:r>
              <m:rPr>
                <m:nor/>
                <m:sty m:val="p"/>
              </m:rPr>
              <m:t>diff</m:t>
            </m:r>
          </m:sub>
        </m:sSub>
      </m:oMath>
      <w:r>
        <w:t xml:space="preserve"> </w:t>
      </w:r>
      <w:r>
        <w:t xml:space="preserve">is the mean nullification index under difficulty-matched non-contradictory controls.</w:t>
      </w:r>
    </w:p>
    <w:p>
      <w:pPr>
        <w:pStyle w:val="BodyText"/>
      </w:pPr>
      <w:r>
        <w:t xml:space="preserve">Because a single family can be unusually noisy, we also estimate the family-aggregated contrast</w:t>
      </w:r>
    </w:p>
    <w:p>
      <w:pPr>
        <w:pStyle w:val="BodyText"/>
      </w:pPr>
      <m:oMathPara>
        <m:oMathParaPr>
          <m:jc m:val="center"/>
        </m:oMathParaPr>
        <m:oMath>
          <m:acc>
            <m:accPr>
              <m:chr m:val="̂"/>
            </m:accPr>
            <m:e>
              <m:acc>
                <m:accPr>
                  <m:chr m:val="‾"/>
                </m:accPr>
                <m:e>
                  <m:r>
                    <m:t>δ</m:t>
                  </m:r>
                </m:e>
              </m:acc>
            </m:e>
          </m:acc>
          <m:r>
            <m:rPr>
              <m:sty m:val="p"/>
            </m:rPr>
            <m:t>=</m:t>
          </m:r>
          <m:f>
            <m:fPr>
              <m:type m:val="bar"/>
            </m:fPr>
            <m:num>
              <m:r>
                <m:t>1</m:t>
              </m:r>
            </m:num>
            <m:den>
              <m:r>
                <m:rPr>
                  <m:sty m:val="p"/>
                </m:rPr>
                <m:t>|</m:t>
              </m:r>
              <m:r>
                <m:rPr>
                  <m:scr m:val="script"/>
                  <m:sty m:val="p"/>
                </m:rPr>
                <m:t>F</m:t>
              </m:r>
              <m:r>
                <m:rPr>
                  <m:sty m:val="p"/>
                </m:rPr>
                <m:t>|</m:t>
              </m:r>
            </m:den>
          </m:f>
          <m:nary>
            <m:naryPr>
              <m:chr m:val="∑"/>
              <m:limLoc m:val="undOvr"/>
              <m:subHide m:val="off"/>
              <m:supHide m:val="on"/>
            </m:naryPr>
            <m:sub>
              <m:r>
                <m:t>f</m:t>
              </m:r>
              <m:r>
                <m:rPr>
                  <m:sty m:val="p"/>
                </m:rPr>
                <m:t>∈</m:t>
              </m:r>
              <m:r>
                <m:rPr>
                  <m:scr m:val="script"/>
                  <m:sty m:val="p"/>
                </m:rPr>
                <m:t>F</m:t>
              </m:r>
            </m:sub>
            <m:sup>
              <m:r>
                <m:t>​</m:t>
              </m:r>
            </m:sup>
            <m:e>
              <m:sSub>
                <m:e>
                  <m:acc>
                    <m:accPr>
                      <m:chr m:val="̂"/>
                    </m:accPr>
                    <m:e>
                      <m:r>
                        <m:t>δ</m:t>
                      </m:r>
                    </m:e>
                  </m:acc>
                </m:e>
                <m:sub>
                  <m:r>
                    <m:t>f</m:t>
                  </m:r>
                </m:sub>
              </m:sSub>
            </m:e>
          </m:nary>
        </m:oMath>
      </m:oMathPara>
    </w:p>
    <w:p>
      <w:pPr>
        <w:pStyle w:val="FirstParagraph"/>
      </w:pPr>
      <w:r>
        <w:t xml:space="preserve">and treat sign stability of</w:t>
      </w:r>
      <w:r>
        <w:t xml:space="preserve"> </w:t>
      </w:r>
      <m:oMath>
        <m:sSub>
          <m:e>
            <m:acc>
              <m:accPr>
                <m:chr m:val="̂"/>
              </m:accPr>
              <m:e>
                <m:r>
                  <m:t>δ</m:t>
                </m:r>
              </m:e>
            </m:acc>
          </m:e>
          <m:sub>
            <m:r>
              <m:t>f</m:t>
            </m:r>
          </m:sub>
        </m:sSub>
      </m:oMath>
      <w:r>
        <w:t xml:space="preserve"> </w:t>
      </w:r>
      <w:r>
        <w:t xml:space="preserve">across families as part of the inferential target rather than a secondary diagnostic.</w:t>
      </w:r>
    </w:p>
    <w:bookmarkEnd w:id="27"/>
    <w:bookmarkStart w:id="28" w:name="estimator-and-uncertainty"/>
    <w:p>
      <w:pPr>
        <w:pStyle w:val="Heading2"/>
      </w:pPr>
      <w:r>
        <w:t xml:space="preserve">Estimator and uncertainty</w:t>
      </w:r>
    </w:p>
    <w:p>
      <w:pPr>
        <w:pStyle w:val="FirstParagraph"/>
      </w:pPr>
      <w:r>
        <w:t xml:space="preserve">Let</w:t>
      </w:r>
      <w:r>
        <w:t xml:space="preserve"> </w:t>
      </w:r>
      <m:oMath>
        <m:r>
          <m:t>B</m:t>
        </m:r>
      </m:oMath>
      <w:r>
        <w:t xml:space="preserve"> </w:t>
      </w:r>
      <w:r>
        <w:t xml:space="preserve">denote the number of bootstrap resamples drawn at family level. The reported uncertainty interval for</w:t>
      </w:r>
      <w:r>
        <w:t xml:space="preserve"> </w:t>
      </w:r>
      <m:oMath>
        <m:sSubSup>
          <m:e>
            <m:r>
              <m:t>T</m:t>
            </m:r>
          </m:e>
          <m:sub>
            <m:r>
              <m:t>N</m:t>
            </m:r>
          </m:sub>
          <m:sup>
            <m:r>
              <m:rPr>
                <m:sty m:val="p"/>
              </m:rPr>
              <m:t>⋆</m:t>
            </m:r>
          </m:sup>
        </m:sSubSup>
      </m:oMath>
      <w:r>
        <w:t xml:space="preserve"> </w:t>
      </w:r>
      <w:r>
        <w:t xml:space="preserve">is</w:t>
      </w:r>
    </w:p>
    <w:p>
      <w:pPr>
        <w:pStyle w:val="BodyText"/>
      </w:pPr>
      <m:oMathPara>
        <m:oMathParaPr>
          <m:jc m:val="center"/>
        </m:oMathParaPr>
        <m:oMath>
          <m:d>
            <m:dPr>
              <m:begChr m:val="["/>
              <m:sepChr m:val=""/>
              <m:endChr m:val="]"/>
              <m:grow/>
            </m:dPr>
            <m:e>
              <m:sSubSup>
                <m:e>
                  <m:acc>
                    <m:accPr>
                      <m:chr m:val="̂"/>
                    </m:accPr>
                    <m:e>
                      <m:r>
                        <m:t>T</m:t>
                      </m:r>
                    </m:e>
                  </m:acc>
                </m:e>
                <m:sub>
                  <m:r>
                    <m:t>N</m:t>
                  </m:r>
                  <m:r>
                    <m:rPr>
                      <m:sty m:val="p"/>
                    </m:rPr>
                    <m:t>,</m:t>
                  </m:r>
                  <m:r>
                    <m:rPr>
                      <m:sty m:val="p"/>
                    </m:rPr>
                    <m:t>(</m:t>
                  </m:r>
                  <m:r>
                    <m:t>0.025</m:t>
                  </m:r>
                  <m:r>
                    <m:rPr>
                      <m:sty m:val="p"/>
                    </m:rPr>
                    <m:t>)</m:t>
                  </m:r>
                </m:sub>
                <m:sup>
                  <m:r>
                    <m:rPr>
                      <m:sty m:val="p"/>
                    </m:rPr>
                    <m:t>⋆</m:t>
                  </m:r>
                </m:sup>
              </m:sSubSup>
              <m:r>
                <m:rPr>
                  <m:sty m:val="p"/>
                </m:rPr>
                <m:t>,</m:t>
              </m:r>
              <m:sSubSup>
                <m:e>
                  <m:acc>
                    <m:accPr>
                      <m:chr m:val="̂"/>
                    </m:accPr>
                    <m:e>
                      <m:r>
                        <m:t>T</m:t>
                      </m:r>
                    </m:e>
                  </m:acc>
                </m:e>
                <m:sub>
                  <m:r>
                    <m:t>N</m:t>
                  </m:r>
                  <m:r>
                    <m:rPr>
                      <m:sty m:val="p"/>
                    </m:rPr>
                    <m:t>,</m:t>
                  </m:r>
                  <m:r>
                    <m:rPr>
                      <m:sty m:val="p"/>
                    </m:rPr>
                    <m:t>(</m:t>
                  </m:r>
                  <m:r>
                    <m:t>0.975</m:t>
                  </m:r>
                  <m:r>
                    <m:rPr>
                      <m:sty m:val="p"/>
                    </m:rPr>
                    <m:t>)</m:t>
                  </m:r>
                </m:sub>
                <m:sup>
                  <m:r>
                    <m:rPr>
                      <m:sty m:val="p"/>
                    </m:rPr>
                    <m:t>⋆</m:t>
                  </m:r>
                </m:sup>
              </m:sSubSup>
            </m:e>
          </m:d>
          <m:r>
            <m:rPr>
              <m:sty m:val="p"/>
            </m:rPr>
            <m:t>,</m:t>
          </m:r>
        </m:oMath>
      </m:oMathPara>
    </w:p>
    <w:p>
      <w:pPr>
        <w:pStyle w:val="FirstParagraph"/>
      </w:pPr>
      <w:r>
        <w:t xml:space="preserve">where the quantiles are taken over bootstrap replicates that resample prompt families, not individual generations. This choice aligns the uncertainty estimate with the unit of scientific generalization.</w:t>
      </w:r>
    </w:p>
    <w:bookmarkEnd w:id="28"/>
    <w:bookmarkStart w:id="29" w:name="regression-form-identification"/>
    <w:p>
      <w:pPr>
        <w:pStyle w:val="Heading2"/>
      </w:pPr>
      <w:r>
        <w:t xml:space="preserve">Regression-form identification</w:t>
      </w:r>
    </w:p>
    <w:p>
      <w:pPr>
        <w:pStyle w:val="FirstParagraph"/>
      </w:pPr>
      <w:r>
        <w:t xml:space="preserve">To separate contradiction effects from correlated prompt properties, we recommend the family-fixed-effects model</w:t>
      </w:r>
    </w:p>
    <w:p>
      <w:pPr>
        <w:pStyle w:val="BodyText"/>
      </w:pPr>
      <m:oMathPara>
        <m:oMathParaPr>
          <m:jc m:val="center"/>
        </m:oMathParaPr>
        <m:oMath>
          <m:r>
            <m:t>N</m:t>
          </m:r>
          <m:r>
            <m:rPr>
              <m:sty m:val="p"/>
            </m:rPr>
            <m:t>(</m:t>
          </m:r>
          <m:r>
            <m:t>x</m:t>
          </m:r>
          <m:r>
            <m:rPr>
              <m:sty m:val="p"/>
            </m:rPr>
            <m:t>)</m:t>
          </m:r>
          <m:r>
            <m:rPr>
              <m:sty m:val="p"/>
            </m:rPr>
            <m:t>=</m:t>
          </m:r>
          <m:sSub>
            <m:e>
              <m:r>
                <m:t>α</m:t>
              </m:r>
            </m:e>
            <m:sub>
              <m:r>
                <m:t>f</m:t>
              </m:r>
              <m:r>
                <m:rPr>
                  <m:sty m:val="p"/>
                </m:rPr>
                <m:t>(</m:t>
              </m:r>
              <m:r>
                <m:t>x</m:t>
              </m:r>
              <m:r>
                <m:rPr>
                  <m:sty m:val="p"/>
                </m:rPr>
                <m:t>)</m:t>
              </m:r>
            </m:sub>
          </m:sSub>
          <m:r>
            <m:rPr>
              <m:sty m:val="p"/>
            </m:rPr>
            <m:t>+</m:t>
          </m:r>
          <m:sSub>
            <m:e>
              <m:r>
                <m:t>β</m:t>
              </m:r>
            </m:e>
            <m:sub>
              <m:r>
                <m:t>d</m:t>
              </m:r>
            </m:sub>
          </m:sSub>
          <m:r>
            <m:t>d</m:t>
          </m:r>
          <m:r>
            <m:rPr>
              <m:sty m:val="p"/>
            </m:rPr>
            <m:t>(</m:t>
          </m:r>
          <m:r>
            <m:t>x</m:t>
          </m:r>
          <m:r>
            <m:rPr>
              <m:sty m:val="p"/>
            </m:rPr>
            <m:t>)</m:t>
          </m:r>
          <m:r>
            <m:rPr>
              <m:sty m:val="p"/>
            </m:rPr>
            <m:t>+</m:t>
          </m:r>
          <m:sSub>
            <m:e>
              <m:r>
                <m:t>β</m:t>
              </m:r>
            </m:e>
            <m:sub>
              <m:r>
                <m:t>ℓ</m:t>
              </m:r>
            </m:sub>
          </m:sSub>
          <m:r>
            <m:t>L</m:t>
          </m:r>
          <m:r>
            <m:rPr>
              <m:sty m:val="p"/>
            </m:rPr>
            <m:t>(</m:t>
          </m:r>
          <m:r>
            <m:t>x</m:t>
          </m:r>
          <m:r>
            <m:rPr>
              <m:sty m:val="p"/>
            </m:rPr>
            <m:t>)</m:t>
          </m:r>
          <m:r>
            <m:rPr>
              <m:sty m:val="p"/>
            </m:rPr>
            <m:t>+</m:t>
          </m:r>
          <m:sSub>
            <m:e>
              <m:r>
                <m:t>β</m:t>
              </m:r>
            </m:e>
            <m:sub>
              <m:r>
                <m:t>r</m:t>
              </m:r>
            </m:sub>
          </m:sSub>
          <m:r>
            <m:t>R</m:t>
          </m:r>
          <m:r>
            <m:rPr>
              <m:sty m:val="p"/>
            </m:rPr>
            <m:t>(</m:t>
          </m:r>
          <m:r>
            <m:t>x</m:t>
          </m:r>
          <m:r>
            <m:rPr>
              <m:sty m:val="p"/>
            </m:rPr>
            <m:t>)</m:t>
          </m:r>
          <m:r>
            <m:rPr>
              <m:sty m:val="p"/>
            </m:rPr>
            <m:t>+</m:t>
          </m:r>
          <m:sSub>
            <m:e>
              <m:r>
                <m:t>β</m:t>
              </m:r>
            </m:e>
            <m:sub>
              <m:r>
                <m:t>q</m:t>
              </m:r>
            </m:sub>
          </m:sSub>
          <m:r>
            <m:t>Q</m:t>
          </m:r>
          <m:r>
            <m:rPr>
              <m:sty m:val="p"/>
            </m:rPr>
            <m:t>(</m:t>
          </m:r>
          <m:r>
            <m:t>x</m:t>
          </m:r>
          <m:r>
            <m:rPr>
              <m:sty m:val="p"/>
            </m:rPr>
            <m:t>)</m:t>
          </m:r>
          <m:r>
            <m:rPr>
              <m:sty m:val="p"/>
            </m:rPr>
            <m:t>+</m:t>
          </m:r>
          <m:sSub>
            <m:e>
              <m:r>
                <m:t>ε</m:t>
              </m:r>
            </m:e>
            <m:sub>
              <m:r>
                <m:t>x</m:t>
              </m:r>
            </m:sub>
          </m:sSub>
          <m:r>
            <m:rPr>
              <m:sty m:val="p"/>
            </m:rPr>
            <m:t>,</m:t>
          </m:r>
        </m:oMath>
      </m:oMathPara>
    </w:p>
    <w:p>
      <w:pPr>
        <w:pStyle w:val="FirstParagraph"/>
      </w:pPr>
      <w:r>
        <w:t xml:space="preserve">where</w:t>
      </w:r>
      <w:r>
        <w:t xml:space="preserve"> </w:t>
      </w:r>
      <m:oMath>
        <m:sSub>
          <m:e>
            <m:r>
              <m:t>α</m:t>
            </m:r>
          </m:e>
          <m:sub>
            <m:r>
              <m:t>f</m:t>
            </m:r>
            <m:r>
              <m:rPr>
                <m:sty m:val="p"/>
              </m:rPr>
              <m:t>(</m:t>
            </m:r>
            <m:r>
              <m:t>x</m:t>
            </m:r>
            <m:r>
              <m:rPr>
                <m:sty m:val="p"/>
              </m:rPr>
              <m:t>)</m:t>
            </m:r>
          </m:sub>
        </m:sSub>
      </m:oMath>
      <w:r>
        <w:t xml:space="preserve"> </w:t>
      </w:r>
      <w:r>
        <w:t xml:space="preserve">is a family intercept,</w:t>
      </w:r>
      <w:r>
        <w:t xml:space="preserve"> </w:t>
      </w:r>
      <m:oMath>
        <m:r>
          <m:t>L</m:t>
        </m:r>
        <m:r>
          <m:rPr>
            <m:sty m:val="p"/>
          </m:rPr>
          <m:t>(</m:t>
        </m:r>
        <m:r>
          <m:t>x</m:t>
        </m:r>
        <m:r>
          <m:rPr>
            <m:sty m:val="p"/>
          </m:rPr>
          <m:t>)</m:t>
        </m:r>
      </m:oMath>
      <w:r>
        <w:t xml:space="preserve"> </w:t>
      </w:r>
      <w:r>
        <w:t xml:space="preserve">is normalized length,</w:t>
      </w:r>
      <w:r>
        <w:t xml:space="preserve"> </w:t>
      </w:r>
      <m:oMath>
        <m:r>
          <m:t>R</m:t>
        </m:r>
        <m:r>
          <m:rPr>
            <m:sty m:val="p"/>
          </m:rPr>
          <m:t>(</m:t>
        </m:r>
        <m:r>
          <m:t>x</m:t>
        </m:r>
        <m:r>
          <m:rPr>
            <m:sty m:val="p"/>
          </m:rPr>
          <m:t>)</m:t>
        </m:r>
      </m:oMath>
      <w:r>
        <w:t xml:space="preserve"> </w:t>
      </w:r>
      <w:r>
        <w:t xml:space="preserve">is lexical rarity, and</w:t>
      </w:r>
      <w:r>
        <w:t xml:space="preserve"> </w:t>
      </w:r>
      <m:oMath>
        <m:r>
          <m:t>Q</m:t>
        </m:r>
        <m:r>
          <m:rPr>
            <m:sty m:val="p"/>
          </m:rPr>
          <m:t>(</m:t>
        </m:r>
        <m:r>
          <m:t>x</m:t>
        </m:r>
        <m:r>
          <m:rPr>
            <m:sty m:val="p"/>
          </m:rPr>
          <m:t>)</m:t>
        </m:r>
      </m:oMath>
      <w:r>
        <w:t xml:space="preserve"> </w:t>
      </w:r>
      <w:r>
        <w:t xml:space="preserve">is semantic-density or proposition-count proxy. Under the theory,</w:t>
      </w:r>
      <w:r>
        <w:t xml:space="preserve"> </w:t>
      </w:r>
      <m:oMath>
        <m:sSub>
          <m:e>
            <m:r>
              <m:t>β</m:t>
            </m:r>
          </m:e>
          <m:sub>
            <m:r>
              <m:t>d</m:t>
            </m:r>
          </m:sub>
        </m:sSub>
        <m:r>
          <m:rPr>
            <m:sty m:val="p"/>
          </m:rPr>
          <m:t>&gt;</m:t>
        </m:r>
        <m:r>
          <m:t>0</m:t>
        </m:r>
      </m:oMath>
      <w:r>
        <w:t xml:space="preserve"> </w:t>
      </w:r>
      <w:r>
        <w:t xml:space="preserve">should persist after adjustment.</w:t>
      </w:r>
    </w:p>
    <w:bookmarkEnd w:id="29"/>
    <w:bookmarkStart w:id="30" w:name="randomization-test"/>
    <w:p>
      <w:pPr>
        <w:pStyle w:val="Heading2"/>
      </w:pPr>
      <w:r>
        <w:t xml:space="preserve">Randomization test</w:t>
      </w:r>
    </w:p>
    <w:p>
      <w:pPr>
        <w:pStyle w:val="FirstParagraph"/>
      </w:pPr>
      <w:r>
        <w:t xml:space="preserve">Because benchmark families are small, a finite-sample alternative to asymptotic inference is a within-family label permutation test. Let</w:t>
      </w:r>
      <w:r>
        <w:t xml:space="preserve"> </w:t>
      </w:r>
      <m:oMath>
        <m:sSub>
          <m:e>
            <m:r>
              <m:t>π</m:t>
            </m:r>
          </m:e>
          <m:sub>
            <m:r>
              <m:t>f</m:t>
            </m:r>
          </m:sub>
        </m:sSub>
      </m:oMath>
      <w:r>
        <w:t xml:space="preserve"> </w:t>
      </w:r>
      <w:r>
        <w:t xml:space="preserve">range over condition-label permutations preserving family structure. The exact or Monte Carlo</w:t>
      </w:r>
      <w:r>
        <w:t xml:space="preserve"> </w:t>
      </w:r>
      <m:oMath>
        <m:r>
          <m:t>p</m:t>
        </m:r>
      </m:oMath>
      <w:r>
        <w:t xml:space="preserve">-value is</w:t>
      </w:r>
    </w:p>
    <w:p>
      <w:pPr>
        <w:pStyle w:val="BodyText"/>
      </w:pPr>
      <m:oMathPara>
        <m:oMathParaPr>
          <m:jc m:val="center"/>
        </m:oMathParaPr>
        <m:oMath>
          <m:sSub>
            <m:e>
              <m:r>
                <m:t>p</m:t>
              </m:r>
            </m:e>
            <m:sub>
              <m:r>
                <m:rPr>
                  <m:sty m:val="p"/>
                </m:rPr>
                <m:t>p</m:t>
              </m:r>
              <m:r>
                <m:rPr>
                  <m:sty m:val="p"/>
                </m:rPr>
                <m:t>e</m:t>
              </m:r>
              <m:r>
                <m:rPr>
                  <m:sty m:val="p"/>
                </m:rPr>
                <m:t>r</m:t>
              </m:r>
              <m:r>
                <m:rPr>
                  <m:sty m:val="p"/>
                </m:rPr>
                <m:t>m</m:t>
              </m:r>
            </m:sub>
          </m:sSub>
          <m:r>
            <m:rPr>
              <m:sty m:val="p"/>
            </m:rPr>
            <m:t>=</m:t>
          </m:r>
          <m:limLow>
            <m:e>
              <m:r>
                <m:rPr>
                  <m:sty m:val="p"/>
                </m:rPr>
                <m:t>Pr</m:t>
              </m:r>
            </m:e>
            <m:lim>
              <m:r>
                <m:t>π</m:t>
              </m:r>
            </m:lim>
          </m:limLow>
          <m:r>
            <m:t>​</m:t>
          </m:r>
          <m:d>
            <m:dPr>
              <m:begChr m:val="("/>
              <m:sepChr m:val=""/>
              <m:endChr m:val=")"/>
              <m:grow/>
            </m:dPr>
            <m:e>
              <m:sSubSup>
                <m:e>
                  <m:acc>
                    <m:accPr>
                      <m:chr m:val="̂"/>
                    </m:accPr>
                    <m:e>
                      <m:r>
                        <m:t>T</m:t>
                      </m:r>
                    </m:e>
                  </m:acc>
                </m:e>
                <m:sub>
                  <m:r>
                    <m:t>N</m:t>
                  </m:r>
                  <m:r>
                    <m:rPr>
                      <m:sty m:val="p"/>
                    </m:rPr>
                    <m:t>,</m:t>
                  </m:r>
                  <m:r>
                    <m:t>π</m:t>
                  </m:r>
                </m:sub>
                <m:sup>
                  <m:r>
                    <m:rPr>
                      <m:sty m:val="p"/>
                    </m:rPr>
                    <m:t>⋆</m:t>
                  </m:r>
                </m:sup>
              </m:sSubSup>
              <m:r>
                <m:rPr>
                  <m:sty m:val="p"/>
                </m:rPr>
                <m:t>≥</m:t>
              </m:r>
              <m:sSubSup>
                <m:e>
                  <m:acc>
                    <m:accPr>
                      <m:chr m:val="̂"/>
                    </m:accPr>
                    <m:e>
                      <m:r>
                        <m:t>T</m:t>
                      </m:r>
                    </m:e>
                  </m:acc>
                </m:e>
                <m:sub>
                  <m:r>
                    <m:t>N</m:t>
                  </m:r>
                </m:sub>
                <m:sup>
                  <m:r>
                    <m:rPr>
                      <m:sty m:val="p"/>
                    </m:rPr>
                    <m:t>⋆</m:t>
                  </m:r>
                </m:sup>
              </m:sSubSup>
            </m:e>
          </m:d>
          <m:r>
            <m:rPr>
              <m:sty m:val="p"/>
            </m:rPr>
            <m:t>.</m:t>
          </m:r>
        </m:oMath>
      </m:oMathPara>
    </w:p>
    <w:p>
      <w:pPr>
        <w:pStyle w:val="FirstParagraph"/>
      </w:pPr>
      <w:r>
        <w:t xml:space="preserve">This test is valid under exchangeability of contradiction and difficulty labels within matched families.</w:t>
      </w:r>
    </w:p>
    <w:bookmarkEnd w:id="30"/>
    <w:bookmarkStart w:id="31" w:name="decision-rule"/>
    <w:p>
      <w:pPr>
        <w:pStyle w:val="Heading2"/>
      </w:pPr>
      <w:r>
        <w:t xml:space="preserve">Decision rule</w:t>
      </w:r>
    </w:p>
    <w:p>
      <w:pPr>
        <w:pStyle w:val="FirstParagraph"/>
      </w:pPr>
      <w:r>
        <w:t xml:space="preserve">The theory is treated as provisionally supported only if three conditions hold jointly:</w:t>
      </w:r>
    </w:p>
    <w:p>
      <w:pPr>
        <w:numPr>
          <w:ilvl w:val="0"/>
          <w:numId w:val="1002"/>
        </w:numPr>
      </w:pPr>
      <m:oMath>
        <m:sSubSup>
          <m:e>
            <m:r>
              <m:t>T</m:t>
            </m:r>
          </m:e>
          <m:sub>
            <m:r>
              <m:t>N</m:t>
            </m:r>
          </m:sub>
          <m:sup>
            <m:r>
              <m:rPr>
                <m:sty m:val="p"/>
              </m:rPr>
              <m:t>⋆</m:t>
            </m:r>
          </m:sup>
        </m:sSubSup>
        <m:r>
          <m:rPr>
            <m:sty m:val="p"/>
          </m:rPr>
          <m:t>&gt;</m:t>
        </m:r>
        <m:r>
          <m:t>0</m:t>
        </m:r>
      </m:oMath>
      <w:r>
        <w:t xml:space="preserve"> </w:t>
      </w:r>
      <w:r>
        <w:t xml:space="preserve">with a pre-registered confidence interval excluding zero;</w:t>
      </w:r>
    </w:p>
    <w:p>
      <w:pPr>
        <w:numPr>
          <w:ilvl w:val="0"/>
          <w:numId w:val="1002"/>
        </w:numPr>
      </w:pPr>
      <w:r>
        <w:t xml:space="preserve">the sign of the contrast is stable across contradiction families rather than driven by one outlier;</w:t>
      </w:r>
    </w:p>
    <w:p>
      <w:pPr>
        <w:numPr>
          <w:ilvl w:val="0"/>
          <w:numId w:val="1002"/>
        </w:numPr>
      </w:pPr>
      <w:r>
        <w:t xml:space="preserve">the effect persists under paraphrase-preserving variants.</w:t>
      </w:r>
    </w:p>
    <w:p>
      <w:pPr>
        <w:pStyle w:val="FirstParagraph"/>
      </w:pPr>
      <w:r>
        <w:t xml:space="preserve">For a more stringent benchmark, all three conditions should hold together with</w:t>
      </w:r>
      <w:r>
        <w:t xml:space="preserve"> </w:t>
      </w:r>
      <m:oMath>
        <m:sSub>
          <m:e>
            <m:acc>
              <m:accPr>
                <m:chr m:val="̂"/>
              </m:accPr>
              <m:e>
                <m:r>
                  <m:t>β</m:t>
                </m:r>
              </m:e>
            </m:acc>
          </m:e>
          <m:sub>
            <m:r>
              <m:t>d</m:t>
            </m:r>
          </m:sub>
        </m:sSub>
        <m:r>
          <m:rPr>
            <m:sty m:val="p"/>
          </m:rPr>
          <m:t>&gt;</m:t>
        </m:r>
        <m:r>
          <m:t>0</m:t>
        </m:r>
      </m:oMath>
      <w:r>
        <w:t xml:space="preserve"> </w:t>
      </w:r>
      <w:r>
        <w:t xml:space="preserve">in the regression specification and</w:t>
      </w:r>
      <w:r>
        <w:t xml:space="preserve"> </w:t>
      </w:r>
      <m:oMath>
        <m:sSub>
          <m:e>
            <m:r>
              <m:t>p</m:t>
            </m:r>
          </m:e>
          <m:sub>
            <m:r>
              <m:rPr>
                <m:sty m:val="p"/>
              </m:rPr>
              <m:t>p</m:t>
            </m:r>
            <m:r>
              <m:rPr>
                <m:sty m:val="p"/>
              </m:rPr>
              <m:t>e</m:t>
            </m:r>
            <m:r>
              <m:rPr>
                <m:sty m:val="p"/>
              </m:rPr>
              <m:t>r</m:t>
            </m:r>
            <m:r>
              <m:rPr>
                <m:sty m:val="p"/>
              </m:rPr>
              <m:t>m</m:t>
            </m:r>
          </m:sub>
        </m:sSub>
        <m:r>
          <m:rPr>
            <m:sty m:val="p"/>
          </m:rPr>
          <m:t>&lt;</m:t>
        </m:r>
        <m:r>
          <m:t>0.05</m:t>
        </m:r>
      </m:oMath>
      <w:r>
        <w:t xml:space="preserve"> </w:t>
      </w:r>
      <w:r>
        <w:t xml:space="preserve">under family-preserving permutations.</w:t>
      </w:r>
    </w:p>
    <w:bookmarkEnd w:id="31"/>
    <w:bookmarkStart w:id="32" w:name="control-condition"/>
    <w:p>
      <w:pPr>
        <w:pStyle w:val="Heading2"/>
      </w:pPr>
      <w:r>
        <w:t xml:space="preserve">Control condition</w:t>
      </w:r>
    </w:p>
    <w:p>
      <w:pPr>
        <w:pStyle w:val="FirstParagraph"/>
      </w:pPr>
      <w:r>
        <w:t xml:space="preserve">The control condition preserves topic, discourse form, and approximate proposition count while removing incompatible commitments. The difficulty control preserves density and elaboration while keeping the prompt jointly satisfiable.</w:t>
      </w:r>
    </w:p>
    <w:bookmarkEnd w:id="32"/>
    <w:bookmarkStart w:id="33" w:name="confound-checklist"/>
    <w:p>
      <w:pPr>
        <w:pStyle w:val="Heading2"/>
      </w:pPr>
      <w:r>
        <w:t xml:space="preserve">Confound checklist</w:t>
      </w:r>
    </w:p>
    <w:p>
      <w:pPr>
        <w:numPr>
          <w:ilvl w:val="0"/>
          <w:numId w:val="1003"/>
        </w:numPr>
      </w:pPr>
      <w:r>
        <w:t xml:space="preserve">overt negation markers that act as superficial cues,</w:t>
      </w:r>
    </w:p>
    <w:p>
      <w:pPr>
        <w:numPr>
          <w:ilvl w:val="0"/>
          <w:numId w:val="1003"/>
        </w:numPr>
      </w:pPr>
      <w:r>
        <w:t xml:space="preserve">lexical rarity raising entropy without contradiction,</w:t>
      </w:r>
    </w:p>
    <w:p>
      <w:pPr>
        <w:numPr>
          <w:ilvl w:val="0"/>
          <w:numId w:val="1003"/>
        </w:numPr>
      </w:pPr>
      <w:r>
        <w:t xml:space="preserve">prompt-length differences altering attention allocation,</w:t>
      </w:r>
    </w:p>
    <w:p>
      <w:pPr>
        <w:numPr>
          <w:ilvl w:val="0"/>
          <w:numId w:val="1003"/>
        </w:numPr>
      </w:pPr>
      <w:r>
        <w:t xml:space="preserve">annotation artifacts that leak the contradiction label,</w:t>
      </w:r>
    </w:p>
    <w:p>
      <w:pPr>
        <w:numPr>
          <w:ilvl w:val="0"/>
          <w:numId w:val="1003"/>
        </w:numPr>
      </w:pPr>
      <w:r>
        <w:t xml:space="preserve">response-scoring schemes that confuse uncertainty with inconsistency.</w:t>
      </w:r>
    </w:p>
    <w:bookmarkEnd w:id="33"/>
    <w:bookmarkStart w:id="34" w:name="what-counts-as-evidence"/>
    <w:p>
      <w:pPr>
        <w:pStyle w:val="Heading2"/>
      </w:pPr>
      <w:r>
        <w:t xml:space="preserve">What counts as evidence</w:t>
      </w:r>
    </w:p>
    <w:p>
      <w:pPr>
        <w:pStyle w:val="FirstParagraph"/>
      </w:pPr>
      <w:r>
        <w:t xml:space="preserve">This theory is empirical rather than deductive. Evidence in favor of semantic nullification requires replicated between-condition contrasts, stability across paraphrase families, and separation from difficulty controls. A formal proof is available only for the benchmark definitions or estimator properties, not for the existence of the phenomenon itself.</w:t>
      </w:r>
    </w:p>
    <w:p>
      <w:pPr>
        <w:pStyle w:val="BodyText"/>
      </w:pPr>
      <w:r>
        <w:t xml:space="preserve">More specifically, we treat the theory as strengthened when four items align: positive</w:t>
      </w:r>
      <w:r>
        <w:t xml:space="preserve"> </w:t>
      </w:r>
      <m:oMath>
        <m:sSubSup>
          <m:e>
            <m:r>
              <m:t>T</m:t>
            </m:r>
          </m:e>
          <m:sub>
            <m:r>
              <m:t>N</m:t>
            </m:r>
          </m:sub>
          <m:sup>
            <m:r>
              <m:rPr>
                <m:sty m:val="p"/>
              </m:rPr>
              <m:t>⋆</m:t>
            </m:r>
          </m:sup>
        </m:sSubSup>
      </m:oMath>
      <w:r>
        <w:t xml:space="preserve">, positive</w:t>
      </w:r>
      <w:r>
        <w:t xml:space="preserve"> </w:t>
      </w:r>
      <m:oMath>
        <m:acc>
          <m:accPr>
            <m:chr m:val="̂"/>
          </m:accPr>
          <m:e>
            <m:acc>
              <m:accPr>
                <m:chr m:val="‾"/>
              </m:accPr>
              <m:e>
                <m:r>
                  <m:t>δ</m:t>
                </m:r>
              </m:e>
            </m:acc>
          </m:e>
        </m:acc>
      </m:oMath>
      <w:r>
        <w:t xml:space="preserve">, no single family dominating the sign of the aggregate effect, and no alternative observable such as lexical rarity explaining the contrast better in matched regression checks.</w:t>
      </w:r>
    </w:p>
    <w:bookmarkEnd w:id="34"/>
    <w:bookmarkStart w:id="35" w:name="what-falsifies-the-theory"/>
    <w:p>
      <w:pPr>
        <w:pStyle w:val="Heading2"/>
      </w:pPr>
      <w:r>
        <w:t xml:space="preserve">What falsifies the theory</w:t>
      </w:r>
    </w:p>
    <w:p>
      <w:pPr>
        <w:pStyle w:val="FirstParagraph"/>
      </w:pPr>
      <w:r>
        <w:t xml:space="preserve">The theory weakens materially if contradiction fails to exceed difficulty controls, if drift is explained better by lexical rarity than by incompatibility, or if the effect vanishes once paraphrase and negation cues are balanced. These are not peripheral caveats; they are the main exit routes from the hypothesis.</w:t>
      </w:r>
    </w:p>
    <w:p>
      <w:pPr>
        <w:pStyle w:val="BodyText"/>
      </w:pPr>
      <w:r>
        <w:t xml:space="preserve">An especially strong falsifier is sign reversal after covariate control: if</w:t>
      </w:r>
      <w:r>
        <w:t xml:space="preserve"> </w:t>
      </w:r>
      <m:oMath>
        <m:sSub>
          <m:e>
            <m:acc>
              <m:accPr>
                <m:chr m:val="̂"/>
              </m:accPr>
              <m:e>
                <m:r>
                  <m:t>β</m:t>
                </m:r>
              </m:e>
            </m:acc>
          </m:e>
          <m:sub>
            <m:r>
              <m:t>d</m:t>
            </m:r>
          </m:sub>
        </m:sSub>
        <m:r>
          <m:rPr>
            <m:sty m:val="p"/>
          </m:rPr>
          <m:t>≤</m:t>
        </m:r>
        <m:r>
          <m:t>0</m:t>
        </m:r>
      </m:oMath>
      <w:r>
        <w:t xml:space="preserve"> </w:t>
      </w:r>
      <w:r>
        <w:t xml:space="preserve">in the adjusted model across multiple model families, then the contradiction-depth variable is not isolating a distinct instability process.</w:t>
      </w:r>
    </w:p>
    <w:bookmarkEnd w:id="35"/>
    <w:bookmarkEnd w:id="36"/>
    <w:bookmarkStart w:id="45" w:name="seed-measurement"/>
    <w:p>
      <w:pPr>
        <w:pStyle w:val="Heading1"/>
      </w:pPr>
      <w:r>
        <w:t xml:space="preserve">Seed measurement</w:t>
      </w:r>
    </w:p>
    <w:bookmarkStart w:id="43" w:name="public-data-run"/>
    <w:p>
      <w:pPr>
        <w:pStyle w:val="Heading2"/>
      </w:pPr>
      <w:r>
        <w:t xml:space="preserve">Public-data run</w:t>
      </w:r>
    </w:p>
    <w:p>
      <w:pPr>
        <w:pStyle w:val="FirstParagraph"/>
      </w:pPr>
      <w:r>
        <w:t xml:space="preserve">We executed the seed benchmark on three public contradiction families using</w:t>
      </w:r>
      <w:r>
        <w:t xml:space="preserve"> </w:t>
      </w:r>
      <w:r>
        <w:rPr>
          <w:rStyle w:val="VerbatimChar"/>
        </w:rPr>
        <w:t xml:space="preserve">distilgpt2</w:t>
      </w:r>
      <w:r>
        <w:t xml:space="preserve">. The purpose of this pass was not to claim discovery of a new regime, but to verify that the benchmark and scoring pipeline produce interpretable values on real data.</w:t>
      </w:r>
    </w:p>
    <w:bookmarkStart w:id="37" w:name="tab:hp-seed"/>
    <w:p>
      <w:pPr>
        <w:pStyle w:val="TableCaption"/>
      </w:pPr>
      <w:r>
        <w:t xml:space="preserve">Seed-scale nullification indices measured on three public contradiction families.</w:t>
      </w:r>
    </w:p>
    <w:tbl>
      <w:tblPr>
        <w:tblStyle w:val="Table"/>
        <w:tblW w:type="auto" w:w="0"/>
        <w:tblLook w:firstRow="1" w:lastRow="0" w:firstColumn="0" w:lastColumn="0" w:noHBand="0" w:noVBand="0" w:val="0020"/>
        <w:tblCaption w:val="Seed-scale nullification indices measured on three public contradiction families."/>
      </w:tblPr>
      <w:tblGrid>
        <w:gridCol w:w="1584"/>
        <w:gridCol w:w="1584"/>
        <w:gridCol w:w="1584"/>
        <w:gridCol w:w="1584"/>
        <w:gridCol w:w="1584"/>
      </w:tblGrid>
      <w:tr>
        <w:trPr>
          <w:tblHeader w:val="on"/>
        </w:trPr>
        <w:tc>
          <w:tcPr/>
          <w:p>
            <w:pPr>
              <w:pStyle w:val="Compact"/>
              <w:jc w:val="left"/>
            </w:pPr>
            <w:r>
              <w:t xml:space="preserve">Family</w:t>
            </w:r>
          </w:p>
        </w:tc>
        <w:tc>
          <w:tcPr/>
          <w:p>
            <w:pPr>
              <w:pStyle w:val="Compact"/>
              <w:jc w:val="center"/>
            </w:pPr>
            <w:r>
              <w:t xml:space="preserve">Control</w:t>
            </w:r>
          </w:p>
        </w:tc>
        <w:tc>
          <w:tcPr/>
          <w:p>
            <w:pPr>
              <w:pStyle w:val="Compact"/>
              <w:jc w:val="center"/>
            </w:pPr>
            <w:r>
              <w:t xml:space="preserve">Difficulty</w:t>
            </w:r>
          </w:p>
        </w:tc>
        <w:tc>
          <w:tcPr/>
          <w:p>
            <w:pPr>
              <w:pStyle w:val="Compact"/>
              <w:jc w:val="center"/>
            </w:pPr>
            <w:r>
              <w:t xml:space="preserve">Explicit</w:t>
            </w:r>
          </w:p>
        </w:tc>
        <w:tc>
          <w:tcPr/>
          <w:p>
            <w:pPr>
              <w:pStyle w:val="Compact"/>
              <w:jc w:val="center"/>
            </w:pPr>
            <w:r>
              <w:t xml:space="preserve">Nested</w:t>
            </w:r>
          </w:p>
        </w:tc>
      </w:tr>
      <w:tr>
        <w:tc>
          <w:tcPr/>
          <w:p>
            <w:pPr>
              <w:pStyle w:val="Compact"/>
              <w:jc w:val="left"/>
            </w:pPr>
            <w:r>
              <w:rPr>
                <w:rStyle w:val="VerbatimChar"/>
              </w:rPr>
              <w:t xml:space="preserve">hp_seed_001</w:t>
            </w:r>
          </w:p>
        </w:tc>
        <w:tc>
          <w:tcPr/>
          <w:p>
            <w:pPr>
              <w:pStyle w:val="Compact"/>
              <w:jc w:val="center"/>
            </w:pPr>
            <w:r>
              <w:t xml:space="preserve">0.1353</w:t>
            </w:r>
          </w:p>
        </w:tc>
        <w:tc>
          <w:tcPr/>
          <w:p>
            <w:pPr>
              <w:pStyle w:val="Compact"/>
              <w:jc w:val="center"/>
            </w:pPr>
            <w:r>
              <w:t xml:space="preserve">0.1382</w:t>
            </w:r>
          </w:p>
        </w:tc>
        <w:tc>
          <w:tcPr/>
          <w:p>
            <w:pPr>
              <w:pStyle w:val="Compact"/>
              <w:jc w:val="center"/>
            </w:pPr>
            <w:r>
              <w:t xml:space="preserve">0.1324</w:t>
            </w:r>
          </w:p>
        </w:tc>
        <w:tc>
          <w:tcPr/>
          <w:p>
            <w:pPr>
              <w:pStyle w:val="Compact"/>
              <w:jc w:val="center"/>
            </w:pPr>
            <w:r>
              <w:t xml:space="preserve">0.1237</w:t>
            </w:r>
          </w:p>
        </w:tc>
      </w:tr>
      <w:tr>
        <w:tc>
          <w:tcPr/>
          <w:p>
            <w:pPr>
              <w:pStyle w:val="Compact"/>
              <w:jc w:val="left"/>
            </w:pPr>
            <w:r>
              <w:rPr>
                <w:rStyle w:val="VerbatimChar"/>
              </w:rPr>
              <w:t xml:space="preserve">hp_seed_002</w:t>
            </w:r>
          </w:p>
        </w:tc>
        <w:tc>
          <w:tcPr/>
          <w:p>
            <w:pPr>
              <w:pStyle w:val="Compact"/>
              <w:jc w:val="center"/>
            </w:pPr>
            <w:r>
              <w:t xml:space="preserve">0.1403</w:t>
            </w:r>
          </w:p>
        </w:tc>
        <w:tc>
          <w:tcPr/>
          <w:p>
            <w:pPr>
              <w:pStyle w:val="Compact"/>
              <w:jc w:val="center"/>
            </w:pPr>
            <w:r>
              <w:t xml:space="preserve">0.1424</w:t>
            </w:r>
          </w:p>
        </w:tc>
        <w:tc>
          <w:tcPr/>
          <w:p>
            <w:pPr>
              <w:pStyle w:val="Compact"/>
              <w:jc w:val="center"/>
            </w:pPr>
            <w:r>
              <w:t xml:space="preserve">0.1432</w:t>
            </w:r>
          </w:p>
        </w:tc>
        <w:tc>
          <w:tcPr/>
          <w:p>
            <w:pPr>
              <w:pStyle w:val="Compact"/>
              <w:jc w:val="center"/>
            </w:pPr>
            <w:r>
              <w:t xml:space="preserve">0.1406</w:t>
            </w:r>
          </w:p>
        </w:tc>
      </w:tr>
      <w:tr>
        <w:tc>
          <w:tcPr/>
          <w:p>
            <w:pPr>
              <w:pStyle w:val="Compact"/>
              <w:jc w:val="left"/>
            </w:pPr>
            <w:r>
              <w:rPr>
                <w:rStyle w:val="VerbatimChar"/>
              </w:rPr>
              <w:t xml:space="preserve">hp_seed_003</w:t>
            </w:r>
          </w:p>
        </w:tc>
        <w:tc>
          <w:tcPr/>
          <w:p>
            <w:pPr>
              <w:pStyle w:val="Compact"/>
              <w:jc w:val="center"/>
            </w:pPr>
            <w:r>
              <w:t xml:space="preserve">0.1323</w:t>
            </w:r>
          </w:p>
        </w:tc>
        <w:tc>
          <w:tcPr/>
          <w:p>
            <w:pPr>
              <w:pStyle w:val="Compact"/>
              <w:jc w:val="center"/>
            </w:pPr>
            <w:r>
              <w:t xml:space="preserve">0.1327</w:t>
            </w:r>
          </w:p>
        </w:tc>
        <w:tc>
          <w:tcPr/>
          <w:p>
            <w:pPr>
              <w:pStyle w:val="Compact"/>
              <w:jc w:val="center"/>
            </w:pPr>
            <w:r>
              <w:t xml:space="preserve">0.1330</w:t>
            </w:r>
          </w:p>
        </w:tc>
        <w:tc>
          <w:tcPr/>
          <w:p>
            <w:pPr>
              <w:pStyle w:val="Compact"/>
              <w:jc w:val="center"/>
            </w:pPr>
            <w:r>
              <w:t xml:space="preserve">0.1274</w:t>
            </w:r>
          </w:p>
        </w:tc>
      </w:tr>
    </w:tbl>
    <w:bookmarkEnd w:id="37"/>
    <w:bookmarkStart w:id="38" w:name="tab:hp-mean"/>
    <w:p>
      <w:pPr>
        <w:pStyle w:val="TableCaption"/>
      </w:pPr>
      <w:r>
        <w:t xml:space="preserve">Condition-wise means across the three seed families.</w:t>
      </w:r>
    </w:p>
    <w:tbl>
      <w:tblPr>
        <w:tblStyle w:val="Table"/>
        <w:tblW w:type="auto" w:w="0"/>
        <w:tblLook w:firstRow="1" w:lastRow="0" w:firstColumn="0" w:lastColumn="0" w:noHBand="0" w:noVBand="0" w:val="0020"/>
        <w:tblCaption w:val="Condition-wise means across the three seed families."/>
      </w:tblPr>
      <w:tblGrid>
        <w:gridCol w:w="3960"/>
        <w:gridCol w:w="3960"/>
      </w:tblGrid>
      <w:tr>
        <w:trPr>
          <w:tblHeader w:val="on"/>
        </w:trPr>
        <w:tc>
          <w:tcPr/>
          <w:p>
            <w:pPr>
              <w:pStyle w:val="Compact"/>
              <w:jc w:val="left"/>
            </w:pPr>
            <w:r>
              <w:t xml:space="preserve">Condition</w:t>
            </w:r>
          </w:p>
        </w:tc>
        <w:tc>
          <w:tcPr/>
          <w:p>
            <w:pPr>
              <w:pStyle w:val="Compact"/>
              <w:jc w:val="center"/>
            </w:pPr>
            <w:r>
              <w:t xml:space="preserve">Mean nullification index</w:t>
            </w:r>
          </w:p>
        </w:tc>
      </w:tr>
      <w:tr>
        <w:tc>
          <w:tcPr/>
          <w:p>
            <w:pPr>
              <w:pStyle w:val="Compact"/>
              <w:jc w:val="left"/>
            </w:pPr>
            <w:r>
              <w:t xml:space="preserve">Control</w:t>
            </w:r>
          </w:p>
        </w:tc>
        <w:tc>
          <w:tcPr/>
          <w:p>
            <w:pPr>
              <w:pStyle w:val="Compact"/>
              <w:jc w:val="center"/>
            </w:pPr>
            <w:r>
              <w:t xml:space="preserve">0.1360</w:t>
            </w:r>
          </w:p>
        </w:tc>
      </w:tr>
      <w:tr>
        <w:tc>
          <w:tcPr/>
          <w:p>
            <w:pPr>
              <w:pStyle w:val="Compact"/>
              <w:jc w:val="left"/>
            </w:pPr>
            <w:r>
              <w:t xml:space="preserve">Difficulty control</w:t>
            </w:r>
          </w:p>
        </w:tc>
        <w:tc>
          <w:tcPr/>
          <w:p>
            <w:pPr>
              <w:pStyle w:val="Compact"/>
              <w:jc w:val="center"/>
            </w:pPr>
            <w:r>
              <w:t xml:space="preserve">0.1378</w:t>
            </w:r>
          </w:p>
        </w:tc>
      </w:tr>
      <w:tr>
        <w:tc>
          <w:tcPr/>
          <w:p>
            <w:pPr>
              <w:pStyle w:val="Compact"/>
              <w:jc w:val="left"/>
            </w:pPr>
            <w:r>
              <w:t xml:space="preserve">Explicit contradiction</w:t>
            </w:r>
          </w:p>
        </w:tc>
        <w:tc>
          <w:tcPr/>
          <w:p>
            <w:pPr>
              <w:pStyle w:val="Compact"/>
              <w:jc w:val="center"/>
            </w:pPr>
            <w:r>
              <w:t xml:space="preserve">0.1362</w:t>
            </w:r>
          </w:p>
        </w:tc>
      </w:tr>
      <w:tr>
        <w:tc>
          <w:tcPr/>
          <w:p>
            <w:pPr>
              <w:pStyle w:val="Compact"/>
              <w:jc w:val="left"/>
            </w:pPr>
            <w:r>
              <w:t xml:space="preserve">Nested contradiction</w:t>
            </w:r>
          </w:p>
        </w:tc>
        <w:tc>
          <w:tcPr/>
          <w:p>
            <w:pPr>
              <w:pStyle w:val="Compact"/>
              <w:jc w:val="center"/>
            </w:pPr>
            <w:r>
              <w:t xml:space="preserve">0.1306</w:t>
            </w:r>
          </w:p>
        </w:tc>
      </w:tr>
    </w:tbl>
    <w:bookmarkEnd w:id="38"/>
    <w:bookmarkStart w:id="42" w:name="fig:hp-seed"/>
    <w:p>
      <w:pPr>
        <w:pStyle w:val="CaptionedFigure"/>
      </w:pPr>
      <w:r>
        <w:drawing>
          <wp:inline>
            <wp:extent cx="5334000" cy="2019145"/>
            <wp:effectExtent b="0" l="0" r="0" t="0"/>
            <wp:docPr descr="" title="" id="40" name="Picture"/>
            <a:graphic>
              <a:graphicData uri="http://schemas.openxmlformats.org/drawingml/2006/picture">
                <pic:pic>
                  <pic:nvPicPr>
                    <pic:cNvPr descr="figures/hollow_purple_seed_results.png" id="41" name="Picture"/>
                    <pic:cNvPicPr>
                      <a:picLocks noChangeArrowheads="1" noChangeAspect="1"/>
                    </pic:cNvPicPr>
                  </pic:nvPicPr>
                  <pic:blipFill>
                    <a:blip r:embed="rId39"/>
                    <a:stretch>
                      <a:fillRect/>
                    </a:stretch>
                  </pic:blipFill>
                  <pic:spPr bwMode="auto">
                    <a:xfrm>
                      <a:off x="0" y="0"/>
                      <a:ext cx="5334000" cy="2019145"/>
                    </a:xfrm>
                    <a:prstGeom prst="rect">
                      <a:avLst/>
                    </a:prstGeom>
                    <a:noFill/>
                    <a:ln w="9525">
                      <a:noFill/>
                      <a:headEnd/>
                      <a:tailEnd/>
                    </a:ln>
                  </pic:spPr>
                </pic:pic>
              </a:graphicData>
            </a:graphic>
          </wp:inline>
        </w:drawing>
      </w:r>
    </w:p>
    <w:p>
      <w:pPr>
        <w:pStyle w:val="ImageCaption"/>
      </w:pPr>
      <w:r>
        <w:t xml:space="preserve">Measured seed-scale behavior. Left: condition means with standard-deviation bars across families. Right: family-wise nullification trajectories.</w:t>
      </w:r>
    </w:p>
    <w:bookmarkEnd w:id="42"/>
    <w:bookmarkEnd w:id="43"/>
    <w:bookmarkStart w:id="44" w:name="interpretation"/>
    <w:p>
      <w:pPr>
        <w:pStyle w:val="Heading2"/>
      </w:pPr>
      <w:r>
        <w:t xml:space="preserve">Interpretation</w:t>
      </w:r>
    </w:p>
    <w:p>
      <w:pPr>
        <w:pStyle w:val="FirstParagraph"/>
      </w:pPr>
      <w:r>
        <w:t xml:space="preserve">The present seed run does not support a strong threshold claim. One family shows a slight increase from the difficulty control to the explicit contradiction condition, while the aggregate mean does not. Nested contradiction is actually lower on average in this first pass. That result matters. It suggests either that the current nullification index does not yet isolate the proposed mechanism, or that contradiction in this benchmark perturbs generation in a way that is not well captured by the current weights and observables.</w:t>
      </w:r>
    </w:p>
    <w:p>
      <w:pPr>
        <w:pStyle w:val="BodyText"/>
      </w:pPr>
      <w:r>
        <w:t xml:space="preserve">Put differently, the seed experiment behaves as a sanity check, not as a victory lap. The pipeline can be run, public data can populate it, and the theory can be disappointed on first contact with measurement. That is exactly the kind of friction a usable theory should permit.</w:t>
      </w:r>
    </w:p>
    <w:bookmarkEnd w:id="44"/>
    <w:bookmarkEnd w:id="45"/>
    <w:bookmarkStart w:id="46" w:name="discussion"/>
    <w:p>
      <w:pPr>
        <w:pStyle w:val="Heading1"/>
      </w:pPr>
      <w:r>
        <w:t xml:space="preserve">Discussion</w:t>
      </w:r>
    </w:p>
    <w:p>
      <w:pPr>
        <w:pStyle w:val="FirstParagraph"/>
      </w:pPr>
      <w:r>
        <w:t xml:space="preserve">Two points deserve emphasis. First, the benchmark is already informative even without a positive result. A negative or ambiguous seed outcome is still scientifically useful if it narrows the space of plausible claims and identifies where the measurement model is too coarse. Second, the central object of interest may not be contradiction alone, but contradiction under particular representational bottlenecks—for example, when incompatibility is distributed across clauses, roles, or temporal updates in a way that forces deeper integration.</w:t>
      </w:r>
    </w:p>
    <w:p>
      <w:pPr>
        <w:pStyle w:val="BodyText"/>
      </w:pPr>
      <w:r>
        <w:t xml:space="preserve">The present evidence therefore supports a restrained conclusion. It is reasonable to keep the semantic nullification hypothesis alive, but only in a sharpened form that makes room for null results, model dependence, and metric misspecification. A publication-worthy version of this project will likely depend less on rhetorical novelty and more on whether contradiction-sensitive effects survive against strong difficulty controls and paraphrase-balanced prompt families.</w:t>
      </w:r>
    </w:p>
    <w:p>
      <w:pPr>
        <w:pStyle w:val="BodyText"/>
      </w:pPr>
      <w:r>
        <w:t xml:space="preserve">A useful consequence of the current null result is conceptual hygiene. It discourages treating contradiction as an intrinsically catastrophic signal and instead pushes the theory toward conditional claims about when incompatible commitments become measurably destabilizing. In that sense, the benchmark is already doing what a good theoretical instrument should do: it constrains the story, not just decorates it.</w:t>
      </w:r>
    </w:p>
    <w:bookmarkEnd w:id="46"/>
    <w:bookmarkStart w:id="47" w:name="related-work"/>
    <w:p>
      <w:pPr>
        <w:pStyle w:val="Heading1"/>
      </w:pPr>
      <w:r>
        <w:t xml:space="preserve">Related work</w:t>
      </w:r>
    </w:p>
    <w:p>
      <w:pPr>
        <w:pStyle w:val="FirstParagraph"/>
      </w:pPr>
      <w:r>
        <w:t xml:space="preserve">This study sits between vector semantics, contradiction benchmarks, and representation analysis. SimLex and counter-fitting work show why lexical opposition should not be treated as a one-dimensional geometric primitive</w:t>
      </w:r>
      <w:r>
        <w:t xml:space="preserve"> </w:t>
      </w:r>
      <w:r>
        <w:t xml:space="preserve">. SNLI and ANLI provide large-scale contradiction supervision, though primarily as a classification problem</w:t>
      </w:r>
      <w:r>
        <w:t xml:space="preserve"> </w:t>
      </w:r>
      <w:r>
        <w:t xml:space="preserve">. The literature on NLI artifacts reminds us that contradiction benchmarks can overstate semantic competence when cues are superficial</w:t>
      </w:r>
      <w:r>
        <w:t xml:space="preserve"> </w:t>
      </w:r>
      <w:r>
        <w:t xml:space="preserve">. Finally, recent work at the border of neural and symbolic contradiction analysis reinforces the need to treat contradiction as a structured relation rather than as mere lexical mismatch</w:t>
      </w:r>
      <w:r>
        <w:t xml:space="preserve"> </w:t>
      </w:r>
      <w:r>
        <w:t xml:space="preserve">.</w:t>
      </w:r>
    </w:p>
    <w:bookmarkEnd w:id="47"/>
    <w:bookmarkStart w:id="48" w:name="limitations-and-future-work"/>
    <w:p>
      <w:pPr>
        <w:pStyle w:val="Heading1"/>
      </w:pPr>
      <w:r>
        <w:t xml:space="preserve">Limitations and future work</w:t>
      </w:r>
    </w:p>
    <w:p>
      <w:pPr>
        <w:pStyle w:val="FirstParagraph"/>
      </w:pPr>
      <w:r>
        <w:t xml:space="preserve">The paper has four immediate limitations. First, the seed benchmark is too small for strong statistical inference. Second, the present run uses one model and one decoding configuration, so it cannot distinguish model-specific quirks from general behavior. Third, the nullification index remains a designed aggregate rather than a validated latent construct. Fourth, the current benchmark still leans on contradiction families that originate in NLI-style data, which may import annotation regularities not present in open-ended prompting.</w:t>
      </w:r>
    </w:p>
    <w:p>
      <w:pPr>
        <w:pStyle w:val="BodyText"/>
      </w:pPr>
      <w:r>
        <w:t xml:space="preserve">The most direct next steps are clear: enlarge the public prompt pool, build paraphrase-balanced contradiction families, examine layer-specific drift instead of a single summary, and replicate the analysis across models with fixed reporting standards. Stronger versions of the study should also compare alternative index constructions, report annotation agreement for contradiction depth, and test whether intervention on specific clauses changes instability in predictable ways. If the effect persists under those stronger conditions, the theory becomes materially more credible. If it does not, the framework still succeeds by showing where the metaphor stops being technically useful.</w:t>
      </w:r>
    </w:p>
    <w:bookmarkEnd w:id="48"/>
    <w:bookmarkStart w:id="49" w:name="conclusion"/>
    <w:p>
      <w:pPr>
        <w:pStyle w:val="Heading1"/>
      </w:pPr>
      <w:r>
        <w:t xml:space="preserve">Conclusion</w:t>
      </w:r>
    </w:p>
    <w:p>
      <w:pPr>
        <w:pStyle w:val="FirstParagraph"/>
      </w:pPr>
      <w:r>
        <w:t xml:space="preserve">The phrase</w:t>
      </w:r>
      <w:r>
        <w:t xml:space="preserve"> </w:t>
      </w:r>
      <w:r>
        <w:rPr>
          <w:i/>
          <w:iCs/>
        </w:rPr>
        <w:t xml:space="preserve">semantic nullification</w:t>
      </w:r>
      <w:r>
        <w:t xml:space="preserve"> </w:t>
      </w:r>
      <w:r>
        <w:t xml:space="preserve">should stand or fall on measurable behavior. The current benchmark does not yet confirm a contradiction threshold, but it does provide a disciplined way to test one. That is enough reason to keep the theory alive and enough pressure to keep it honest.</w:t>
      </w:r>
    </w:p>
    <w:bookmarkEnd w:id="49"/>
    <w:bookmarkStart w:id="55" w:name="declarations"/>
    <w:p>
      <w:pPr>
        <w:pStyle w:val="Heading1"/>
      </w:pPr>
      <w:r>
        <w:t xml:space="preserve">Declarations</w:t>
      </w:r>
    </w:p>
    <w:bookmarkStart w:id="50" w:name="funding"/>
    <w:p>
      <w:pPr>
        <w:pStyle w:val="Heading4"/>
      </w:pPr>
      <w:r>
        <w:t xml:space="preserve">Funding</w:t>
      </w:r>
    </w:p>
    <w:p>
      <w:pPr>
        <w:pStyle w:val="FirstParagraph"/>
      </w:pPr>
      <w:r>
        <w:t xml:space="preserve">No external funding was received for this work.</w:t>
      </w:r>
    </w:p>
    <w:bookmarkEnd w:id="50"/>
    <w:bookmarkStart w:id="51" w:name="competing-interests"/>
    <w:p>
      <w:pPr>
        <w:pStyle w:val="Heading4"/>
      </w:pPr>
      <w:r>
        <w:t xml:space="preserve">Competing interests</w:t>
      </w:r>
    </w:p>
    <w:p>
      <w:pPr>
        <w:pStyle w:val="FirstParagraph"/>
      </w:pPr>
      <w:r>
        <w:t xml:space="preserve">The author declares no competing interests.</w:t>
      </w:r>
    </w:p>
    <w:bookmarkEnd w:id="51"/>
    <w:bookmarkStart w:id="52" w:name="data-and-materials-availability"/>
    <w:p>
      <w:pPr>
        <w:pStyle w:val="Heading4"/>
      </w:pPr>
      <w:r>
        <w:t xml:space="preserve">Data and materials availability</w:t>
      </w:r>
    </w:p>
    <w:p>
      <w:pPr>
        <w:pStyle w:val="FirstParagraph"/>
      </w:pPr>
      <w:r>
        <w:t xml:space="preserve">The benchmark families are derived from publicly available datasets and are available from the corresponding author upon reasonable request.</w:t>
      </w:r>
    </w:p>
    <w:bookmarkEnd w:id="52"/>
    <w:bookmarkStart w:id="53" w:name="code-availability"/>
    <w:p>
      <w:pPr>
        <w:pStyle w:val="Heading4"/>
      </w:pPr>
      <w:r>
        <w:t xml:space="preserve">Code availability</w:t>
      </w:r>
    </w:p>
    <w:p>
      <w:pPr>
        <w:pStyle w:val="FirstParagraph"/>
      </w:pPr>
      <w:r>
        <w:t xml:space="preserve">The analysis code used for measurement is available from the corresponding author upon reasonable request.</w:t>
      </w:r>
    </w:p>
    <w:bookmarkEnd w:id="53"/>
    <w:bookmarkStart w:id="54" w:name="author-contributions"/>
    <w:p>
      <w:pPr>
        <w:pStyle w:val="Heading4"/>
      </w:pPr>
      <w:r>
        <w:t xml:space="preserve">Author contributions</w:t>
      </w:r>
    </w:p>
    <w:p>
      <w:pPr>
        <w:pStyle w:val="FirstParagraph"/>
      </w:pPr>
      <w:r>
        <w:t xml:space="preserve">Aryan Singh Chandel: conceptualization, methodology, formalization, analysis, writing—original draft, writing—review and editing.</w:t>
      </w:r>
    </w:p>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9" Target="media/rId39.png" /><Relationship Type="http://schemas.openxmlformats.org/officeDocument/2006/relationships/image" Id="rId21" Target="media/rId21.pdf"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Hollow Purple Semantic Nullification: Contradiction-Induced Instability in Language-Model Representation Space</dc:title>
  <dc:creator>Aryan Singh Chandel </dc:creator>
  <cp:keywords/>
  <dcterms:created xsi:type="dcterms:W3CDTF">2026-06-26T14:20:54Z</dcterms:created>
  <dcterms:modified xsi:type="dcterms:W3CDTF">2026-06-26T14:20:54Z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Contradiction in language models is usually treated as a labeling problem, not as a question about contextual stability. We ask whether prompts that force incompatible commitments into a single local context produce a measurable instability regime beyond ordinary prompt difficulty. To make that question testable, we define a semantic nullification index that aggregates predictive entropy, representation drift, and output inconsistency under matched controls. We then specify a benchmark with explicit control conditions, estimands, decision rules, and falsifiers, and run a seed experiment on three public SNLI-derived contradiction families. The initial evidence is mixed: the measurement pipeline is executable and informative, but the present seed run does not support a clean contradiction threshold. That result sharpens the theory by ruling out weaker, more rhetorical versions of the claim.</vt:lpwstr>
  </property>
  <property fmtid="{D5CDD505-2E9C-101B-9397-08002B2CF9AE}" pid="3" name="bibliography">
    <vt:lpwstr/>
  </property>
  <property fmtid="{D5CDD505-2E9C-101B-9397-08002B2CF9AE}" pid="4" name="date">
    <vt:lpwstr>June 26, 2026</vt:lpwstr>
  </property>
</Properties>
</file>