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SecureParseNet: Differentiable Perceptual Hashing for Integrity-Aware Semantic Segmentation</w:t>
      </w:r>
    </w:p>
    <w:p>
      <w:pPr>
        <w:pStyle w:val="Author"/>
      </w:pPr>
      <w:r>
        <w:t xml:space="preserve">Aryan Singh Chandel </w:t>
      </w:r>
      <w:r>
        <w:br/>
      </w:r>
      <w:r>
        <w:t xml:space="preserve">RJIT (Rustamji Institute of Technology), Gwalior, India</w:t>
      </w:r>
      <w:r>
        <w:br/>
      </w:r>
      <w:r>
        <w:rPr>
          <w:rStyle w:val="VerbatimChar"/>
        </w:rPr>
        <w:t xml:space="preserve">aryansingh19gh@gmail.com</w:t>
      </w:r>
    </w:p>
    <w:p>
      <w:pPr>
        <w:pStyle w:val="Date"/>
      </w:pPr>
      <w:r>
        <w:t xml:space="preserve">June 26,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Lightweight segmentation systems are attractive for deployment on edge devices, but their small parameter budgets often leave them highly vulnerable to adversarial perturbations. SecureParseNet addresses this problem by coupling a MobileNetV3-style segmentation backbone with a differentiable perceptual-hash head that monitors structural integrity in the output space. This manuscript rebuilds the supplied PDF into a more formal research paper: it specifies the differentiable hash operator, clarifies the multi-objective training logic, states measurable claims for tamper detection and segmentation robustness, and packages the existing convergence, attack, and confusion-matrix results into a cleaner methodology-oriented narrative. The core idea is that a segmentation network can be made more deployment-safe when integrity verification is treated as a first-class differentiable objective rather than as a post hoc alarm.</w:t>
      </w:r>
    </w:p>
    <w:bookmarkStart w:id="1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Semantic segmentation is a dense decision problem, so even small perturbations can alter many output pixels at once. On safety-critical edge platforms, that fragility is harder to tolerate because the systems are often lightweight, latency-constrained, and exposed to uncontrolled environments. Backbone compression improves efficiency, but it does not by itself protect the model from adversarial or tampering-style disturbances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The motivating idea of SecureParseNet is simple: if the segmentation output is structurally corrupted, the system should not only degrade gracefully but also know that it has been compromised. We therefore pair a segmentation decoder with an integrity head that computes a differentiable perceptual signature over low-frequency output structure. The paper’s claim is not that integrity hashing alone solves adversarial robustness. The sharper claim is that a differentiable integrity objective can provide a reliable detection signal even when semantic quality begins to degrade.</w:t>
      </w:r>
    </w:p>
    <w:bookmarkStart w:id="9" w:name="contributions."/>
    <w:p>
      <w:pPr>
        <w:pStyle w:val="Heading4"/>
      </w:pPr>
      <w:r>
        <w:t xml:space="preserve">Contributions.</w:t>
      </w:r>
    </w:p>
    <w:p>
      <w:pPr>
        <w:numPr>
          <w:ilvl w:val="0"/>
          <w:numId w:val="1001"/>
        </w:numPr>
      </w:pPr>
      <w:r>
        <w:t xml:space="preserve">We formalize a differentiable perceptual hashing layer built from low-frequency transform coefficients and soft thresholding.</w:t>
      </w:r>
    </w:p>
    <w:p>
      <w:pPr>
        <w:numPr>
          <w:ilvl w:val="0"/>
          <w:numId w:val="1001"/>
        </w:numPr>
      </w:pPr>
      <w:r>
        <w:t xml:space="preserve">We define segmentation, integrity, and attack-detection estimands separately rather than collapsing them into a single robustness score.</w:t>
      </w:r>
    </w:p>
    <w:p>
      <w:pPr>
        <w:numPr>
          <w:ilvl w:val="0"/>
          <w:numId w:val="1001"/>
        </w:numPr>
      </w:pPr>
      <w:r>
        <w:t xml:space="preserve">We restate the reported FGSM results as explicit measurement claims about IoU degradation and integrity deviation.</w:t>
      </w:r>
    </w:p>
    <w:p>
      <w:pPr>
        <w:numPr>
          <w:ilvl w:val="0"/>
          <w:numId w:val="1001"/>
        </w:numPr>
      </w:pPr>
      <w:r>
        <w:t xml:space="preserve">We scaffold the supplied figures and table into a fuller manuscript structure for later empirical expansion.</w:t>
      </w:r>
    </w:p>
    <w:bookmarkEnd w:id="9"/>
    <w:bookmarkEnd w:id="10"/>
    <w:bookmarkStart w:id="12" w:name="formal-setup"/>
    <w:p>
      <w:pPr>
        <w:pStyle w:val="Heading1"/>
      </w:pPr>
      <w:r>
        <w:t xml:space="preserve">Formal setup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  <m:r>
              <m:rPr>
                <m:sty m:val="p"/>
              </m:rPr>
              <m:t>×</m:t>
            </m:r>
            <m:r>
              <m:t>C</m:t>
            </m:r>
          </m:sup>
        </m:sSup>
      </m:oMath>
      <w:r>
        <w:t xml:space="preserve"> </w:t>
      </w:r>
      <w:r>
        <w:t xml:space="preserve">be an input image, 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denote encoder and decoder, and let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segmentation probability map.</w:t>
      </w:r>
    </w:p>
    <w:p>
      <w:pPr>
        <w:pStyle w:val="BodyText"/>
      </w:pPr>
      <w:r>
        <w:rPr>
          <w:b/>
          <w:bCs/>
        </w:rPr>
        <w:t xml:space="preserve">Definition 1</w:t>
      </w:r>
      <w:r>
        <w:t xml:space="preserve"> </w:t>
      </w:r>
      <w:r>
        <w:t xml:space="preserve">(Differentiable perceptual hash).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denote a selected block of low-frequency coefficients from a 2D spectral transform of the segmentation output. The differentiable perceptual hash is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tanh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L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the mean of the selected coefficients and</w:t>
      </w:r>
      <w:r>
        <w:rPr>
          <w:i/>
          <w:iCs/>
        </w:rPr>
        <w:t xml:space="preserve"> </w:t>
      </w:r>
      <m:oMath>
        <m:r>
          <m:t>β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a temperature parameter.</w:t>
      </w:r>
    </w:p>
    <w:p>
      <w:pPr>
        <w:pStyle w:val="FirstParagraph"/>
      </w:pPr>
      <w:r>
        <w:rPr>
          <w:b/>
          <w:bCs/>
        </w:rPr>
        <w:t xml:space="preserve">Definition 2</w:t>
      </w:r>
      <w:r>
        <w:t xml:space="preserve"> </w:t>
      </w:r>
      <w:r>
        <w:t xml:space="preserve">(Integrity deviation).</w:t>
      </w:r>
      <w:r>
        <w:t xml:space="preserve"> </w:t>
      </w:r>
      <w:r>
        <w:t xml:space="preserve"> </w:t>
      </w:r>
      <w:r>
        <w:rPr>
          <w:i/>
          <w:iCs/>
        </w:rPr>
        <w:t xml:space="preserve">Given a clean reference signature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and observed signature</w:t>
      </w:r>
      <w:r>
        <w:rPr>
          <w:i/>
          <w:iCs/>
        </w:rPr>
        <w:t xml:space="preserve"> </w:t>
      </w:r>
      <m:oMath>
        <m:r>
          <m:t>h</m:t>
        </m:r>
      </m:oMath>
      <w:r>
        <w:rPr>
          <w:i/>
          <w:iCs/>
        </w:rPr>
        <w:t xml:space="preserve">, define integrity deviation by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,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h</m:t>
          </m:r>
          <m:r>
            <m:rPr>
              <m:sty m:val="p"/>
            </m:rPr>
            <m:t>−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⋆</m:t>
              </m:r>
            </m:sup>
          </m:sSup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Large values indicate structural mismatch between the expected and observed segmentation signature.</w:t>
      </w:r>
    </w:p>
    <w:p>
      <w:pPr>
        <w:pStyle w:val="FirstParagraph"/>
      </w:pPr>
      <w:r>
        <w:rPr>
          <w:b/>
          <w:bCs/>
        </w:rPr>
        <w:t xml:space="preserve">Definition 3</w:t>
      </w:r>
      <w:r>
        <w:t xml:space="preserve"> </w:t>
      </w:r>
      <w:r>
        <w:t xml:space="preserve">(Attack-sensitive detection statistic).</w:t>
      </w:r>
      <w:r>
        <w:t xml:space="preserve"> </w:t>
      </w:r>
      <w:r>
        <w:t xml:space="preserve"> </w:t>
      </w:r>
      <w:r>
        <w:rPr>
          <w:i/>
          <w:iCs/>
        </w:rPr>
        <w:t xml:space="preserve">For input</w:t>
      </w:r>
      <w:r>
        <w:rPr>
          <w:i/>
          <w:iCs/>
        </w:rPr>
        <w:t xml:space="preserve"> </w:t>
      </w:r>
      <m:oMath>
        <m:r>
          <m:t>X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perturbation operator</w:t>
      </w:r>
      <w:r>
        <w:rPr>
          <w:i/>
          <w:i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A</m:t>
            </m:r>
          </m:e>
          <m:sub>
            <m:r>
              <m:t>ϵ</m:t>
            </m:r>
          </m:sub>
        </m:sSub>
      </m:oMath>
      <w:r>
        <w:rPr>
          <w:i/>
          <w:iCs/>
        </w:rPr>
        <w:t xml:space="preserve">, define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  <m:sub>
                  <m:r>
                    <m:t>ϵ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This is the primary tamper-detection statistic in the current paper.</w:t>
      </w:r>
    </w:p>
    <w:p>
      <w:pPr>
        <w:pStyle w:val="FirstParagraph"/>
      </w:pPr>
      <w:r>
        <w:rPr>
          <w:b/>
          <w:bCs/>
        </w:rPr>
        <w:t xml:space="preserve">Definition 4</w:t>
      </w:r>
      <w:r>
        <w:t xml:space="preserve"> </w:t>
      </w:r>
      <w:r>
        <w:t xml:space="preserve">(Joint training objective).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denote segmentation loss and</w:t>
      </w:r>
      <w:r>
        <w:rPr>
          <w:i/>
          <w:i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h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denote integrity-head loss. The joint objective is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+</m:t>
          </m:r>
          <m:r>
            <m:t>λ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r>
          <m:t>λ</m:t>
        </m:r>
        <m:r>
          <m:rPr>
            <m:sty m:val="p"/>
          </m:rPr>
          <m:t>≥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balances semantic performance and integrity consistency.</w:t>
      </w:r>
    </w:p>
    <w:bookmarkStart w:id="11" w:name="tab:spn-notation"/>
    <w:p>
      <w:pPr>
        <w:pStyle w:val="TableCaption"/>
      </w:pPr>
      <w:r>
        <w:t xml:space="preserve">Core notation for SecureParseNet.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re notation for SecureParseNet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segmentation output map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differentiable perceptual hash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soft-threshold temperature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integrity deviation metric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attack-sensitive detection statistic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segmentation objective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integrity-head objective</w:t>
            </w:r>
          </w:p>
        </w:tc>
      </w:tr>
    </w:tbl>
    <w:bookmarkEnd w:id="11"/>
    <w:bookmarkEnd w:id="12"/>
    <w:bookmarkStart w:id="15" w:name="assumptions-and-propositions"/>
    <w:p>
      <w:pPr>
        <w:pStyle w:val="Heading1"/>
      </w:pPr>
      <w:r>
        <w:t xml:space="preserve">Assumptions and propositions</w:t>
      </w:r>
    </w:p>
    <w:p>
      <w:pPr>
        <w:pStyle w:val="FirstParagraph"/>
      </w:pPr>
      <w:r>
        <w:rPr>
          <w:b/>
          <w:bCs/>
        </w:rPr>
        <w:t xml:space="preserve">Assumption 1</w:t>
      </w:r>
      <w:r>
        <w:t xml:space="preserve"> </w:t>
      </w:r>
      <w:r>
        <w:t xml:space="preserve">(Low-frequency structural persistence).</w:t>
      </w:r>
      <w:r>
        <w:t xml:space="preserve"> </w:t>
      </w:r>
      <w:r>
        <w:t xml:space="preserve"> </w:t>
      </w:r>
      <w:r>
        <w:rPr>
          <w:i/>
          <w:iCs/>
        </w:rPr>
        <w:t xml:space="preserve">Semantically meaningful scene structure is more stable under small perturbations in low-frequency coefficient space than adversarial high-frequency corruption is.</w:t>
      </w:r>
    </w:p>
    <w:p>
      <w:pPr>
        <w:pStyle w:val="BodyText"/>
      </w:pPr>
      <w:r>
        <w:rPr>
          <w:b/>
          <w:bCs/>
        </w:rPr>
        <w:t xml:space="preserve">Assumption 2</w:t>
      </w:r>
      <w:r>
        <w:t xml:space="preserve"> </w:t>
      </w:r>
      <w:r>
        <w:t xml:space="preserve">(Differentiable alignment).</w:t>
      </w:r>
      <w:r>
        <w:t xml:space="preserve"> </w:t>
      </w:r>
      <w:r>
        <w:t xml:space="preserve"> </w:t>
      </w:r>
      <w:r>
        <w:rPr>
          <w:i/>
          <w:iCs/>
        </w:rPr>
        <w:t xml:space="preserve">If the integrity head is optimized jointly with segmentation, the backbone can learn features that are more stable under spectral perturbation than a segmentation-only baseline.</w:t>
      </w:r>
    </w:p>
    <w:p>
      <w:pPr>
        <w:pStyle w:val="BodyText"/>
      </w:pPr>
      <w:r>
        <w:rPr>
          <w:b/>
          <w:bCs/>
        </w:rPr>
        <w:t xml:space="preserve">Assumption 3</w:t>
      </w:r>
      <w:r>
        <w:t xml:space="preserve"> </w:t>
      </w:r>
      <w:r>
        <w:t xml:space="preserve">(Detection usefulness).</w:t>
      </w:r>
      <w:r>
        <w:t xml:space="preserve"> </w:t>
      </w:r>
      <w:r>
        <w:t xml:space="preserve"> </w:t>
      </w:r>
      <w:r>
        <w:rPr>
          <w:i/>
          <w:iCs/>
        </w:rPr>
        <w:t xml:space="preserve">An integrity signal is operationally useful only if it rises sharply under attack while remaining small on clean or benignly shifted inputs.</w:t>
      </w:r>
    </w:p>
    <w:p>
      <w:pPr>
        <w:pStyle w:val="BodyText"/>
      </w:pPr>
      <w:r>
        <w:rPr>
          <w:b/>
          <w:bCs/>
        </w:rPr>
        <w:t xml:space="preserve">Proposition 1</w:t>
      </w:r>
      <w:r>
        <w:t xml:space="preserve"> </w:t>
      </w:r>
      <w:r>
        <w:t xml:space="preserve">(Gradient compatibility).</w:t>
      </w:r>
      <w:r>
        <w:t xml:space="preserve"> </w:t>
      </w:r>
      <w:r>
        <w:t xml:space="preserve"> </w:t>
      </w:r>
      <w:r>
        <w:rPr>
          <w:i/>
          <w:iCs/>
        </w:rPr>
        <w:t xml:space="preserve">Because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t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uses smooth thresholding, gradients can propagate from the integrity objective back into the segmentation backbone, unlike with a hard binary hash.</w:t>
      </w:r>
    </w:p>
    <w:p>
      <w:pPr>
        <w:pStyle w:val="BodyText"/>
      </w:pPr>
      <w:r>
        <w:rPr>
          <w:b/>
          <w:bCs/>
        </w:rPr>
        <w:t xml:space="preserve">Proposition 2</w:t>
      </w:r>
      <w:r>
        <w:t xml:space="preserve"> </w:t>
      </w:r>
      <w:r>
        <w:t xml:space="preserve">(Detection separation).</w:t>
      </w:r>
      <w:r>
        <w:t xml:space="preserve"> </w:t>
      </w:r>
      <w:r>
        <w:t xml:space="preserve"> </w:t>
      </w:r>
      <w:r>
        <w:rPr>
          <w:i/>
          <w:iCs/>
        </w:rPr>
        <w:t xml:space="preserve">If low-frequency structure is preserved in clean predictions but disrupted under adversarial perturbation, then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ϵ</m:t>
          </m:r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t>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&gt;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Proposition 3</w:t>
      </w:r>
      <w:r>
        <w:t xml:space="preserve"> </w:t>
      </w:r>
      <w:r>
        <w:t xml:space="preserve">(Fail-safe criterion).</w:t>
      </w:r>
      <w:r>
        <w:t xml:space="preserve"> </w:t>
      </w:r>
      <w:r>
        <w:t xml:space="preserve"> </w:t>
      </w:r>
      <w:r>
        <w:rPr>
          <w:i/>
          <w:iCs/>
        </w:rPr>
        <w:t xml:space="preserve">The architecture is deployment-useful only if integrity deviation rises before semantic failure becomes silent; that is, detection must remain informative in attack regimes where IoU is already declining.</w:t>
      </w:r>
    </w:p>
    <w:bookmarkStart w:id="13" w:name="null-hypothesis"/>
    <w:p>
      <w:pPr>
        <w:pStyle w:val="Heading2"/>
      </w:pPr>
      <w:r>
        <w:t xml:space="preserve">Null hypothesis</w:t>
      </w:r>
    </w:p>
    <w:p>
      <w:pPr>
        <w:pStyle w:val="FirstParagraph"/>
      </w:pPr>
      <w:r>
        <w:t xml:space="preserve">The differentiable integrity head does not improve detection of adversarial corruption beyond what can be inferred from segmentation degradation alone.</w:t>
      </w:r>
    </w:p>
    <w:bookmarkEnd w:id="13"/>
    <w:bookmarkStart w:id="14" w:name="effect-size-target"/>
    <w:p>
      <w:pPr>
        <w:pStyle w:val="Heading2"/>
      </w:pPr>
      <w:r>
        <w:t xml:space="preserve">Effect-size target</w:t>
      </w:r>
    </w:p>
    <w:p>
      <w:pPr>
        <w:pStyle w:val="FirstParagraph"/>
      </w:pPr>
      <w:r>
        <w:t xml:space="preserve">The source paper motivates a strong target in which integrity deviation increases by orders of magnitude under attack while latency overhead remains negligible.</w:t>
      </w:r>
    </w:p>
    <w:bookmarkEnd w:id="14"/>
    <w:bookmarkEnd w:id="15"/>
    <w:bookmarkStart w:id="17" w:name="architecture"/>
    <w:p>
      <w:pPr>
        <w:pStyle w:val="Heading1"/>
      </w:pPr>
      <w:r>
        <w:t xml:space="preserve">Architecture</w:t>
      </w:r>
    </w:p>
    <w:p>
      <w:pPr>
        <w:pStyle w:val="FirstParagraph"/>
      </w:pPr>
      <w:r>
        <w:t xml:space="preserve">SecureParseNet consists of a lightweight segmentation backbone and an auxiliary integrity head. The segmentation branch produces the dense prediction map. The integrity branch transforms that output into a compact low-frequency signature used for consistency monitoring.</w:t>
      </w:r>
    </w:p>
    <w:bookmarkStart w:id="16" w:name="fig:spn-pipelin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Conceptual SecureParseNet pipeline. The integrity head remains differentiable so that structural consistency can shape the learned representation during training.</w:t>
      </w:r>
    </w:p>
    <w:bookmarkEnd w:id="16"/>
    <w:bookmarkEnd w:id="17"/>
    <w:bookmarkStart w:id="25" w:name="methodology"/>
    <w:p>
      <w:pPr>
        <w:pStyle w:val="Heading1"/>
      </w:pPr>
      <w:r>
        <w:t xml:space="preserve">Methodology</w:t>
      </w:r>
    </w:p>
    <w:bookmarkStart w:id="18" w:name="differentiable-spectral-hashing"/>
    <w:p>
      <w:pPr>
        <w:pStyle w:val="Heading2"/>
      </w:pPr>
      <w:r>
        <w:t xml:space="preserve">Differentiable spectral hashing</w:t>
      </w:r>
    </w:p>
    <w:p>
      <w:pPr>
        <w:pStyle w:val="FirstParagraph"/>
      </w:pPr>
      <w:r>
        <w:t xml:space="preserve">The supplied source paper uses a 2D transform followed by soft thresholding of an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low-frequency block. This is a sensible design because it moves the integrity test away from pixelwise noise and toward coarser scene structure. The temperature parameter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controls the smoothness of the binarization surrogate.</w:t>
      </w:r>
    </w:p>
    <w:bookmarkEnd w:id="18"/>
    <w:bookmarkStart w:id="19" w:name="primary-estimands"/>
    <w:p>
      <w:pPr>
        <w:pStyle w:val="Heading2"/>
      </w:pPr>
      <w:r>
        <w:t xml:space="preserve">Primary estimands</w:t>
      </w:r>
    </w:p>
    <w:p>
      <w:pPr>
        <w:pStyle w:val="FirstParagraph"/>
      </w:pPr>
      <w:r>
        <w:t xml:space="preserve">We separate three quantities: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</m:sub>
          </m:sSub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is a declared alarm threshold. A good defense need not preserve perfect IoU at every attack strength, but it should make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h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diagnostically informative.</w:t>
      </w:r>
    </w:p>
    <w:bookmarkEnd w:id="19"/>
    <w:bookmarkStart w:id="20" w:name="operating-characteristic-formulation"/>
    <w:p>
      <w:pPr>
        <w:pStyle w:val="Heading2"/>
      </w:pPr>
      <w:r>
        <w:t xml:space="preserve">Operating-characteristic formulation</w:t>
      </w:r>
    </w:p>
    <w:p>
      <w:pPr>
        <w:pStyle w:val="FirstParagraph"/>
      </w:pPr>
      <w:r>
        <w:t xml:space="preserve">For a distribution of clean and attacked inputs, the integrity head should be evaluated by the pair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&gt;</m:t>
          </m:r>
          <m:r>
            <m:t>τ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F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&gt;</m:t>
          </m:r>
          <m:r>
            <m:t>τ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denotes attacked inputs. Reporting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P</m:t>
        </m:r>
        <m:r>
          <m:rPr>
            <m:sty m:val="p"/>
          </m:rPr>
          <m:t>R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P</m:t>
        </m:r>
        <m:r>
          <m:rPr>
            <m:sty m:val="p"/>
          </m:rPr>
          <m:t>R</m:t>
        </m:r>
      </m:oMath>
      <w:r>
        <w:t xml:space="preserve"> </w:t>
      </w:r>
      <w:r>
        <w:t xml:space="preserve">is insufficient for deployment claims.</w:t>
      </w:r>
    </w:p>
    <w:bookmarkEnd w:id="20"/>
    <w:bookmarkStart w:id="21" w:name="paired-robustness-estimator"/>
    <w:p>
      <w:pPr>
        <w:pStyle w:val="Heading2"/>
      </w:pPr>
      <w:r>
        <w:t xml:space="preserve">Paired robustness estimator</w:t>
      </w:r>
    </w:p>
    <w:p>
      <w:pPr>
        <w:pStyle w:val="FirstParagraph"/>
      </w:pPr>
      <w:r>
        <w:t xml:space="preserve">When each clean sample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paired with attacked variants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A</m:t>
            </m:r>
          </m:e>
          <m:sub>
            <m:r>
              <m:t>ϵ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the natural integrity contrast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ϵ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paired form removes between-image structural variance from the primary detection analysis.</w:t>
      </w:r>
    </w:p>
    <w:bookmarkEnd w:id="21"/>
    <w:bookmarkStart w:id="22" w:name="threshold-calibration"/>
    <w:p>
      <w:pPr>
        <w:pStyle w:val="Heading2"/>
      </w:pPr>
      <w:r>
        <w:t xml:space="preserve">Threshold calibration</w:t>
      </w:r>
    </w:p>
    <w:p>
      <w:pPr>
        <w:pStyle w:val="FirstParagraph"/>
      </w:pPr>
      <w:r>
        <w:t xml:space="preserve">The alarm threshold should be selected on held-out clean and perturbed validation sets by minimizing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cr m:val="script"/>
                  <m:sty m:val="p"/>
                </m:rPr>
                <m:t>R</m:t>
              </m:r>
            </m:e>
          </m:acc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sub>
          </m:sSub>
          <m:acc>
            <m:accPr>
              <m:chr m:val="̂"/>
            </m:accPr>
            <m:e>
              <m:r>
                <m:rPr>
                  <m:sty m:val="p"/>
                </m:rPr>
                <m:t>Pr</m:t>
              </m:r>
            </m:e>
          </m:acc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≤</m:t>
          </m:r>
          <m:r>
            <m:t>τ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b>
          </m:sSub>
          <m:acc>
            <m:accPr>
              <m:chr m:val="̂"/>
            </m:accPr>
            <m:e>
              <m:r>
                <m:rPr>
                  <m:sty m:val="p"/>
                </m:rPr>
                <m:t>Pr</m:t>
              </m:r>
            </m:e>
          </m:acc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&gt;</m:t>
          </m:r>
          <m:r>
            <m:t>τ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declared costs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2"/>
    <w:bookmarkStart w:id="23" w:name="control-condition"/>
    <w:p>
      <w:pPr>
        <w:pStyle w:val="Heading2"/>
      </w:pPr>
      <w:r>
        <w:t xml:space="preserve">Control condition</w:t>
      </w:r>
    </w:p>
    <w:p>
      <w:pPr>
        <w:pStyle w:val="FirstParagraph"/>
      </w:pPr>
      <w:r>
        <w:t xml:space="preserve">The natural control is a matched segmentation network trained without the integrity head. That comparison is not fully reported in the source PDF, so this rebuilt manuscript treats it as a required next-step baseline.</w:t>
      </w:r>
    </w:p>
    <w:bookmarkEnd w:id="23"/>
    <w:bookmarkStart w:id="24" w:name="failure-modes-and-confounds"/>
    <w:p>
      <w:pPr>
        <w:pStyle w:val="Heading2"/>
      </w:pPr>
      <w:r>
        <w:t xml:space="preserve">Failure modes and confounds</w:t>
      </w:r>
    </w:p>
    <w:p>
      <w:pPr>
        <w:numPr>
          <w:ilvl w:val="0"/>
          <w:numId w:val="1002"/>
        </w:numPr>
      </w:pPr>
      <w:r>
        <w:t xml:space="preserve">integrity deviation may increase under benign distribution shift, not only attack,</w:t>
      </w:r>
    </w:p>
    <w:p>
      <w:pPr>
        <w:numPr>
          <w:ilvl w:val="0"/>
          <w:numId w:val="1002"/>
        </w:numPr>
      </w:pPr>
      <w:r>
        <w:t xml:space="preserve">low-frequency hashing may miss small but semantically catastrophic local attacks,</w:t>
      </w:r>
    </w:p>
    <w:p>
      <w:pPr>
        <w:numPr>
          <w:ilvl w:val="0"/>
          <w:numId w:val="1002"/>
        </w:numPr>
      </w:pPr>
      <w:r>
        <w:t xml:space="preserve">the auxiliary head may regularize training without truly detecting tampering,</w:t>
      </w:r>
    </w:p>
    <w:p>
      <w:pPr>
        <w:numPr>
          <w:ilvl w:val="0"/>
          <w:numId w:val="1002"/>
        </w:numPr>
      </w:pPr>
      <w:r>
        <w:t xml:space="preserve">detector thresholds may be dataset-specific and not portable.</w:t>
      </w:r>
    </w:p>
    <w:p>
      <w:pPr>
        <w:pStyle w:val="FirstParagraph"/>
      </w:pPr>
      <w:r>
        <w:t xml:space="preserve">An additional confound is surrogate collapse: 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h</m:t>
            </m:r>
          </m:sub>
        </m:sSub>
      </m:oMath>
      <w:r>
        <w:t xml:space="preserve"> </w:t>
      </w:r>
      <w:r>
        <w:t xml:space="preserve">merely tracks segmentation confidence, then integrity deviation may be redundant with existing uncertainty scores rather than providing independent protection.</w:t>
      </w:r>
    </w:p>
    <w:bookmarkEnd w:id="24"/>
    <w:bookmarkEnd w:id="25"/>
    <w:bookmarkStart w:id="35" w:name="reported-evidence-from-the-source-paper"/>
    <w:p>
      <w:pPr>
        <w:pStyle w:val="Heading1"/>
      </w:pPr>
      <w:r>
        <w:t xml:space="preserve">Reported evidence from the source paper</w:t>
      </w:r>
    </w:p>
    <w:p>
      <w:pPr>
        <w:pStyle w:val="FirstParagraph"/>
      </w:pPr>
      <w:r>
        <w:t xml:space="preserve">The provided PDF reports stable joint optimization and a strong integrity signal under FGSM perturbation. We preserve those results here in explicit manuscript form.</w:t>
      </w:r>
    </w:p>
    <w:bookmarkStart w:id="26" w:name="tab:spn-fgsm"/>
    <w:p>
      <w:pPr>
        <w:pStyle w:val="TableCaption"/>
      </w:pPr>
      <w:r>
        <w:t xml:space="preserve">Integrity deviation and segmentation quality reported under FGSM attacks in the source paper.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tegrity deviation and segmentation quality reported under FGSM attacks in the source pap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Attack strength</w:t>
            </w:r>
            <w:r>
              <w:t xml:space="preserve"> </w:t>
            </w:r>
            <m:oMath>
              <m:r>
                <m:t>ϵ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Segmentation IoU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Hash MSE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0.00 (clean)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0.3420</w:t>
            </w:r>
          </w:p>
        </w:tc>
      </w:tr>
    </w:tbl>
    <w:bookmarkEnd w:id="26"/>
    <w:bookmarkStart w:id="30" w:name="fig:spn-training"/>
    <w:p>
      <w:pPr>
        <w:pStyle w:val="CaptionedFigure"/>
      </w:pPr>
      <w:r>
        <w:drawing>
          <wp:inline>
            <wp:extent cx="4587240" cy="2752344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gures/page3_img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2752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Training convergence figure extracted from the source PDF. The source report shows simultaneous decrease in integrity loss and increase in validation accuracy.</w:t>
      </w:r>
    </w:p>
    <w:bookmarkEnd w:id="30"/>
    <w:bookmarkStart w:id="34" w:name="fig:spn-confusion"/>
    <w:p>
      <w:pPr>
        <w:pStyle w:val="CaptionedFigure"/>
      </w:pPr>
      <w:r>
        <w:drawing>
          <wp:inline>
            <wp:extent cx="4693920" cy="58674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ures/page4_img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586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matrix extracted from the source PDF for FGSM attack setting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0.05</m:t>
        </m:r>
      </m:oMath>
      <w:r>
        <w:t xml:space="preserve">. The figure supports the claim that integrity monitoring remains informative under classwise degradation.</w:t>
      </w:r>
    </w:p>
    <w:bookmarkEnd w:id="34"/>
    <w:bookmarkEnd w:id="35"/>
    <w:bookmarkStart w:id="36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main strength of SecureParseNet is architectural clarity. It does not rely solely on making the backbone harder to fool; it also asks whether the output still</w:t>
      </w:r>
      <w:r>
        <w:t xml:space="preserve"> </w:t>
      </w:r>
      <w:r>
        <w:t xml:space="preserve">“looks structurally like itself”</w:t>
      </w:r>
      <w:r>
        <w:t xml:space="preserve"> </w:t>
      </w:r>
      <w:r>
        <w:t xml:space="preserve">in a low-frequency sense. That gives the system a potentially useful fail-safe behavior: when dense prediction becomes unreliable, the integrity head can still surface the compromise.</w:t>
      </w:r>
    </w:p>
    <w:p>
      <w:pPr>
        <w:pStyle w:val="BodyText"/>
      </w:pPr>
      <w:r>
        <w:t xml:space="preserve">The proposal is also methodologically interesting because it shifts some robustness pressure away from input-space preprocessing and toward output-space self-consistency. That is a distinct angle from adversarial training or randomized smoothing</w:t>
      </w:r>
      <w:r>
        <w:t xml:space="preserve"> </w:t>
      </w:r>
      <w:r>
        <w:t xml:space="preserve">. Whether it is sufficient on its own remains open, but it is conceptually strong enough to justify deeper follow-up.</w:t>
      </w:r>
    </w:p>
    <w:bookmarkEnd w:id="36"/>
    <w:bookmarkStart w:id="37" w:name="limitations-and-future-work"/>
    <w:p>
      <w:pPr>
        <w:pStyle w:val="Heading1"/>
      </w:pPr>
      <w:r>
        <w:t xml:space="preserve">Limitations and future work</w:t>
      </w:r>
    </w:p>
    <w:p>
      <w:pPr>
        <w:pStyle w:val="FirstParagraph"/>
      </w:pPr>
      <w:r>
        <w:t xml:space="preserve">The current manuscript is constrained by the brevity of the supplied PDF and by the absence of a full replication package. The most important next steps are:</w:t>
      </w:r>
    </w:p>
    <w:p>
      <w:pPr>
        <w:numPr>
          <w:ilvl w:val="0"/>
          <w:numId w:val="1003"/>
        </w:numPr>
      </w:pPr>
      <w:r>
        <w:t xml:space="preserve">compare against matched segmentation-only and adversarial-training baselines,</w:t>
      </w:r>
    </w:p>
    <w:p>
      <w:pPr>
        <w:numPr>
          <w:ilvl w:val="0"/>
          <w:numId w:val="1003"/>
        </w:numPr>
      </w:pPr>
      <w:r>
        <w:t xml:space="preserve">evaluate false-positive rates under benign corruption and natural distribution shift,</w:t>
      </w:r>
    </w:p>
    <w:p>
      <w:pPr>
        <w:numPr>
          <w:ilvl w:val="0"/>
          <w:numId w:val="1003"/>
        </w:numPr>
      </w:pPr>
      <w:r>
        <w:t xml:space="preserve">test stronger attacks than FGSM, including multi-step PGD variants, and</w:t>
      </w:r>
    </w:p>
    <w:p>
      <w:pPr>
        <w:numPr>
          <w:ilvl w:val="0"/>
          <w:numId w:val="1003"/>
        </w:numPr>
      </w:pPr>
      <w:r>
        <w:t xml:space="preserve">measure latency and memory overhead under actual edge deployment settings.</w:t>
      </w:r>
    </w:p>
    <w:p>
      <w:pPr>
        <w:pStyle w:val="FirstParagraph"/>
      </w:pPr>
      <w:r>
        <w:t xml:space="preserve">A stronger future version should also define operating thresholds explicitly and report ROC-style trade-offs between attack detection and false alarms.</w:t>
      </w:r>
    </w:p>
    <w:bookmarkEnd w:id="37"/>
    <w:bookmarkStart w:id="3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SecureParseNet is best understood as an integrity-aware segmentation architecture rather than as a generic adversarial defense. The original PDF already contains a promising core idea, and this rebuilt manuscript turns that idea into a more formal research paper scaffold with explicit equations, estimands, and validation logic.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SecureParseNet: Differentiable Perceptual Hashing for Integrity-Aware Semantic Segmentation</dc:title>
  <dc:creator>Aryan Singh Chandel  RJIT (Rustamji Institute of Technology), Gwalior, India aryansingh19gh@gmail.com</dc:creator>
  <cp:keywords/>
  <dcterms:created xsi:type="dcterms:W3CDTF">2026-06-26T14:20:55Z</dcterms:created>
  <dcterms:modified xsi:type="dcterms:W3CDTF">2026-06-26T14:20:55Z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Lightweight segmentation systems are attractive for deployment on edge devices, but their small parameter budgets often leave them highly vulnerable to adversarial perturbations. SecureParseNet addresses this problem by coupling a MobileNetV3-style segmentation backbone with a differentiable perceptual-hash head that monitors structural integrity in the output space. This manuscript rebuilds the supplied PDF into a more formal research paper: it specifies the differentiable hash operator, clarifies the multi-objective training logic, states measurable claims for tamper detection and segmentation robustness, and packages the existing convergence, attack, and confusion-matrix results into a cleaner methodology-oriented narrative. The core idea is that a segmentation network can be made more deployment-safe when integrity verification is treated as a first-class differentiable objective rather than as a post hoc alarm.</vt:lpwstr>
  </property>
  <property fmtid="{D5CDD505-2E9C-101B-9397-08002B2CF9AE}" pid="3" name="bibliography">
    <vt:lpwstr/>
  </property>
  <property fmtid="{D5CDD505-2E9C-101B-9397-08002B2CF9AE}" pid="4" name="date">
    <vt:lpwstr>June 26, 2026</vt:lpwstr>
  </property>
</Properties>
</file>