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Alluka Something Algorithmic Debt: A Formal View of Prompt Ambition, Verification Overhead, and Sequential Safety Cost</w:t>
      </w:r>
    </w:p>
    <w:p>
      <w:pPr>
        <w:pStyle w:val="Author"/>
      </w:pPr>
      <w:r>
        <w:t xml:space="preserve">Aryan Singh Chandel </w:t>
      </w:r>
    </w:p>
    <w:p>
      <w:pPr>
        <w:pStyle w:val="Date"/>
      </w:pPr>
      <w:r>
        <w:t xml:space="preserve">June 26, 2026</w:t>
      </w:r>
    </w:p>
    <w:p>
      <w:pPr>
        <w:pStyle w:val="AbstractTitle"/>
      </w:pPr>
      <w:r>
        <w:t xml:space="preserve">Abstract</w:t>
      </w:r>
    </w:p>
    <w:p>
      <w:pPr>
        <w:pStyle w:val="Abstract"/>
      </w:pPr>
      <w:r>
        <w:t xml:space="preserve">Token counts are an incomplete proxy for the operational cost of serving large language models. Prompts of comparable length can induce very different amounts of non-generation work, including retrieval, decomposition, verification, and safety filtering. We propose an explicit cost decomposition into generation, verification, and safety terms and define a normalized</w:t>
      </w:r>
      <w:r>
        <w:t xml:space="preserve"> </w:t>
      </w:r>
      <w:r>
        <w:rPr>
          <w:i/>
          <w:iCs/>
        </w:rPr>
        <w:t xml:space="preserve">algorithmic debt</w:t>
      </w:r>
      <w:r>
        <w:t xml:space="preserve"> </w:t>
      </w:r>
      <w:r>
        <w:t xml:space="preserve">ratio that isolates overhead relative to base generation. We also introduce a length-controlled benchmarking protocol that stratifies prompts by annotated ambition—depth, breadth, and risk—and records stage-wise token, latency, and, when available, energy measurements. A small pilot study demonstrates the measurement workflow and motivates larger, pre-registered evaluations.</w:t>
      </w:r>
    </w:p>
    <w:bookmarkStart w:id="10" w:name="introduction"/>
    <w:p>
      <w:pPr>
        <w:pStyle w:val="Heading1"/>
      </w:pPr>
      <w:r>
        <w:t xml:space="preserve">Introduction</w:t>
      </w:r>
    </w:p>
    <w:p>
      <w:pPr>
        <w:pStyle w:val="FirstParagraph"/>
      </w:pPr>
      <w:r>
        <w:t xml:space="preserve">Scaling-law studies connect model capability to training compute</w:t>
      </w:r>
      <w:r>
        <w:t xml:space="preserve"> </w:t>
      </w:r>
      <w:r>
        <w:t xml:space="preserve">. At deployment, however, the more immediate concern is end-to-end serving burden: how much work a system performs at inference time, how that work is staged, and which parts of it are triggered by the prompt itself</w:t>
      </w:r>
      <w:r>
        <w:t xml:space="preserve"> </w:t>
      </w:r>
      <w:r>
        <w:t xml:space="preserve">. In long-context settings, more input can even degrade performance by introducing retrieval and positional failure modes rather than monotone gains</w:t>
      </w:r>
      <w:r>
        <w:t xml:space="preserve"> </w:t>
      </w:r>
      <w:r>
        <w:t xml:space="preserve">. These observations motivate separating raw input length from prompt-induced operational overhead.</w:t>
      </w:r>
    </w:p>
    <w:p>
      <w:pPr>
        <w:pStyle w:val="BodyText"/>
      </w:pPr>
      <w:r>
        <w:t xml:space="preserve">In practice, prompts with similar token length can require very different serving pipelines: repeated attempts, auxiliary verification stages, external tool calls, or safety-motivated rewrites. Token accounting alone therefore conflates base generation with downstream orchestration. We formalize that excess burden as</w:t>
      </w:r>
      <w:r>
        <w:t xml:space="preserve"> </w:t>
      </w:r>
      <w:r>
        <w:rPr>
          <w:i/>
          <w:iCs/>
        </w:rPr>
        <w:t xml:space="preserve">algorithmic debt</w:t>
      </w:r>
      <w:r>
        <w:t xml:space="preserve"> </w:t>
      </w:r>
      <w:r>
        <w:t xml:space="preserve">and propose a measurement framework intended to be comparable across models and serving stacks.</w:t>
      </w:r>
    </w:p>
    <w:bookmarkStart w:id="9" w:name="contributions."/>
    <w:p>
      <w:pPr>
        <w:pStyle w:val="Heading4"/>
      </w:pPr>
      <w:r>
        <w:t xml:space="preserve">Contributions.</w:t>
      </w:r>
    </w:p>
    <w:p>
      <w:pPr>
        <w:pStyle w:val="FirstParagraph"/>
      </w:pPr>
      <w:r>
        <w:t xml:space="preserve">This paper:</w:t>
      </w:r>
    </w:p>
    <w:p>
      <w:pPr>
        <w:numPr>
          <w:ilvl w:val="0"/>
          <w:numId w:val="1001"/>
        </w:numPr>
      </w:pPr>
      <w:r>
        <w:t xml:space="preserve">introduces an operational cost decomposition</w:t>
      </w:r>
      <w:r>
        <w:t xml:space="preserve"> </w:t>
      </w:r>
      <m:oMath>
        <m:sSub>
          <m:e>
            <m:r>
              <m:t>C</m:t>
            </m:r>
          </m:e>
          <m:sub>
            <m:r>
              <m:rPr>
                <m:nor/>
                <m:sty m:val="p"/>
              </m:rPr>
              <m:t>total</m:t>
            </m:r>
          </m:sub>
        </m:sSub>
        <m:r>
          <m:rPr>
            <m:sty m:val="p"/>
          </m:rPr>
          <m:t>=</m:t>
        </m:r>
        <m:sSub>
          <m:e>
            <m:r>
              <m:t>C</m:t>
            </m:r>
          </m:e>
          <m:sub>
            <m:r>
              <m:rPr>
                <m:nor/>
                <m:sty m:val="p"/>
              </m:rPr>
              <m:t>gen</m:t>
            </m:r>
          </m:sub>
        </m:sSub>
        <m:r>
          <m:rPr>
            <m:sty m:val="p"/>
          </m:rPr>
          <m:t>+</m:t>
        </m:r>
        <m:sSub>
          <m:e>
            <m:r>
              <m:t>C</m:t>
            </m:r>
          </m:e>
          <m:sub>
            <m:r>
              <m:rPr>
                <m:nor/>
                <m:sty m:val="p"/>
              </m:rPr>
              <m:t>ver</m:t>
            </m:r>
          </m:sub>
        </m:sSub>
        <m:r>
          <m:rPr>
            <m:sty m:val="p"/>
          </m:rPr>
          <m:t>+</m:t>
        </m:r>
        <m:sSub>
          <m:e>
            <m:r>
              <m:t>C</m:t>
            </m:r>
          </m:e>
          <m:sub>
            <m:r>
              <m:rPr>
                <m:nor/>
                <m:sty m:val="p"/>
              </m:rPr>
              <m:t>safe</m:t>
            </m:r>
          </m:sub>
        </m:sSub>
      </m:oMath>
      <w:r>
        <w:t xml:space="preserve"> </w:t>
      </w:r>
      <w:r>
        <w:t xml:space="preserve">and a normalized algorithmic-debt ratio;</w:t>
      </w:r>
    </w:p>
    <w:p>
      <w:pPr>
        <w:numPr>
          <w:ilvl w:val="0"/>
          <w:numId w:val="1001"/>
        </w:numPr>
      </w:pPr>
      <w:r>
        <w:t xml:space="preserve">defines ambition annotations (depth, breadth, and risk) and a length-controlled stratification scheme to separate verbosity from complexity;</w:t>
      </w:r>
    </w:p>
    <w:p>
      <w:pPr>
        <w:numPr>
          <w:ilvl w:val="0"/>
          <w:numId w:val="1001"/>
        </w:numPr>
      </w:pPr>
      <w:r>
        <w:t xml:space="preserve">specifies a logging protocol and estimands for evaluating how ambition predicts non-generation overhead; and</w:t>
      </w:r>
    </w:p>
    <w:p>
      <w:pPr>
        <w:numPr>
          <w:ilvl w:val="0"/>
          <w:numId w:val="1001"/>
        </w:numPr>
      </w:pPr>
      <w:r>
        <w:t xml:space="preserve">reports a small pilot measurement to demonstrate the end-to-end workflow.</w:t>
      </w:r>
    </w:p>
    <w:bookmarkEnd w:id="9"/>
    <w:bookmarkEnd w:id="10"/>
    <w:bookmarkStart w:id="22" w:name="model-and-estimands"/>
    <w:p>
      <w:pPr>
        <w:pStyle w:val="Heading1"/>
      </w:pPr>
      <w:r>
        <w:t xml:space="preserve">Model and estimands</w:t>
      </w:r>
    </w:p>
    <w:bookmarkStart w:id="12" w:name="cost-decomposition"/>
    <w:p>
      <w:pPr>
        <w:pStyle w:val="Heading2"/>
      </w:pPr>
      <w:r>
        <w:t xml:space="preserve">Cost decomposition</w:t>
      </w:r>
    </w:p>
    <w:p>
      <w:pPr>
        <w:pStyle w:val="FirstParagraph"/>
      </w:pPr>
      <w:r>
        <w:t xml:space="preserve">Let</w:t>
      </w:r>
      <w:r>
        <w:t xml:space="preserve"> </w:t>
      </w:r>
      <m:oMath>
        <m:r>
          <m:t>x</m:t>
        </m:r>
      </m:oMath>
      <w:r>
        <w:t xml:space="preserve"> </w:t>
      </w:r>
      <w:r>
        <w:t xml:space="preserve">denote a prompt instance under a fixed serving configuration (model, decoding parameters, stage policy, and hardware/runtime). We decompose the total serving burden into</w:t>
      </w:r>
    </w:p>
    <w:p>
      <w:pPr>
        <w:pStyle w:val="BodyText"/>
      </w:pPr>
      <m:oMathPara>
        <m:oMathParaPr>
          <m:jc m:val="center"/>
        </m:oMathParaPr>
        <m:oMath>
          <m:sSub>
            <m:e>
              <m:r>
                <m:t>C</m:t>
              </m:r>
            </m:e>
            <m:sub>
              <m:r>
                <m:rPr>
                  <m:nor/>
                  <m:sty m:val="p"/>
                </m:rPr>
                <m:t>total</m:t>
              </m:r>
            </m:sub>
          </m:sSub>
          <m:r>
            <m:rPr>
              <m:sty m:val="p"/>
            </m:rPr>
            <m:t>(</m:t>
          </m:r>
          <m:r>
            <m:t>x</m:t>
          </m:r>
          <m:r>
            <m:rPr>
              <m:sty m:val="p"/>
            </m:rPr>
            <m:t>)</m:t>
          </m:r>
          <m:r>
            <m:rPr>
              <m:sty m:val="p"/>
            </m:rPr>
            <m:t>=</m:t>
          </m:r>
          <m:sSub>
            <m:e>
              <m:r>
                <m:t>C</m:t>
              </m:r>
            </m:e>
            <m:sub>
              <m:r>
                <m:rPr>
                  <m:nor/>
                  <m:sty m:val="p"/>
                </m:rPr>
                <m:t>gen</m:t>
              </m:r>
            </m:sub>
          </m:sSub>
          <m:r>
            <m:rPr>
              <m:sty m:val="p"/>
            </m:rPr>
            <m:t>(</m:t>
          </m:r>
          <m:r>
            <m:t>x</m:t>
          </m:r>
          <m:r>
            <m:rPr>
              <m:sty m:val="p"/>
            </m:rPr>
            <m:t>)</m:t>
          </m:r>
          <m:r>
            <m:rPr>
              <m:sty m:val="p"/>
            </m:rPr>
            <m:t>+</m:t>
          </m:r>
          <m:sSub>
            <m:e>
              <m:r>
                <m:t>C</m:t>
              </m:r>
            </m:e>
            <m:sub>
              <m:r>
                <m:rPr>
                  <m:nor/>
                  <m:sty m:val="p"/>
                </m:rPr>
                <m:t>ver</m:t>
              </m:r>
            </m:sub>
          </m:sSub>
          <m:r>
            <m:rPr>
              <m:sty m:val="p"/>
            </m:rPr>
            <m:t>(</m:t>
          </m:r>
          <m:r>
            <m:t>x</m:t>
          </m:r>
          <m:r>
            <m:rPr>
              <m:sty m:val="p"/>
            </m:rPr>
            <m:t>)</m:t>
          </m:r>
          <m:r>
            <m:rPr>
              <m:sty m:val="p"/>
            </m:rPr>
            <m:t>+</m:t>
          </m:r>
          <m:sSub>
            <m:e>
              <m:r>
                <m:t>C</m:t>
              </m:r>
            </m:e>
            <m:sub>
              <m:r>
                <m:rPr>
                  <m:nor/>
                  <m:sty m:val="p"/>
                </m:rPr>
                <m:t>safe</m:t>
              </m:r>
            </m:sub>
          </m:sSub>
          <m:r>
            <m:rPr>
              <m:sty m:val="p"/>
            </m:rPr>
            <m:t>(</m:t>
          </m:r>
          <m:r>
            <m:t>x</m:t>
          </m:r>
          <m:r>
            <m:rPr>
              <m:sty m:val="p"/>
            </m:rPr>
            <m:t>)</m:t>
          </m:r>
          <m:r>
            <m:rPr>
              <m:sty m:val="p"/>
            </m:rPr>
            <m:t>,</m:t>
          </m:r>
        </m:oMath>
      </m:oMathPara>
    </w:p>
    <w:p>
      <w:pPr>
        <w:pStyle w:val="FirstParagraph"/>
      </w:pPr>
      <w:r>
        <w:t xml:space="preserve">where</w:t>
      </w:r>
      <w:r>
        <w:t xml:space="preserve"> </w:t>
      </w:r>
      <m:oMath>
        <m:sSub>
          <m:e>
            <m:r>
              <m:t>C</m:t>
            </m:r>
          </m:e>
          <m:sub>
            <m:r>
              <m:rPr>
                <m:nor/>
                <m:sty m:val="p"/>
              </m:rPr>
              <m:t>gen</m:t>
            </m:r>
          </m:sub>
        </m:sSub>
      </m:oMath>
      <w:r>
        <w:t xml:space="preserve"> </w:t>
      </w:r>
      <w:r>
        <w:t xml:space="preserve">is the base generation burden and</w:t>
      </w:r>
      <w:r>
        <w:t xml:space="preserve"> </w:t>
      </w:r>
      <m:oMath>
        <m:sSub>
          <m:e>
            <m:r>
              <m:t>C</m:t>
            </m:r>
          </m:e>
          <m:sub>
            <m:r>
              <m:rPr>
                <m:nor/>
                <m:sty m:val="p"/>
              </m:rPr>
              <m:t>ver</m:t>
            </m:r>
          </m:sub>
        </m:sSub>
      </m:oMath>
      <w:r>
        <w:t xml:space="preserve"> </w:t>
      </w:r>
      <w:r>
        <w:t xml:space="preserve">and</w:t>
      </w:r>
      <w:r>
        <w:t xml:space="preserve"> </w:t>
      </w:r>
      <m:oMath>
        <m:sSub>
          <m:e>
            <m:r>
              <m:t>C</m:t>
            </m:r>
          </m:e>
          <m:sub>
            <m:r>
              <m:rPr>
                <m:nor/>
                <m:sty m:val="p"/>
              </m:rPr>
              <m:t>safe</m:t>
            </m:r>
          </m:sub>
        </m:sSub>
      </m:oMath>
      <w:r>
        <w:t xml:space="preserve"> </w:t>
      </w:r>
      <w:r>
        <w:t xml:space="preserve">capture non-generation overhead from verification and safety processes. Each component may be measured in tokens, latency, or energy; throughout, the unit must be reported together with the serving configuration.</w:t>
      </w:r>
    </w:p>
    <w:bookmarkStart w:id="11" w:name="tab:notation"/>
    <w:p>
      <w:pPr>
        <w:pStyle w:val="TableCaption"/>
      </w:pPr>
      <w:r>
        <w:t xml:space="preserve">Core notation used throughout the paper.</w:t>
      </w:r>
    </w:p>
    <w:tbl>
      <w:tblPr>
        <w:tblStyle w:val="Table"/>
        <w:tblW w:type="auto" w:w="0"/>
        <w:tblLook w:firstRow="1" w:lastRow="0" w:firstColumn="0" w:lastColumn="0" w:noHBand="0" w:noVBand="0" w:val="0020"/>
        <w:tblCaption w:val="Core notation used throughout the paper."/>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t>x</m:t>
              </m:r>
            </m:oMath>
          </w:p>
        </w:tc>
        <w:tc>
          <w:tcPr/>
          <w:p>
            <w:pPr>
              <w:pStyle w:val="Compact"/>
              <w:jc w:val="left"/>
            </w:pPr>
            <w:r>
              <w:t xml:space="preserve">prompt instance</w:t>
            </w:r>
          </w:p>
        </w:tc>
      </w:tr>
      <w:tr>
        <w:tc>
          <w:tcPr/>
          <w:p>
            <w:pPr>
              <w:pStyle w:val="Compact"/>
              <w:jc w:val="left"/>
            </w:pPr>
            <m:oMath>
              <m:sSub>
                <m:e>
                  <m:r>
                    <m:t>C</m:t>
                  </m:r>
                </m:e>
                <m:sub>
                  <m:r>
                    <m:rPr>
                      <m:nor/>
                      <m:sty m:val="p"/>
                    </m:rPr>
                    <m:t>gen</m:t>
                  </m:r>
                </m:sub>
              </m:sSub>
              <m:r>
                <m:rPr>
                  <m:sty m:val="p"/>
                </m:rPr>
                <m:t>(</m:t>
              </m:r>
              <m:r>
                <m:t>x</m:t>
              </m:r>
              <m:r>
                <m:rPr>
                  <m:sty m:val="p"/>
                </m:rPr>
                <m:t>)</m:t>
              </m:r>
            </m:oMath>
          </w:p>
        </w:tc>
        <w:tc>
          <w:tcPr/>
          <w:p>
            <w:pPr>
              <w:pStyle w:val="Compact"/>
              <w:jc w:val="left"/>
            </w:pPr>
            <w:r>
              <w:t xml:space="preserve">base generation burden</w:t>
            </w:r>
          </w:p>
        </w:tc>
      </w:tr>
      <w:tr>
        <w:tc>
          <w:tcPr/>
          <w:p>
            <w:pPr>
              <w:pStyle w:val="Compact"/>
              <w:jc w:val="left"/>
            </w:pPr>
            <m:oMath>
              <m:sSub>
                <m:e>
                  <m:r>
                    <m:t>C</m:t>
                  </m:r>
                </m:e>
                <m:sub>
                  <m:r>
                    <m:rPr>
                      <m:nor/>
                      <m:sty m:val="p"/>
                    </m:rPr>
                    <m:t>ver</m:t>
                  </m:r>
                </m:sub>
              </m:sSub>
              <m:r>
                <m:rPr>
                  <m:sty m:val="p"/>
                </m:rPr>
                <m:t>(</m:t>
              </m:r>
              <m:r>
                <m:t>x</m:t>
              </m:r>
              <m:r>
                <m:rPr>
                  <m:sty m:val="p"/>
                </m:rPr>
                <m:t>)</m:t>
              </m:r>
            </m:oMath>
          </w:p>
        </w:tc>
        <w:tc>
          <w:tcPr/>
          <w:p>
            <w:pPr>
              <w:pStyle w:val="Compact"/>
              <w:jc w:val="left"/>
            </w:pPr>
            <w:r>
              <w:t xml:space="preserve">verification/checking overhead</w:t>
            </w:r>
          </w:p>
        </w:tc>
      </w:tr>
      <w:tr>
        <w:tc>
          <w:tcPr/>
          <w:p>
            <w:pPr>
              <w:pStyle w:val="Compact"/>
              <w:jc w:val="left"/>
            </w:pPr>
            <m:oMath>
              <m:sSub>
                <m:e>
                  <m:r>
                    <m:t>C</m:t>
                  </m:r>
                </m:e>
                <m:sub>
                  <m:r>
                    <m:rPr>
                      <m:nor/>
                      <m:sty m:val="p"/>
                    </m:rPr>
                    <m:t>safe</m:t>
                  </m:r>
                </m:sub>
              </m:sSub>
              <m:r>
                <m:rPr>
                  <m:sty m:val="p"/>
                </m:rPr>
                <m:t>(</m:t>
              </m:r>
              <m:r>
                <m:t>x</m:t>
              </m:r>
              <m:r>
                <m:rPr>
                  <m:sty m:val="p"/>
                </m:rPr>
                <m:t>)</m:t>
              </m:r>
            </m:oMath>
          </w:p>
        </w:tc>
        <w:tc>
          <w:tcPr/>
          <w:p>
            <w:pPr>
              <w:pStyle w:val="Compact"/>
              <w:jc w:val="left"/>
            </w:pPr>
            <w:r>
              <w:t xml:space="preserve">safety/alignment overhead</w:t>
            </w:r>
          </w:p>
        </w:tc>
      </w:tr>
      <w:tr>
        <w:tc>
          <w:tcPr/>
          <w:p>
            <w:pPr>
              <w:pStyle w:val="Compact"/>
              <w:jc w:val="left"/>
            </w:pPr>
            <m:oMath>
              <m:r>
                <m:t>W</m:t>
              </m:r>
              <m:r>
                <m:rPr>
                  <m:sty m:val="p"/>
                </m:rPr>
                <m:t>(</m:t>
              </m:r>
              <m:r>
                <m:t>x</m:t>
              </m:r>
              <m:r>
                <m:rPr>
                  <m:sty m:val="p"/>
                </m:rPr>
                <m:t>)</m:t>
              </m:r>
            </m:oMath>
          </w:p>
        </w:tc>
        <w:tc>
          <w:tcPr/>
          <w:p>
            <w:pPr>
              <w:pStyle w:val="Compact"/>
              <w:jc w:val="left"/>
            </w:pPr>
            <w:r>
              <w:t xml:space="preserve">ambition score (definition below)</w:t>
            </w:r>
          </w:p>
        </w:tc>
      </w:tr>
      <w:tr>
        <w:tc>
          <w:tcPr/>
          <w:p>
            <w:pPr>
              <w:pStyle w:val="Compact"/>
              <w:jc w:val="left"/>
            </w:pPr>
            <m:oMath>
              <m:r>
                <m:t>A</m:t>
              </m:r>
              <m:r>
                <m:t>D</m:t>
              </m:r>
              <m:r>
                <m:rPr>
                  <m:sty m:val="p"/>
                </m:rPr>
                <m:t>(</m:t>
              </m:r>
              <m:r>
                <m:t>x</m:t>
              </m:r>
              <m:r>
                <m:rPr>
                  <m:sty m:val="p"/>
                </m:rPr>
                <m:t>)</m:t>
              </m:r>
            </m:oMath>
          </w:p>
        </w:tc>
        <w:tc>
          <w:tcPr/>
          <w:p>
            <w:pPr>
              <w:pStyle w:val="Compact"/>
              <w:jc w:val="left"/>
            </w:pPr>
            <w:r>
              <w:t xml:space="preserve">algorithmic debt ratio</w:t>
            </w:r>
          </w:p>
        </w:tc>
      </w:tr>
      <w:tr>
        <w:tc>
          <w:tcPr/>
          <w:p>
            <w:pPr>
              <w:pStyle w:val="Compact"/>
              <w:jc w:val="left"/>
            </w:pPr>
            <m:oMath>
              <m:r>
                <m:t>S</m:t>
              </m:r>
              <m:r>
                <m:t>R</m:t>
              </m:r>
              <m:r>
                <m:rPr>
                  <m:sty m:val="p"/>
                </m:rPr>
                <m:t>(</m:t>
              </m:r>
              <m:r>
                <m:t>x</m:t>
              </m:r>
              <m:r>
                <m:rPr>
                  <m:sty m:val="p"/>
                </m:rPr>
                <m:t>)</m:t>
              </m:r>
            </m:oMath>
          </w:p>
        </w:tc>
        <w:tc>
          <w:tcPr/>
          <w:p>
            <w:pPr>
              <w:pStyle w:val="Compact"/>
              <w:jc w:val="left"/>
            </w:pPr>
            <w:r>
              <w:t xml:space="preserve">sequential request burden</w:t>
            </w:r>
          </w:p>
        </w:tc>
      </w:tr>
      <w:tr>
        <w:tc>
          <w:tcPr/>
          <w:p>
            <w:pPr>
              <w:pStyle w:val="Compact"/>
              <w:jc w:val="left"/>
            </w:pPr>
            <m:oMath>
              <m:r>
                <m:t>m</m:t>
              </m:r>
              <m:r>
                <m:rPr>
                  <m:sty m:val="p"/>
                </m:rPr>
                <m:t>(</m:t>
              </m:r>
              <m:r>
                <m:t>x</m:t>
              </m:r>
              <m:r>
                <m:rPr>
                  <m:sty m:val="p"/>
                </m:rPr>
                <m:t>)</m:t>
              </m:r>
            </m:oMath>
          </w:p>
        </w:tc>
        <w:tc>
          <w:tcPr/>
          <w:p>
            <w:pPr>
              <w:pStyle w:val="Compact"/>
              <w:jc w:val="left"/>
            </w:pPr>
            <w:r>
              <w:t xml:space="preserve">number of auxiliary stages</w:t>
            </w:r>
          </w:p>
        </w:tc>
      </w:tr>
    </w:tbl>
    <w:bookmarkEnd w:id="11"/>
    <w:bookmarkEnd w:id="12"/>
    <w:bookmarkStart w:id="13" w:name="ambition-and-algorithmic-debt"/>
    <w:p>
      <w:pPr>
        <w:pStyle w:val="Heading2"/>
      </w:pPr>
      <w:r>
        <w:t xml:space="preserve">Ambition and algorithmic debt</w:t>
      </w:r>
    </w:p>
    <w:p>
      <w:pPr>
        <w:pStyle w:val="FirstParagraph"/>
      </w:pPr>
      <w:r>
        <w:t xml:space="preserve">The ambition (wish complexity) of prompt</w:t>
      </w:r>
      <w:r>
        <w:t xml:space="preserve"> </w:t>
      </w:r>
      <m:oMath>
        <m:r>
          <m:t>x</m:t>
        </m:r>
      </m:oMath>
      <w:r>
        <w:t xml:space="preserve"> </w:t>
      </w:r>
      <w:r>
        <w:t xml:space="preserve">is</w:t>
      </w:r>
    </w:p>
    <w:p>
      <w:pPr>
        <w:pStyle w:val="BodyText"/>
      </w:pPr>
      <m:oMathPara>
        <m:oMathParaPr>
          <m:jc m:val="center"/>
        </m:oMathParaPr>
        <m:oMath>
          <m:r>
            <m:t>W</m:t>
          </m:r>
          <m:r>
            <m:rPr>
              <m:sty m:val="p"/>
            </m:rPr>
            <m:t>(</m:t>
          </m:r>
          <m:r>
            <m:t>x</m:t>
          </m:r>
          <m:r>
            <m:rPr>
              <m:sty m:val="p"/>
            </m:rPr>
            <m:t>)</m:t>
          </m:r>
          <m:r>
            <m:rPr>
              <m:sty m:val="p"/>
            </m:rPr>
            <m:t>=</m:t>
          </m:r>
          <m:r>
            <m:t>α</m:t>
          </m:r>
          <m:r>
            <m:t>L</m:t>
          </m:r>
          <m:r>
            <m:rPr>
              <m:sty m:val="p"/>
            </m:rPr>
            <m:t>(</m:t>
          </m:r>
          <m:r>
            <m:t>x</m:t>
          </m:r>
          <m:r>
            <m:rPr>
              <m:sty m:val="p"/>
            </m:rPr>
            <m:t>)</m:t>
          </m:r>
          <m:r>
            <m:rPr>
              <m:sty m:val="p"/>
            </m:rPr>
            <m:t>+</m:t>
          </m:r>
          <m:r>
            <m:t>β</m:t>
          </m:r>
          <m:r>
            <m:t>D</m:t>
          </m:r>
          <m:r>
            <m:rPr>
              <m:sty m:val="p"/>
            </m:rPr>
            <m:t>(</m:t>
          </m:r>
          <m:r>
            <m:t>x</m:t>
          </m:r>
          <m:r>
            <m:rPr>
              <m:sty m:val="p"/>
            </m:rPr>
            <m:t>)</m:t>
          </m:r>
          <m:r>
            <m:rPr>
              <m:sty m:val="p"/>
            </m:rPr>
            <m:t>+</m:t>
          </m:r>
          <m:r>
            <m:t>γ</m:t>
          </m:r>
          <m:r>
            <m:t>B</m:t>
          </m:r>
          <m:r>
            <m:rPr>
              <m:sty m:val="p"/>
            </m:rPr>
            <m:t>(</m:t>
          </m:r>
          <m:r>
            <m:t>x</m:t>
          </m:r>
          <m:r>
            <m:rPr>
              <m:sty m:val="p"/>
            </m:rPr>
            <m:t>)</m:t>
          </m:r>
          <m:r>
            <m:rPr>
              <m:sty m:val="p"/>
            </m:rPr>
            <m:t>+</m:t>
          </m:r>
          <m:r>
            <m:t>δ</m:t>
          </m:r>
          <m:r>
            <m:t>R</m:t>
          </m:r>
          <m:r>
            <m:rPr>
              <m:sty m:val="p"/>
            </m:rPr>
            <m:t>(</m:t>
          </m:r>
          <m:r>
            <m:t>x</m:t>
          </m:r>
          <m:r>
            <m:rPr>
              <m:sty m:val="p"/>
            </m:rPr>
            <m:t>)</m:t>
          </m:r>
          <m:r>
            <m:rPr>
              <m:sty m:val="p"/>
            </m:rPr>
            <m:t>,</m:t>
          </m:r>
        </m:oMath>
      </m:oMathPara>
    </w:p>
    <w:p>
      <w:pPr>
        <w:pStyle w:val="FirstParagraph"/>
      </w:pPr>
      <w:r>
        <w:t xml:space="preserve">where</w:t>
      </w:r>
      <w:r>
        <w:t xml:space="preserve"> </w:t>
      </w:r>
      <m:oMath>
        <m:r>
          <m:t>L</m:t>
        </m:r>
      </m:oMath>
      <w:r>
        <w:t xml:space="preserve"> </w:t>
      </w:r>
      <w:r>
        <w:t xml:space="preserve">is normalized input length,</w:t>
      </w:r>
      <w:r>
        <w:t xml:space="preserve"> </w:t>
      </w:r>
      <m:oMath>
        <m:r>
          <m:t>D</m:t>
        </m:r>
      </m:oMath>
      <w:r>
        <w:t xml:space="preserve"> </w:t>
      </w:r>
      <w:r>
        <w:t xml:space="preserve">is reasoning depth,</w:t>
      </w:r>
      <w:r>
        <w:t xml:space="preserve"> </w:t>
      </w:r>
      <m:oMath>
        <m:r>
          <m:t>B</m:t>
        </m:r>
      </m:oMath>
      <w:r>
        <w:t xml:space="preserve"> </w:t>
      </w:r>
      <w:r>
        <w:t xml:space="preserve">is conceptual breadth, and</w:t>
      </w:r>
      <w:r>
        <w:t xml:space="preserve"> </w:t>
      </w:r>
      <m:oMath>
        <m:r>
          <m:t>R</m:t>
        </m:r>
      </m:oMath>
      <w:r>
        <w:t xml:space="preserve"> </w:t>
      </w:r>
      <w:r>
        <w:t xml:space="preserve">is safety sensitivity.</w:t>
      </w:r>
    </w:p>
    <w:p>
      <w:pPr>
        <w:pStyle w:val="BodyText"/>
      </w:pPr>
      <w:r>
        <w:t xml:space="preserve">Define the algorithmic debt ratio as</w:t>
      </w:r>
    </w:p>
    <w:p>
      <w:pPr>
        <w:pStyle w:val="BodyText"/>
      </w:pPr>
      <m:oMathPara>
        <m:oMathParaPr>
          <m:jc m:val="center"/>
        </m:oMathParaPr>
        <m:oMath>
          <m:r>
            <m:t>A</m:t>
          </m:r>
          <m:r>
            <m:t>D</m:t>
          </m:r>
          <m:r>
            <m:rPr>
              <m:sty m:val="p"/>
            </m:rPr>
            <m:t>(</m:t>
          </m:r>
          <m:r>
            <m:t>x</m:t>
          </m:r>
          <m:r>
            <m:rPr>
              <m:sty m:val="p"/>
            </m:rPr>
            <m:t>)</m:t>
          </m:r>
          <m:r>
            <m:rPr>
              <m:sty m:val="p"/>
            </m:rPr>
            <m:t>=</m:t>
          </m:r>
          <m:f>
            <m:fPr>
              <m:type m:val="bar"/>
            </m:fPr>
            <m:num>
              <m:sSub>
                <m:e>
                  <m:r>
                    <m:t>C</m:t>
                  </m:r>
                </m:e>
                <m:sub>
                  <m:r>
                    <m:rPr>
                      <m:nor/>
                      <m:sty m:val="p"/>
                    </m:rPr>
                    <m:t>ver</m:t>
                  </m:r>
                </m:sub>
              </m:sSub>
              <m:r>
                <m:rPr>
                  <m:sty m:val="p"/>
                </m:rPr>
                <m:t>(</m:t>
              </m:r>
              <m:r>
                <m:t>x</m:t>
              </m:r>
              <m:r>
                <m:rPr>
                  <m:sty m:val="p"/>
                </m:rPr>
                <m:t>)</m:t>
              </m:r>
              <m:r>
                <m:rPr>
                  <m:sty m:val="p"/>
                </m:rPr>
                <m:t>+</m:t>
              </m:r>
              <m:sSub>
                <m:e>
                  <m:r>
                    <m:t>C</m:t>
                  </m:r>
                </m:e>
                <m:sub>
                  <m:r>
                    <m:rPr>
                      <m:nor/>
                      <m:sty m:val="p"/>
                    </m:rPr>
                    <m:t>safe</m:t>
                  </m:r>
                </m:sub>
              </m:sSub>
              <m:r>
                <m:rPr>
                  <m:sty m:val="p"/>
                </m:rPr>
                <m:t>(</m:t>
              </m:r>
              <m:r>
                <m:t>x</m:t>
              </m:r>
              <m:r>
                <m:rPr>
                  <m:sty m:val="p"/>
                </m:rPr>
                <m:t>)</m:t>
              </m:r>
            </m:num>
            <m:den>
              <m:sSub>
                <m:e>
                  <m:r>
                    <m:t>C</m:t>
                  </m:r>
                </m:e>
                <m:sub>
                  <m:r>
                    <m:rPr>
                      <m:nor/>
                      <m:sty m:val="p"/>
                    </m:rPr>
                    <m:t>gen</m:t>
                  </m:r>
                </m:sub>
              </m:sSub>
              <m:r>
                <m:rPr>
                  <m:sty m:val="p"/>
                </m:rPr>
                <m:t>(</m:t>
              </m:r>
              <m:r>
                <m:t>x</m:t>
              </m:r>
              <m:r>
                <m:rPr>
                  <m:sty m:val="p"/>
                </m:rPr>
                <m:t>)</m:t>
              </m:r>
              <m:r>
                <m:rPr>
                  <m:sty m:val="p"/>
                </m:rPr>
                <m:t>+</m:t>
              </m:r>
              <m:r>
                <m:t>ε</m:t>
              </m:r>
            </m:den>
          </m:f>
          <m:r>
            <m:rPr>
              <m:sty m:val="p"/>
            </m:rPr>
            <m:t>,</m:t>
          </m:r>
        </m:oMath>
      </m:oMathPara>
    </w:p>
    <w:p>
      <w:pPr>
        <w:pStyle w:val="FirstParagraph"/>
      </w:pPr>
      <w:r>
        <w:t xml:space="preserve">for a small</w:t>
      </w:r>
      <w:r>
        <w:t xml:space="preserve"> </w:t>
      </w:r>
      <m:oMath>
        <m:r>
          <m:t>ε</m:t>
        </m:r>
        <m:r>
          <m:rPr>
            <m:sty m:val="p"/>
          </m:rPr>
          <m:t>&gt;</m:t>
        </m:r>
        <m:r>
          <m:t>0</m:t>
        </m:r>
      </m:oMath>
      <w:r>
        <w:t xml:space="preserve">.</w:t>
      </w:r>
    </w:p>
    <w:p>
      <w:pPr>
        <w:pStyle w:val="BodyText"/>
      </w:pPr>
      <w:r>
        <w:t xml:space="preserve">Let</w:t>
      </w:r>
      <w:r>
        <w:t xml:space="preserve"> </w:t>
      </w:r>
      <m:oMath>
        <m:r>
          <m:t>m</m:t>
        </m:r>
        <m:r>
          <m:rPr>
            <m:sty m:val="p"/>
          </m:rPr>
          <m:t>(</m:t>
        </m:r>
        <m:r>
          <m:t>x</m:t>
        </m:r>
        <m:r>
          <m:rPr>
            <m:sty m:val="p"/>
          </m:rPr>
          <m:t>)</m:t>
        </m:r>
      </m:oMath>
      <w:r>
        <w:t xml:space="preserve"> </w:t>
      </w:r>
      <w:r>
        <w:t xml:space="preserve">be the number of auxiliary checks, clarification rounds, or guardrail stages required before a response is accepted. The sequential request burden is</w:t>
      </w:r>
    </w:p>
    <w:p>
      <w:pPr>
        <w:pStyle w:val="BodyText"/>
      </w:pPr>
      <m:oMathPara>
        <m:oMathParaPr>
          <m:jc m:val="center"/>
        </m:oMathParaPr>
        <m:oMath>
          <m:r>
            <m:t>S</m:t>
          </m:r>
          <m:r>
            <m:t>R</m:t>
          </m:r>
          <m:r>
            <m:rPr>
              <m:sty m:val="p"/>
            </m:rPr>
            <m:t>(</m:t>
          </m:r>
          <m:r>
            <m:t>x</m:t>
          </m:r>
          <m:r>
            <m:rPr>
              <m:sty m:val="p"/>
            </m:rPr>
            <m:t>)</m:t>
          </m:r>
          <m:r>
            <m:rPr>
              <m:sty m:val="p"/>
            </m:rPr>
            <m:t>=</m:t>
          </m:r>
          <m:nary>
            <m:naryPr>
              <m:chr m:val="∑"/>
              <m:limLoc m:val="undOvr"/>
              <m:subHide m:val="off"/>
              <m:supHide m:val="off"/>
            </m:naryPr>
            <m:sub>
              <m:r>
                <m:t>s</m:t>
              </m:r>
              <m:r>
                <m:rPr>
                  <m:sty m:val="p"/>
                </m:rPr>
                <m:t>=</m:t>
              </m:r>
              <m:r>
                <m:t>1</m:t>
              </m:r>
            </m:sub>
            <m:sup>
              <m:r>
                <m:t>m</m:t>
              </m:r>
              <m:r>
                <m:rPr>
                  <m:sty m:val="p"/>
                </m:rPr>
                <m:t>(</m:t>
              </m:r>
              <m:r>
                <m:t>x</m:t>
              </m:r>
              <m:r>
                <m:rPr>
                  <m:sty m:val="p"/>
                </m:rPr>
                <m:t>)</m:t>
              </m:r>
            </m:sup>
            <m:e>
              <m:sSub>
                <m:e>
                  <m:r>
                    <m:t>c</m:t>
                  </m:r>
                </m:e>
                <m:sub>
                  <m:r>
                    <m:t>s</m:t>
                  </m:r>
                </m:sub>
              </m:sSub>
            </m:e>
          </m:nary>
          <m:r>
            <m:rPr>
              <m:sty m:val="p"/>
            </m:rPr>
            <m:t>(</m:t>
          </m:r>
          <m:r>
            <m:t>x</m:t>
          </m:r>
          <m:r>
            <m:rPr>
              <m:sty m:val="p"/>
            </m:rPr>
            <m:t>)</m:t>
          </m:r>
          <m:r>
            <m:rPr>
              <m:sty m:val="p"/>
            </m:rPr>
            <m:t>,</m:t>
          </m:r>
        </m:oMath>
      </m:oMathPara>
    </w:p>
    <w:p>
      <w:pPr>
        <w:pStyle w:val="FirstParagraph"/>
      </w:pPr>
      <w:r>
        <w:t xml:space="preserve">where</w:t>
      </w:r>
      <w:r>
        <w:t xml:space="preserve"> </w:t>
      </w:r>
      <m:oMath>
        <m:sSub>
          <m:e>
            <m:r>
              <m:t>c</m:t>
            </m:r>
          </m:e>
          <m:sub>
            <m:r>
              <m:t>s</m:t>
            </m:r>
          </m:sub>
        </m:sSub>
        <m:r>
          <m:rPr>
            <m:sty m:val="p"/>
          </m:rPr>
          <m:t>(</m:t>
        </m:r>
        <m:r>
          <m:t>x</m:t>
        </m:r>
        <m:r>
          <m:rPr>
            <m:sty m:val="p"/>
          </m:rPr>
          <m:t>)</m:t>
        </m:r>
      </m:oMath>
      <w:r>
        <w:t xml:space="preserve"> </w:t>
      </w:r>
      <w:r>
        <w:t xml:space="preserve">is the measured cost of stage</w:t>
      </w:r>
      <w:r>
        <w:t xml:space="preserve"> </w:t>
      </w:r>
      <m:oMath>
        <m:r>
          <m:t>s</m:t>
        </m:r>
      </m:oMath>
      <w:r>
        <w:t xml:space="preserve"> </w:t>
      </w:r>
      <w:r>
        <w:t xml:space="preserve">in the chosen unit.</w:t>
      </w:r>
    </w:p>
    <w:p>
      <w:pPr>
        <w:pStyle w:val="BodyText"/>
      </w:pPr>
      <w:r>
        <w:t xml:space="preserve">Within a fixed serving configuration, define the marginal debt elasticity of ambition as</w:t>
      </w:r>
    </w:p>
    <w:p>
      <w:pPr>
        <w:pStyle w:val="BodyText"/>
      </w:pPr>
      <m:oMathPara>
        <m:oMathParaPr>
          <m:jc m:val="center"/>
        </m:oMathParaPr>
        <m:oMath>
          <m:sSub>
            <m:e>
              <m:r>
                <m:rPr>
                  <m:scr m:val="script"/>
                  <m:sty m:val="p"/>
                </m:rPr>
                <m:t>E</m:t>
              </m:r>
            </m:e>
            <m:sub>
              <m:r>
                <m:t>A</m:t>
              </m:r>
              <m:r>
                <m:t>D</m:t>
              </m:r>
              <m:r>
                <m:rPr>
                  <m:sty m:val="p"/>
                </m:rPr>
                <m:t>,</m:t>
              </m:r>
              <m:r>
                <m:t>W</m:t>
              </m:r>
            </m:sub>
          </m:sSub>
          <m:r>
            <m:rPr>
              <m:sty m:val="p"/>
            </m:rPr>
            <m:t>(</m:t>
          </m:r>
          <m:r>
            <m:t>x</m:t>
          </m:r>
          <m:r>
            <m:rPr>
              <m:sty m:val="p"/>
            </m:rPr>
            <m:t>)</m:t>
          </m:r>
          <m:r>
            <m:rPr>
              <m:sty m:val="p"/>
            </m:rPr>
            <m:t>=</m:t>
          </m:r>
          <m:f>
            <m:fPr>
              <m:type m:val="bar"/>
            </m:fPr>
            <m:num>
              <m:r>
                <m:rPr>
                  <m:sty m:val="p"/>
                </m:rPr>
                <m:t>∂</m:t>
              </m:r>
              <m:r>
                <m:rPr>
                  <m:sty m:val="p"/>
                </m:rPr>
                <m:t>log</m:t>
              </m:r>
              <m:r>
                <m:rPr>
                  <m:sty m:val="p"/>
                </m:rPr>
                <m:t>(</m:t>
              </m:r>
              <m:r>
                <m:t>A</m:t>
              </m:r>
              <m:r>
                <m:t>D</m:t>
              </m:r>
              <m:r>
                <m:rPr>
                  <m:sty m:val="p"/>
                </m:rPr>
                <m:t>(</m:t>
              </m:r>
              <m:r>
                <m:t>x</m:t>
              </m:r>
              <m:r>
                <m:rPr>
                  <m:sty m:val="p"/>
                </m:rPr>
                <m:t>)</m:t>
              </m:r>
              <m:r>
                <m:rPr>
                  <m:sty m:val="p"/>
                </m:rPr>
                <m:t>+</m:t>
              </m:r>
              <m:r>
                <m:t>1</m:t>
              </m:r>
              <m:r>
                <m:rPr>
                  <m:sty m:val="p"/>
                </m:rPr>
                <m:t>)</m:t>
              </m:r>
            </m:num>
            <m:den>
              <m:r>
                <m:rPr>
                  <m:sty m:val="p"/>
                </m:rPr>
                <m:t>∂</m:t>
              </m:r>
              <m:r>
                <m:rPr>
                  <m:sty m:val="p"/>
                </m:rPr>
                <m:t>log</m:t>
              </m:r>
              <m:r>
                <m:rPr>
                  <m:sty m:val="p"/>
                </m:rPr>
                <m:t>(</m:t>
              </m:r>
              <m:r>
                <m:t>W</m:t>
              </m:r>
              <m:r>
                <m:rPr>
                  <m:sty m:val="p"/>
                </m:rPr>
                <m:t>(</m:t>
              </m:r>
              <m:r>
                <m:t>x</m:t>
              </m:r>
              <m:r>
                <m:rPr>
                  <m:sty m:val="p"/>
                </m:rPr>
                <m:t>)</m:t>
              </m:r>
              <m:r>
                <m:rPr>
                  <m:sty m:val="p"/>
                </m:rPr>
                <m:t>+</m:t>
              </m:r>
              <m:r>
                <m:t>1</m:t>
              </m:r>
              <m:r>
                <m:rPr>
                  <m:sty m:val="p"/>
                </m:rPr>
                <m:t>)</m:t>
              </m:r>
            </m:den>
          </m:f>
          <m:r>
            <m:rPr>
              <m:sty m:val="p"/>
            </m:rPr>
            <m:t>.</m:t>
          </m:r>
        </m:oMath>
      </m:oMathPara>
    </w:p>
    <w:p>
      <w:pPr>
        <w:pStyle w:val="FirstParagraph"/>
      </w:pPr>
      <w:r>
        <w:t xml:space="preserve">This quantity distinguishes systems in which additional ambition produces roughly proportional overhead from systems in which overhead accelerates sharply.</w:t>
      </w:r>
    </w:p>
    <w:bookmarkEnd w:id="13"/>
    <w:bookmarkStart w:id="14" w:name="assumptions-measurement"/>
    <w:p>
      <w:pPr>
        <w:pStyle w:val="Heading2"/>
      </w:pPr>
      <w:r>
        <w:t xml:space="preserve">Assumptions (measurement)</w:t>
      </w:r>
    </w:p>
    <w:p>
      <w:pPr>
        <w:pStyle w:val="FirstParagraph"/>
      </w:pPr>
      <w:r>
        <w:t xml:space="preserve">Our goal is not to assert a mechanistic model of serving stacks, but to define estimands that can be measured under a declared protocol. We assume:</w:t>
      </w:r>
    </w:p>
    <w:p>
      <w:pPr>
        <w:numPr>
          <w:ilvl w:val="0"/>
          <w:numId w:val="1002"/>
        </w:numPr>
      </w:pPr>
      <w:r>
        <w:rPr>
          <w:b/>
          <w:bCs/>
        </w:rPr>
        <w:t xml:space="preserve">Cost separability:</w:t>
      </w:r>
      <w:r>
        <w:t xml:space="preserve"> </w:t>
      </w:r>
      <m:oMath>
        <m:sSub>
          <m:e>
            <m:r>
              <m:t>C</m:t>
            </m:r>
          </m:e>
          <m:sub>
            <m:r>
              <m:rPr>
                <m:nor/>
                <m:sty m:val="p"/>
              </m:rPr>
              <m:t>gen</m:t>
            </m:r>
          </m:sub>
        </m:sSub>
      </m:oMath>
      <w:r>
        <w:t xml:space="preserve">,</w:t>
      </w:r>
      <w:r>
        <w:t xml:space="preserve"> </w:t>
      </w:r>
      <m:oMath>
        <m:sSub>
          <m:e>
            <m:r>
              <m:t>C</m:t>
            </m:r>
          </m:e>
          <m:sub>
            <m:r>
              <m:rPr>
                <m:nor/>
                <m:sty m:val="p"/>
              </m:rPr>
              <m:t>ver</m:t>
            </m:r>
          </m:sub>
        </m:sSub>
      </m:oMath>
      <w:r>
        <w:t xml:space="preserve">, and</w:t>
      </w:r>
      <w:r>
        <w:t xml:space="preserve"> </w:t>
      </w:r>
      <m:oMath>
        <m:sSub>
          <m:e>
            <m:r>
              <m:t>C</m:t>
            </m:r>
          </m:e>
          <m:sub>
            <m:r>
              <m:rPr>
                <m:nor/>
                <m:sty m:val="p"/>
              </m:rPr>
              <m:t>safe</m:t>
            </m:r>
          </m:sub>
        </m:sSub>
      </m:oMath>
      <w:r>
        <w:t xml:space="preserve"> </w:t>
      </w:r>
      <w:r>
        <w:t xml:space="preserve">can be estimated from logs with acceptable measurement error.</w:t>
      </w:r>
    </w:p>
    <w:p>
      <w:pPr>
        <w:numPr>
          <w:ilvl w:val="0"/>
          <w:numId w:val="1002"/>
        </w:numPr>
      </w:pPr>
      <w:r>
        <w:rPr>
          <w:b/>
          <w:bCs/>
        </w:rPr>
        <w:t xml:space="preserve">Ambition heterogeneity:</w:t>
      </w:r>
      <w:r>
        <w:t xml:space="preserve"> </w:t>
      </w:r>
      <w:r>
        <w:t xml:space="preserve">prompts of comparable length can vary materially in</w:t>
      </w:r>
      <w:r>
        <w:t xml:space="preserve"> </w:t>
      </w:r>
      <m:oMath>
        <m:r>
          <m:t>D</m:t>
        </m:r>
        <m:r>
          <m:rPr>
            <m:sty m:val="p"/>
          </m:rPr>
          <m:t>(</m:t>
        </m:r>
        <m:r>
          <m:t>x</m:t>
        </m:r>
        <m:r>
          <m:rPr>
            <m:sty m:val="p"/>
          </m:rPr>
          <m:t>)</m:t>
        </m:r>
      </m:oMath>
      <w:r>
        <w:t xml:space="preserve">,</w:t>
      </w:r>
      <w:r>
        <w:t xml:space="preserve"> </w:t>
      </w:r>
      <m:oMath>
        <m:r>
          <m:t>B</m:t>
        </m:r>
        <m:r>
          <m:rPr>
            <m:sty m:val="p"/>
          </m:rPr>
          <m:t>(</m:t>
        </m:r>
        <m:r>
          <m:t>x</m:t>
        </m:r>
        <m:r>
          <m:rPr>
            <m:sty m:val="p"/>
          </m:rPr>
          <m:t>)</m:t>
        </m:r>
      </m:oMath>
      <w:r>
        <w:t xml:space="preserve">, and</w:t>
      </w:r>
      <w:r>
        <w:t xml:space="preserve"> </w:t>
      </w:r>
      <m:oMath>
        <m:r>
          <m:t>R</m:t>
        </m:r>
        <m:r>
          <m:rPr>
            <m:sty m:val="p"/>
          </m:rPr>
          <m:t>(</m:t>
        </m:r>
        <m:r>
          <m:t>x</m:t>
        </m:r>
        <m:r>
          <m:rPr>
            <m:sty m:val="p"/>
          </m:rPr>
          <m:t>)</m:t>
        </m:r>
      </m:oMath>
      <w:r>
        <w:t xml:space="preserve">.</w:t>
      </w:r>
    </w:p>
    <w:p>
      <w:pPr>
        <w:numPr>
          <w:ilvl w:val="0"/>
          <w:numId w:val="1002"/>
        </w:numPr>
      </w:pPr>
      <w:r>
        <w:rPr>
          <w:b/>
          <w:bCs/>
        </w:rPr>
        <w:t xml:space="preserve">Operational relevance:</w:t>
      </w:r>
      <w:r>
        <w:t xml:space="preserve"> </w:t>
      </w:r>
      <w:r>
        <w:t xml:space="preserve">non-generation overhead is reflected in observable cost units (latency, energy, or auxiliary-token additions) rather than only in internal bookkeeping.</w:t>
      </w:r>
    </w:p>
    <w:bookmarkEnd w:id="14"/>
    <w:bookmarkStart w:id="15" w:name="primary-estimand-and-hypothesis"/>
    <w:p>
      <w:pPr>
        <w:pStyle w:val="Heading2"/>
      </w:pPr>
      <w:r>
        <w:t xml:space="preserve">Primary estimand and hypothesis</w:t>
      </w:r>
    </w:p>
    <w:p>
      <w:pPr>
        <w:pStyle w:val="FirstParagraph"/>
      </w:pPr>
      <w:r>
        <w:t xml:space="preserve">The primary estimand is the association between ambition and debt under length control. Concretely, within narrow length strata (or with an explicit length covariate), we estimate the slope</w:t>
      </w:r>
    </w:p>
    <w:p>
      <w:pPr>
        <w:pStyle w:val="BodyText"/>
      </w:pPr>
      <m:oMathPara>
        <m:oMathParaPr>
          <m:jc m:val="center"/>
        </m:oMathParaPr>
        <m:oMath>
          <m:sSub>
            <m:e>
              <m:r>
                <m:t>T</m:t>
              </m:r>
            </m:e>
            <m:sub>
              <m:r>
                <m:t>A</m:t>
              </m:r>
            </m:sub>
          </m:sSub>
          <m:r>
            <m:rPr>
              <m:sty m:val="p"/>
            </m:rPr>
            <m:t>=</m:t>
          </m:r>
          <m:sSub>
            <m:e>
              <m:acc>
                <m:accPr>
                  <m:chr m:val="̂"/>
                </m:accPr>
                <m:e>
                  <m:r>
                    <m:t>β</m:t>
                  </m:r>
                </m:e>
              </m:acc>
            </m:e>
            <m:sub>
              <m:r>
                <m:t>W</m:t>
              </m:r>
              <m:r>
                <m:rPr>
                  <m:sty m:val="p"/>
                </m:rPr>
                <m:t>→</m:t>
              </m:r>
              <m:r>
                <m:t>A</m:t>
              </m:r>
              <m:r>
                <m:t>D</m:t>
              </m:r>
            </m:sub>
          </m:sSub>
          <m:r>
            <m:rPr>
              <m:sty m:val="p"/>
            </m:rPr>
            <m:t>.</m:t>
          </m:r>
        </m:oMath>
      </m:oMathPara>
    </w:p>
    <w:p>
      <w:pPr>
        <w:pStyle w:val="FirstParagraph"/>
      </w:pPr>
      <w:r>
        <w:t xml:space="preserve">The null hypothesis is</w:t>
      </w:r>
      <w:r>
        <w:t xml:space="preserve"> </w:t>
      </w:r>
      <m:oMath>
        <m:sSub>
          <m:e>
            <m:r>
              <m:t>T</m:t>
            </m:r>
          </m:e>
          <m:sub>
            <m:r>
              <m:t>A</m:t>
            </m:r>
          </m:sub>
        </m:sSub>
        <m:r>
          <m:rPr>
            <m:sty m:val="p"/>
          </m:rPr>
          <m:t>≤</m:t>
        </m:r>
        <m:r>
          <m:t>0</m:t>
        </m:r>
      </m:oMath>
      <w:r>
        <w:t xml:space="preserve">, i.e., after controlling for length, ambition does not predict additional non-generation overhead.</w:t>
      </w:r>
    </w:p>
    <w:p>
      <w:pPr>
        <w:pStyle w:val="BodyText"/>
      </w:pPr>
      <w:r>
        <w:t xml:space="preserve">An operational regression form is</w:t>
      </w:r>
    </w:p>
    <w:p>
      <w:pPr>
        <w:pStyle w:val="BodyText"/>
      </w:pPr>
      <m:oMathPara>
        <m:oMathParaPr>
          <m:jc m:val="center"/>
        </m:oMathParaPr>
        <m:oMath>
          <m:r>
            <m:t>A</m:t>
          </m:r>
          <m:r>
            <m:t>D</m:t>
          </m:r>
          <m:r>
            <m:rPr>
              <m:sty m:val="p"/>
            </m:rPr>
            <m:t>(</m:t>
          </m:r>
          <m:r>
            <m:t>x</m:t>
          </m:r>
          <m:r>
            <m:rPr>
              <m:sty m:val="p"/>
            </m:rPr>
            <m:t>)</m:t>
          </m:r>
          <m:r>
            <m:rPr>
              <m:sty m:val="p"/>
            </m:rPr>
            <m:t>=</m:t>
          </m:r>
          <m:sSub>
            <m:e>
              <m:r>
                <m:t>β</m:t>
              </m:r>
            </m:e>
            <m:sub>
              <m:r>
                <m:t>0</m:t>
              </m:r>
            </m:sub>
          </m:sSub>
          <m:r>
            <m:rPr>
              <m:sty m:val="p"/>
            </m:rPr>
            <m:t>+</m:t>
          </m:r>
          <m:sSub>
            <m:e>
              <m:r>
                <m:t>β</m:t>
              </m:r>
            </m:e>
            <m:sub>
              <m:r>
                <m:t>1</m:t>
              </m:r>
            </m:sub>
          </m:sSub>
          <m:r>
            <m:t>W</m:t>
          </m:r>
          <m:r>
            <m:rPr>
              <m:sty m:val="p"/>
            </m:rPr>
            <m:t>(</m:t>
          </m:r>
          <m:r>
            <m:t>x</m:t>
          </m:r>
          <m:r>
            <m:rPr>
              <m:sty m:val="p"/>
            </m:rPr>
            <m:t>)</m:t>
          </m:r>
          <m:r>
            <m:rPr>
              <m:sty m:val="p"/>
            </m:rPr>
            <m:t>+</m:t>
          </m:r>
          <m:sSub>
            <m:e>
              <m:r>
                <m:t>β</m:t>
              </m:r>
            </m:e>
            <m:sub>
              <m:r>
                <m:t>2</m:t>
              </m:r>
            </m:sub>
          </m:sSub>
          <m:r>
            <m:t>L</m:t>
          </m:r>
          <m:r>
            <m:rPr>
              <m:sty m:val="p"/>
            </m:rPr>
            <m:t>(</m:t>
          </m:r>
          <m:r>
            <m:t>x</m:t>
          </m:r>
          <m:r>
            <m:rPr>
              <m:sty m:val="p"/>
            </m:rPr>
            <m:t>)</m:t>
          </m:r>
          <m:r>
            <m:rPr>
              <m:sty m:val="p"/>
            </m:rPr>
            <m:t>+</m:t>
          </m:r>
          <m:sSub>
            <m:e>
              <m:r>
                <m:t>β</m:t>
              </m:r>
            </m:e>
            <m:sub>
              <m:r>
                <m:t>3</m:t>
              </m:r>
            </m:sub>
          </m:sSub>
          <m:r>
            <m:t>Z</m:t>
          </m:r>
          <m:r>
            <m:rPr>
              <m:sty m:val="p"/>
            </m:rPr>
            <m:t>(</m:t>
          </m:r>
          <m:r>
            <m:t>x</m:t>
          </m:r>
          <m:r>
            <m:rPr>
              <m:sty m:val="p"/>
            </m:rPr>
            <m:t>)</m:t>
          </m:r>
          <m:r>
            <m:rPr>
              <m:sty m:val="p"/>
            </m:rPr>
            <m:t>+</m:t>
          </m:r>
          <m:sSub>
            <m:e>
              <m:r>
                <m:t>ε</m:t>
              </m:r>
            </m:e>
            <m:sub>
              <m:r>
                <m:t>x</m:t>
              </m:r>
            </m:sub>
          </m:sSub>
          <m:r>
            <m:rPr>
              <m:sty m:val="p"/>
            </m:rPr>
            <m:t>,</m:t>
          </m:r>
        </m:oMath>
      </m:oMathPara>
    </w:p>
    <w:p>
      <w:pPr>
        <w:pStyle w:val="FirstParagraph"/>
      </w:pPr>
      <w:r>
        <w:t xml:space="preserve">where</w:t>
      </w:r>
      <w:r>
        <w:t xml:space="preserve"> </w:t>
      </w:r>
      <m:oMath>
        <m:r>
          <m:t>Z</m:t>
        </m:r>
        <m:r>
          <m:rPr>
            <m:sty m:val="p"/>
          </m:rPr>
          <m:t>(</m:t>
        </m:r>
        <m:r>
          <m:t>x</m:t>
        </m:r>
        <m:r>
          <m:rPr>
            <m:sty m:val="p"/>
          </m:rPr>
          <m:t>)</m:t>
        </m:r>
      </m:oMath>
      <w:r>
        <w:t xml:space="preserve"> </w:t>
      </w:r>
      <w:r>
        <w:t xml:space="preserve">collects declared confounds such as domain, retrieval dependence, or policy mode. The core empirical question is whether</w:t>
      </w:r>
      <w:r>
        <w:t xml:space="preserve"> </w:t>
      </w:r>
      <m:oMath>
        <m:sSub>
          <m:e>
            <m:r>
              <m:t>β</m:t>
            </m:r>
          </m:e>
          <m:sub>
            <m:r>
              <m:t>1</m:t>
            </m:r>
          </m:sub>
        </m:sSub>
      </m:oMath>
      <w:r>
        <w:t xml:space="preserve"> </w:t>
      </w:r>
      <w:r>
        <w:t xml:space="preserve">remains positive after these adjustments.</w:t>
      </w:r>
    </w:p>
    <w:bookmarkEnd w:id="15"/>
    <w:bookmarkStart w:id="16" w:name="secondary-estimands"/>
    <w:p>
      <w:pPr>
        <w:pStyle w:val="Heading2"/>
      </w:pPr>
      <w:r>
        <w:t xml:space="preserve">Secondary estimands</w:t>
      </w:r>
    </w:p>
    <w:p>
      <w:pPr>
        <w:pStyle w:val="FirstParagraph"/>
      </w:pPr>
      <w:r>
        <w:t xml:space="preserve">Two secondary quantities matter for interpretation. First, we estimate stage-share ratios</w:t>
      </w:r>
    </w:p>
    <w:p>
      <w:pPr>
        <w:pStyle w:val="BodyText"/>
      </w:pPr>
      <m:oMathPara>
        <m:oMathParaPr>
          <m:jc m:val="center"/>
        </m:oMathParaPr>
        <m:oMath>
          <m:sSub>
            <m:e>
              <m:r>
                <m:t>ρ</m:t>
              </m:r>
            </m:e>
            <m:sub>
              <m:r>
                <m:rPr>
                  <m:sty m:val="p"/>
                </m:rPr>
                <m:t>v</m:t>
              </m:r>
              <m:r>
                <m:rPr>
                  <m:sty m:val="p"/>
                </m:rPr>
                <m:t>e</m:t>
              </m:r>
              <m:r>
                <m:rPr>
                  <m:sty m:val="p"/>
                </m:rPr>
                <m:t>r</m:t>
              </m:r>
            </m:sub>
          </m:sSub>
          <m:r>
            <m:rPr>
              <m:sty m:val="p"/>
            </m:rPr>
            <m:t>(</m:t>
          </m:r>
          <m:r>
            <m:t>x</m:t>
          </m:r>
          <m:r>
            <m:rPr>
              <m:sty m:val="p"/>
            </m:rPr>
            <m:t>)</m:t>
          </m:r>
          <m:r>
            <m:rPr>
              <m:sty m:val="p"/>
            </m:rPr>
            <m:t>=</m:t>
          </m:r>
          <m:f>
            <m:fPr>
              <m:type m:val="bar"/>
            </m:fPr>
            <m:num>
              <m:sSub>
                <m:e>
                  <m:r>
                    <m:t>C</m:t>
                  </m:r>
                </m:e>
                <m:sub>
                  <m:r>
                    <m:rPr>
                      <m:sty m:val="p"/>
                    </m:rPr>
                    <m:t>v</m:t>
                  </m:r>
                  <m:r>
                    <m:rPr>
                      <m:sty m:val="p"/>
                    </m:rPr>
                    <m:t>e</m:t>
                  </m:r>
                  <m:r>
                    <m:rPr>
                      <m:sty m:val="p"/>
                    </m:rPr>
                    <m:t>r</m:t>
                  </m:r>
                </m:sub>
              </m:sSub>
              <m:r>
                <m:rPr>
                  <m:sty m:val="p"/>
                </m:rPr>
                <m:t>(</m:t>
              </m:r>
              <m:r>
                <m:t>x</m:t>
              </m:r>
              <m:r>
                <m:rPr>
                  <m:sty m:val="p"/>
                </m:rPr>
                <m:t>)</m:t>
              </m:r>
            </m:num>
            <m:den>
              <m:sSub>
                <m:e>
                  <m:r>
                    <m:t>C</m:t>
                  </m:r>
                </m:e>
                <m:sub>
                  <m:r>
                    <m:rPr>
                      <m:sty m:val="p"/>
                    </m:rPr>
                    <m:t>t</m:t>
                  </m:r>
                  <m:r>
                    <m:rPr>
                      <m:sty m:val="p"/>
                    </m:rPr>
                    <m:t>o</m:t>
                  </m:r>
                  <m:r>
                    <m:rPr>
                      <m:sty m:val="p"/>
                    </m:rPr>
                    <m:t>t</m:t>
                  </m:r>
                  <m:r>
                    <m:rPr>
                      <m:sty m:val="p"/>
                    </m:rPr>
                    <m:t>a</m:t>
                  </m:r>
                  <m:r>
                    <m:rPr>
                      <m:sty m:val="p"/>
                    </m:rPr>
                    <m:t>l</m:t>
                  </m:r>
                </m:sub>
              </m:sSub>
              <m:r>
                <m:rPr>
                  <m:sty m:val="p"/>
                </m:rPr>
                <m:t>(</m:t>
              </m:r>
              <m:r>
                <m:t>x</m:t>
              </m:r>
              <m:r>
                <m:rPr>
                  <m:sty m:val="p"/>
                </m:rPr>
                <m:t>)</m:t>
              </m:r>
            </m:den>
          </m:f>
          <m:r>
            <m:rPr>
              <m:sty m:val="p"/>
            </m:rPr>
            <m:t>,</m:t>
          </m:r>
          <m:r>
            <m:t>  </m:t>
          </m:r>
          <m:sSub>
            <m:e>
              <m:r>
                <m:t>ρ</m:t>
              </m:r>
            </m:e>
            <m:sub>
              <m:r>
                <m:rPr>
                  <m:sty m:val="p"/>
                </m:rPr>
                <m:t>s</m:t>
              </m:r>
              <m:r>
                <m:rPr>
                  <m:sty m:val="p"/>
                </m:rPr>
                <m:t>a</m:t>
              </m:r>
              <m:r>
                <m:rPr>
                  <m:sty m:val="p"/>
                </m:rPr>
                <m:t>f</m:t>
              </m:r>
              <m:r>
                <m:rPr>
                  <m:sty m:val="p"/>
                </m:rPr>
                <m:t>e</m:t>
              </m:r>
            </m:sub>
          </m:sSub>
          <m:r>
            <m:rPr>
              <m:sty m:val="p"/>
            </m:rPr>
            <m:t>(</m:t>
          </m:r>
          <m:r>
            <m:t>x</m:t>
          </m:r>
          <m:r>
            <m:rPr>
              <m:sty m:val="p"/>
            </m:rPr>
            <m:t>)</m:t>
          </m:r>
          <m:r>
            <m:rPr>
              <m:sty m:val="p"/>
            </m:rPr>
            <m:t>=</m:t>
          </m:r>
          <m:f>
            <m:fPr>
              <m:type m:val="bar"/>
            </m:fPr>
            <m:num>
              <m:sSub>
                <m:e>
                  <m:r>
                    <m:t>C</m:t>
                  </m:r>
                </m:e>
                <m:sub>
                  <m:r>
                    <m:rPr>
                      <m:sty m:val="p"/>
                    </m:rPr>
                    <m:t>s</m:t>
                  </m:r>
                  <m:r>
                    <m:rPr>
                      <m:sty m:val="p"/>
                    </m:rPr>
                    <m:t>a</m:t>
                  </m:r>
                  <m:r>
                    <m:rPr>
                      <m:sty m:val="p"/>
                    </m:rPr>
                    <m:t>f</m:t>
                  </m:r>
                  <m:r>
                    <m:rPr>
                      <m:sty m:val="p"/>
                    </m:rPr>
                    <m:t>e</m:t>
                  </m:r>
                </m:sub>
              </m:sSub>
              <m:r>
                <m:rPr>
                  <m:sty m:val="p"/>
                </m:rPr>
                <m:t>(</m:t>
              </m:r>
              <m:r>
                <m:t>x</m:t>
              </m:r>
              <m:r>
                <m:rPr>
                  <m:sty m:val="p"/>
                </m:rPr>
                <m:t>)</m:t>
              </m:r>
            </m:num>
            <m:den>
              <m:sSub>
                <m:e>
                  <m:r>
                    <m:t>C</m:t>
                  </m:r>
                </m:e>
                <m:sub>
                  <m:r>
                    <m:rPr>
                      <m:sty m:val="p"/>
                    </m:rPr>
                    <m:t>t</m:t>
                  </m:r>
                  <m:r>
                    <m:rPr>
                      <m:sty m:val="p"/>
                    </m:rPr>
                    <m:t>o</m:t>
                  </m:r>
                  <m:r>
                    <m:rPr>
                      <m:sty m:val="p"/>
                    </m:rPr>
                    <m:t>t</m:t>
                  </m:r>
                  <m:r>
                    <m:rPr>
                      <m:sty m:val="p"/>
                    </m:rPr>
                    <m:t>a</m:t>
                  </m:r>
                  <m:r>
                    <m:rPr>
                      <m:sty m:val="p"/>
                    </m:rPr>
                    <m:t>l</m:t>
                  </m:r>
                </m:sub>
              </m:sSub>
              <m:r>
                <m:rPr>
                  <m:sty m:val="p"/>
                </m:rPr>
                <m:t>(</m:t>
              </m:r>
              <m:r>
                <m:t>x</m:t>
              </m:r>
              <m:r>
                <m:rPr>
                  <m:sty m:val="p"/>
                </m:rPr>
                <m:t>)</m:t>
              </m:r>
            </m:den>
          </m:f>
          <m:r>
            <m:rPr>
              <m:sty m:val="p"/>
            </m:rPr>
            <m:t>,</m:t>
          </m:r>
        </m:oMath>
      </m:oMathPara>
    </w:p>
    <w:p>
      <w:pPr>
        <w:pStyle w:val="FirstParagraph"/>
      </w:pPr>
      <w:r>
        <w:t xml:space="preserve">which localize where the debt originates. Second, we estimate the within-bin rank correlation between</w:t>
      </w:r>
      <w:r>
        <w:t xml:space="preserve"> </w:t>
      </w:r>
      <m:oMath>
        <m:r>
          <m:t>W</m:t>
        </m:r>
        <m:r>
          <m:rPr>
            <m:sty m:val="p"/>
          </m:rPr>
          <m:t>(</m:t>
        </m:r>
        <m:r>
          <m:t>x</m:t>
        </m:r>
        <m:r>
          <m:rPr>
            <m:sty m:val="p"/>
          </m:rPr>
          <m:t>)</m:t>
        </m:r>
      </m:oMath>
      <w:r>
        <w:t xml:space="preserve"> </w:t>
      </w:r>
      <w:r>
        <w:t xml:space="preserve">and</w:t>
      </w:r>
      <w:r>
        <w:t xml:space="preserve"> </w:t>
      </w:r>
      <m:oMath>
        <m:r>
          <m:t>A</m:t>
        </m:r>
        <m:r>
          <m:t>D</m:t>
        </m:r>
        <m:r>
          <m:rPr>
            <m:sty m:val="p"/>
          </m:rPr>
          <m:t>(</m:t>
        </m:r>
        <m:r>
          <m:t>x</m:t>
        </m:r>
        <m:r>
          <m:rPr>
            <m:sty m:val="p"/>
          </m:rPr>
          <m:t>)</m:t>
        </m:r>
      </m:oMath>
      <w:r>
        <w:t xml:space="preserve"> </w:t>
      </w:r>
      <w:r>
        <w:t xml:space="preserve">to test whether the theory survives without assuming linearity.</w:t>
      </w:r>
    </w:p>
    <w:bookmarkEnd w:id="16"/>
    <w:bookmarkStart w:id="17" w:name="stratified-estimation"/>
    <w:p>
      <w:pPr>
        <w:pStyle w:val="Heading2"/>
      </w:pPr>
      <w:r>
        <w:t xml:space="preserve">Stratified estimation</w:t>
      </w:r>
    </w:p>
    <w:p>
      <w:pPr>
        <w:pStyle w:val="FirstParagraph"/>
      </w:pPr>
      <w:r>
        <w:t xml:space="preserve">Let</w:t>
      </w:r>
      <w:r>
        <w:t xml:space="preserve"> </w:t>
      </w:r>
      <m:oMath>
        <m:r>
          <m:rPr>
            <m:scr m:val="script"/>
            <m:sty m:val="p"/>
          </m:rPr>
          <m:t>B</m:t>
        </m:r>
      </m:oMath>
      <w:r>
        <w:t xml:space="preserve"> </w:t>
      </w:r>
      <w:r>
        <w:t xml:space="preserve">denote length bins. A length-controlled aggregate slope may be estimated by</w:t>
      </w:r>
    </w:p>
    <w:p>
      <w:pPr>
        <w:pStyle w:val="BodyText"/>
      </w:pPr>
      <m:oMathPara>
        <m:oMathParaPr>
          <m:jc m:val="center"/>
        </m:oMathParaPr>
        <m:oMath>
          <m:sSub>
            <m:e>
              <m:acc>
                <m:accPr>
                  <m:chr m:val="̂"/>
                </m:accPr>
                <m:e>
                  <m:r>
                    <m:t>β</m:t>
                  </m:r>
                </m:e>
              </m:acc>
            </m:e>
            <m:sub>
              <m:r>
                <m:rPr>
                  <m:sty m:val="p"/>
                </m:rPr>
                <m:t>s</m:t>
              </m:r>
              <m:r>
                <m:rPr>
                  <m:sty m:val="p"/>
                </m:rPr>
                <m:t>t</m:t>
              </m:r>
              <m:r>
                <m:rPr>
                  <m:sty m:val="p"/>
                </m:rPr>
                <m:t>r</m:t>
              </m:r>
              <m:r>
                <m:rPr>
                  <m:sty m:val="p"/>
                </m:rPr>
                <m:t>a</m:t>
              </m:r>
              <m:r>
                <m:rPr>
                  <m:sty m:val="p"/>
                </m:rPr>
                <m:t>t</m:t>
              </m:r>
            </m:sub>
          </m:sSub>
          <m:r>
            <m:rPr>
              <m:sty m:val="p"/>
            </m:rPr>
            <m:t>=</m:t>
          </m:r>
          <m:nary>
            <m:naryPr>
              <m:chr m:val="∑"/>
              <m:limLoc m:val="undOvr"/>
              <m:subHide m:val="off"/>
              <m:supHide m:val="on"/>
            </m:naryPr>
            <m:sub>
              <m:r>
                <m:t>b</m:t>
              </m:r>
              <m:r>
                <m:rPr>
                  <m:sty m:val="p"/>
                </m:rPr>
                <m:t>∈</m:t>
              </m:r>
              <m:r>
                <m:rPr>
                  <m:scr m:val="script"/>
                  <m:sty m:val="p"/>
                </m:rPr>
                <m:t>B</m:t>
              </m:r>
            </m:sub>
            <m:sup>
              <m:r>
                <m:t>​</m:t>
              </m:r>
            </m:sup>
            <m:e>
              <m:sSub>
                <m:e>
                  <m:r>
                    <m:t>ω</m:t>
                  </m:r>
                </m:e>
                <m:sub>
                  <m:r>
                    <m:t>b</m:t>
                  </m:r>
                </m:sub>
              </m:sSub>
            </m:e>
          </m:nary>
          <m:r>
            <m:t> </m:t>
          </m:r>
          <m:sSub>
            <m:e>
              <m:acc>
                <m:accPr>
                  <m:chr m:val="̂"/>
                </m:accPr>
                <m:e>
                  <m:r>
                    <m:t>β</m:t>
                  </m:r>
                </m:e>
              </m:acc>
            </m:e>
            <m:sub>
              <m:r>
                <m:t>b</m:t>
              </m:r>
            </m:sub>
          </m:sSub>
          <m:r>
            <m:rPr>
              <m:sty m:val="p"/>
            </m:rPr>
            <m:t>,</m:t>
          </m:r>
          <m:r>
            <m:t>  </m:t>
          </m:r>
          <m:sSub>
            <m:e>
              <m:r>
                <m:t>ω</m:t>
              </m:r>
            </m:e>
            <m:sub>
              <m:r>
                <m:t>b</m:t>
              </m:r>
            </m:sub>
          </m:sSub>
          <m:r>
            <m:rPr>
              <m:sty m:val="p"/>
            </m:rPr>
            <m:t>=</m:t>
          </m:r>
          <m:f>
            <m:fPr>
              <m:type m:val="bar"/>
            </m:fPr>
            <m:num>
              <m:sSub>
                <m:e>
                  <m:r>
                    <m:t>n</m:t>
                  </m:r>
                </m:e>
                <m:sub>
                  <m:r>
                    <m:t>b</m:t>
                  </m:r>
                </m:sub>
              </m:sSub>
            </m:num>
            <m:den>
              <m:nary>
                <m:naryPr>
                  <m:chr m:val="∑"/>
                  <m:limLoc m:val="undOvr"/>
                  <m:subHide m:val="off"/>
                  <m:supHide m:val="on"/>
                </m:naryPr>
                <m:sub>
                  <m:sSup>
                    <m:e>
                      <m:r>
                        <m:t>b</m:t>
                      </m:r>
                    </m:e>
                    <m:sup>
                      <m:r>
                        <m:rPr>
                          <m:sty m:val="p"/>
                        </m:rPr>
                        <m:t>′</m:t>
                      </m:r>
                    </m:sup>
                  </m:sSup>
                </m:sub>
                <m:sup>
                  <m:r>
                    <m:t>​</m:t>
                  </m:r>
                </m:sup>
                <m:e>
                  <m:sSub>
                    <m:e>
                      <m:r>
                        <m:t>n</m:t>
                      </m:r>
                    </m:e>
                    <m:sub>
                      <m:sSup>
                        <m:e>
                          <m:r>
                            <m:t>b</m:t>
                          </m:r>
                        </m:e>
                        <m:sup>
                          <m:r>
                            <m:rPr>
                              <m:sty m:val="p"/>
                            </m:rPr>
                            <m:t>′</m:t>
                          </m:r>
                        </m:sup>
                      </m:sSup>
                    </m:sub>
                  </m:sSub>
                </m:e>
              </m:nary>
            </m:den>
          </m:f>
          <m:r>
            <m:rPr>
              <m:sty m:val="p"/>
            </m:rPr>
            <m:t>,</m:t>
          </m:r>
        </m:oMath>
      </m:oMathPara>
    </w:p>
    <w:p>
      <w:pPr>
        <w:pStyle w:val="FirstParagraph"/>
      </w:pPr>
      <w:r>
        <w:t xml:space="preserve">where</w:t>
      </w:r>
      <w:r>
        <w:t xml:space="preserve"> </w:t>
      </w:r>
      <m:oMath>
        <m:sSub>
          <m:e>
            <m:acc>
              <m:accPr>
                <m:chr m:val="̂"/>
              </m:accPr>
              <m:e>
                <m:r>
                  <m:t>β</m:t>
                </m:r>
              </m:e>
            </m:acc>
          </m:e>
          <m:sub>
            <m:r>
              <m:t>b</m:t>
            </m:r>
          </m:sub>
        </m:sSub>
      </m:oMath>
      <w:r>
        <w:t xml:space="preserve"> </w:t>
      </w:r>
      <w:r>
        <w:t xml:space="preserve">is the within-bin slope of</w:t>
      </w:r>
      <w:r>
        <w:t xml:space="preserve"> </w:t>
      </w:r>
      <m:oMath>
        <m:r>
          <m:t>A</m:t>
        </m:r>
        <m:r>
          <m:t>D</m:t>
        </m:r>
      </m:oMath>
      <w:r>
        <w:t xml:space="preserve"> </w:t>
      </w:r>
      <w:r>
        <w:t xml:space="preserve">on</w:t>
      </w:r>
      <w:r>
        <w:t xml:space="preserve"> </w:t>
      </w:r>
      <m:oMath>
        <m:r>
          <m:t>W</m:t>
        </m:r>
      </m:oMath>
      <w:r>
        <w:t xml:space="preserve">. This avoids treating length control as purely parametric when prompt distributions are irregular.</w:t>
      </w:r>
    </w:p>
    <w:bookmarkEnd w:id="17"/>
    <w:bookmarkStart w:id="18" w:name="inference-and-calibration"/>
    <w:p>
      <w:pPr>
        <w:pStyle w:val="Heading2"/>
      </w:pPr>
      <w:r>
        <w:t xml:space="preserve">Inference and calibration</w:t>
      </w:r>
    </w:p>
    <w:p>
      <w:pPr>
        <w:pStyle w:val="FirstParagraph"/>
      </w:pPr>
      <w:r>
        <w:t xml:space="preserve">Uncertainty should be reported through prompt-family bootstrap resampling or by clustered standard errors when repeated prompts share templates or annotation pipelines. In addition, the ambition summary variable should be calibrated against its components by checking whether</w:t>
      </w:r>
    </w:p>
    <w:p>
      <w:pPr>
        <w:pStyle w:val="BodyText"/>
      </w:pPr>
      <m:oMathPara>
        <m:oMathParaPr>
          <m:jc m:val="center"/>
        </m:oMathParaPr>
        <m:oMath>
          <m:r>
            <m:rPr>
              <m:sty m:val="p"/>
            </m:rPr>
            <m:t>Var</m:t>
          </m:r>
          <m:r>
            <m:t>​</m:t>
          </m:r>
          <m:d>
            <m:dPr>
              <m:begChr m:val="("/>
              <m:sepChr m:val=""/>
              <m:endChr m:val=")"/>
              <m:grow/>
            </m:dPr>
            <m:e>
              <m:r>
                <m:t>A</m:t>
              </m:r>
              <m:r>
                <m:t>D</m:t>
              </m:r>
              <m:r>
                <m:rPr>
                  <m:sty m:val="p"/>
                </m:rPr>
                <m:t>(</m:t>
              </m:r>
              <m:r>
                <m:t>x</m:t>
              </m:r>
              <m:r>
                <m:rPr>
                  <m:sty m:val="p"/>
                </m:rPr>
                <m:t>)</m:t>
              </m:r>
              <m:r>
                <m:rPr>
                  <m:sty m:val="p"/>
                </m:rPr>
                <m:t>∣</m:t>
              </m:r>
              <m:r>
                <m:t>W</m:t>
              </m:r>
              <m:r>
                <m:rPr>
                  <m:sty m:val="p"/>
                </m:rPr>
                <m:t>(</m:t>
              </m:r>
              <m:r>
                <m:t>x</m:t>
              </m:r>
              <m:r>
                <m:rPr>
                  <m:sty m:val="p"/>
                </m:rPr>
                <m:t>)</m:t>
              </m:r>
            </m:e>
          </m:d>
        </m:oMath>
      </m:oMathPara>
    </w:p>
    <w:p>
      <w:pPr>
        <w:pStyle w:val="FirstParagraph"/>
      </w:pPr>
      <w:r>
        <w:t xml:space="preserve">is materially larger than</w:t>
      </w:r>
    </w:p>
    <w:p>
      <w:pPr>
        <w:pStyle w:val="BodyText"/>
      </w:pPr>
      <m:oMathPara>
        <m:oMathParaPr>
          <m:jc m:val="center"/>
        </m:oMathParaPr>
        <m:oMath>
          <m:r>
            <m:rPr>
              <m:sty m:val="p"/>
            </m:rPr>
            <m:t>Var</m:t>
          </m:r>
          <m:r>
            <m:t>​</m:t>
          </m:r>
          <m:d>
            <m:dPr>
              <m:begChr m:val="("/>
              <m:sepChr m:val=""/>
              <m:endChr m:val=")"/>
              <m:grow/>
            </m:dPr>
            <m:e>
              <m:r>
                <m:t>A</m:t>
              </m:r>
              <m:r>
                <m:t>D</m:t>
              </m:r>
              <m:r>
                <m:rPr>
                  <m:sty m:val="p"/>
                </m:rPr>
                <m:t>(</m:t>
              </m:r>
              <m:r>
                <m:t>x</m:t>
              </m:r>
              <m:r>
                <m:rPr>
                  <m:sty m:val="p"/>
                </m:rPr>
                <m:t>)</m:t>
              </m:r>
              <m:r>
                <m:rPr>
                  <m:sty m:val="p"/>
                </m:rPr>
                <m:t>∣</m:t>
              </m:r>
              <m:r>
                <m:t>L</m:t>
              </m:r>
              <m:r>
                <m:rPr>
                  <m:sty m:val="p"/>
                </m:rPr>
                <m:t>(</m:t>
              </m:r>
              <m:r>
                <m:t>x</m:t>
              </m:r>
              <m:r>
                <m:rPr>
                  <m:sty m:val="p"/>
                </m:rPr>
                <m:t>)</m:t>
              </m:r>
              <m:r>
                <m:rPr>
                  <m:sty m:val="p"/>
                </m:rPr>
                <m:t>,</m:t>
              </m:r>
              <m:r>
                <m:t>D</m:t>
              </m:r>
              <m:r>
                <m:rPr>
                  <m:sty m:val="p"/>
                </m:rPr>
                <m:t>(</m:t>
              </m:r>
              <m:r>
                <m:t>x</m:t>
              </m:r>
              <m:r>
                <m:rPr>
                  <m:sty m:val="p"/>
                </m:rPr>
                <m:t>)</m:t>
              </m:r>
              <m:r>
                <m:rPr>
                  <m:sty m:val="p"/>
                </m:rPr>
                <m:t>,</m:t>
              </m:r>
              <m:r>
                <m:t>B</m:t>
              </m:r>
              <m:r>
                <m:rPr>
                  <m:sty m:val="p"/>
                </m:rPr>
                <m:t>(</m:t>
              </m:r>
              <m:r>
                <m:t>x</m:t>
              </m:r>
              <m:r>
                <m:rPr>
                  <m:sty m:val="p"/>
                </m:rPr>
                <m:t>)</m:t>
              </m:r>
              <m:r>
                <m:rPr>
                  <m:sty m:val="p"/>
                </m:rPr>
                <m:t>,</m:t>
              </m:r>
              <m:r>
                <m:t>R</m:t>
              </m:r>
              <m:r>
                <m:rPr>
                  <m:sty m:val="p"/>
                </m:rPr>
                <m:t>(</m:t>
              </m:r>
              <m:r>
                <m:t>x</m:t>
              </m:r>
              <m:r>
                <m:rPr>
                  <m:sty m:val="p"/>
                </m:rPr>
                <m:t>)</m:t>
              </m:r>
            </m:e>
          </m:d>
          <m:r>
            <m:rPr>
              <m:sty m:val="p"/>
            </m:rPr>
            <m:t>.</m:t>
          </m:r>
        </m:oMath>
      </m:oMathPara>
    </w:p>
    <w:p>
      <w:pPr>
        <w:pStyle w:val="FirstParagraph"/>
      </w:pPr>
      <w:r>
        <w:t xml:space="preserve">If the latter variance drops sharply, the scalar summary is too compressive and should not dominate interpretation.</w:t>
      </w:r>
    </w:p>
    <w:bookmarkEnd w:id="18"/>
    <w:bookmarkStart w:id="19" w:name="benchmark-design-summary"/>
    <w:p>
      <w:pPr>
        <w:pStyle w:val="Heading2"/>
      </w:pPr>
      <w:r>
        <w:t xml:space="preserve">Benchmark design (summary)</w:t>
      </w:r>
    </w:p>
    <w:p>
      <w:pPr>
        <w:pStyle w:val="FirstParagraph"/>
      </w:pPr>
      <w:r>
        <w:t xml:space="preserve">To avoid conflating verbosity with ambition, prompt families are constructed to be approximately length-matched while varying annotated depth</w:t>
      </w:r>
      <w:r>
        <w:t xml:space="preserve"> </w:t>
      </w:r>
      <m:oMath>
        <m:r>
          <m:t>D</m:t>
        </m:r>
        <m:r>
          <m:rPr>
            <m:sty m:val="p"/>
          </m:rPr>
          <m:t>(</m:t>
        </m:r>
        <m:r>
          <m:t>x</m:t>
        </m:r>
        <m:r>
          <m:rPr>
            <m:sty m:val="p"/>
          </m:rPr>
          <m:t>)</m:t>
        </m:r>
      </m:oMath>
      <w:r>
        <w:t xml:space="preserve">, breadth</w:t>
      </w:r>
      <w:r>
        <w:t xml:space="preserve"> </w:t>
      </w:r>
      <m:oMath>
        <m:r>
          <m:t>B</m:t>
        </m:r>
        <m:r>
          <m:rPr>
            <m:sty m:val="p"/>
          </m:rPr>
          <m:t>(</m:t>
        </m:r>
        <m:r>
          <m:t>x</m:t>
        </m:r>
        <m:r>
          <m:rPr>
            <m:sty m:val="p"/>
          </m:rPr>
          <m:t>)</m:t>
        </m:r>
      </m:oMath>
      <w:r>
        <w:t xml:space="preserve">, and risk</w:t>
      </w:r>
      <w:r>
        <w:t xml:space="preserve"> </w:t>
      </w:r>
      <m:oMath>
        <m:r>
          <m:t>R</m:t>
        </m:r>
        <m:r>
          <m:rPr>
            <m:sty m:val="p"/>
          </m:rPr>
          <m:t>(</m:t>
        </m:r>
        <m:r>
          <m:t>x</m:t>
        </m:r>
        <m:r>
          <m:rPr>
            <m:sty m:val="p"/>
          </m:rPr>
          <m:t>)</m:t>
        </m:r>
      </m:oMath>
      <w:r>
        <w:t xml:space="preserve">. The benchmark records stage-wise costs (tokens, latency, and optionally energy) and stage outcomes (accepted, revised, blocked).</w:t>
      </w:r>
    </w:p>
    <w:p>
      <w:pPr>
        <w:pStyle w:val="BodyText"/>
      </w:pPr>
      <w:r>
        <w:t xml:space="preserve">The detailed annotation rubric, endpoint definitions, reproducibility checklist, stage taxonomy, and confound checklist are provided in Appendix A.</w:t>
      </w:r>
    </w:p>
    <w:bookmarkEnd w:id="19"/>
    <w:bookmarkStart w:id="21" w:name="threats-to-validity-summary"/>
    <w:p>
      <w:pPr>
        <w:pStyle w:val="Heading2"/>
      </w:pPr>
      <w:r>
        <w:t xml:space="preserve">Threats to validity (summary)</w:t>
      </w:r>
    </w:p>
    <w:p>
      <w:pPr>
        <w:pStyle w:val="FirstParagraph"/>
      </w:pPr>
      <w:r>
        <w:t xml:space="preserve">A central threat is misattribution: retrieval failures, context-window pathologies, or infrastructure latency may be incorrectly counted as verification overhead. Our protocol therefore requires explicit logging of stage triggers and, where applicable, retrieval events, together with sensitivity analyses that exclude dominated failure modes. Since the framework is empirical, evidence must be based on replicated measurements under declared configurations rather than on first-principles arguments about any particular serving system.</w:t>
      </w:r>
    </w:p>
    <w:p>
      <w:pPr>
        <w:pStyle w:val="BodyText"/>
      </w:pPr>
      <w:r>
        <w:t xml:space="preserve">Another threat is construct compression. If</w:t>
      </w:r>
      <w:r>
        <w:t xml:space="preserve"> </w:t>
      </w:r>
      <m:oMath>
        <m:r>
          <m:t>W</m:t>
        </m:r>
        <m:r>
          <m:rPr>
            <m:sty m:val="p"/>
          </m:rPr>
          <m:t>(</m:t>
        </m:r>
        <m:r>
          <m:t>x</m:t>
        </m:r>
        <m:r>
          <m:rPr>
            <m:sty m:val="p"/>
          </m:rPr>
          <m:t>)</m:t>
        </m:r>
      </m:oMath>
      <w:r>
        <w:t xml:space="preserve"> </w:t>
      </w:r>
      <w:r>
        <w:t xml:space="preserve">is too coarse, then depth, breadth, and risk can trade off against one another in ways that flatten the observed signal. For that reason, the paper treats</w:t>
      </w:r>
      <w:r>
        <w:t xml:space="preserve"> </w:t>
      </w:r>
      <m:oMath>
        <m:r>
          <m:t>W</m:t>
        </m:r>
        <m:r>
          <m:rPr>
            <m:sty m:val="p"/>
          </m:rPr>
          <m:t>(</m:t>
        </m:r>
        <m:r>
          <m:t>x</m:t>
        </m:r>
        <m:r>
          <m:rPr>
            <m:sty m:val="p"/>
          </m:rPr>
          <m:t>)</m:t>
        </m:r>
      </m:oMath>
      <w:r>
        <w:t xml:space="preserve"> </w:t>
      </w:r>
      <w:r>
        <w:t xml:space="preserve">as a benchmarked summary variable rather than an untouchable primitive; a serious evaluation should also report its components separately.</w:t>
      </w:r>
    </w:p>
    <w:p>
      <w:pPr>
        <w:pStyle w:val="BodyText"/>
      </w:pPr>
      <w:r>
        <w:t xml:space="preserve">A further methodological risk is post hoc stage definition. If verification and safety stages are defined after seeing the logs, debt estimates become researcher degrees of freedom. The stage taxonomy should therefore be frozen before benchmark execution.</w:t>
      </w:r>
    </w:p>
    <w:bookmarkStart w:id="20" w:name="fig:alluka-decomposition"/>
    <w:tbl>
      <w:tblPr>
        <w:tblStyle w:val="FigureTable"/>
        <w:tblW w:type="auto" w:w="0"/>
        <w:jc w:val="center"/>
        <w:tblLook w:firstRow="0" w:lastRow="0" w:firstColumn="0" w:lastColumn="0"/>
      </w:tblPr>
      <w:tblGrid/>
    </w:tbl>
    <w:p>
      <w:pPr>
        <w:pStyle w:val="ImageCaption"/>
      </w:pPr>
      <w:r>
        <w:t xml:space="preserve">Cost-decomposition view of algorithmic debt. The central claim is that prompt ambition can increase verification and safety overhead even when base generation remains modest.</w:t>
      </w:r>
    </w:p>
    <w:bookmarkEnd w:id="20"/>
    <w:bookmarkEnd w:id="21"/>
    <w:bookmarkEnd w:id="22"/>
    <w:bookmarkStart w:id="27" w:name="related-work"/>
    <w:p>
      <w:pPr>
        <w:pStyle w:val="Heading1"/>
      </w:pPr>
      <w:r>
        <w:t xml:space="preserve">Related Work</w:t>
      </w:r>
    </w:p>
    <w:p>
      <w:pPr>
        <w:pStyle w:val="FirstParagraph"/>
      </w:pPr>
      <w:r>
        <w:t xml:space="preserve">Training-time scaling laws motivate the broader question of regularities between compute and capability</w:t>
      </w:r>
      <w:r>
        <w:t xml:space="preserve"> </w:t>
      </w:r>
      <w:r>
        <w:t xml:space="preserve">. Inference-side studies show that additional test-time computation can change the quality–cost frontier</w:t>
      </w:r>
      <w:r>
        <w:t xml:space="preserve"> </w:t>
      </w:r>
      <w:r>
        <w:t xml:space="preserve">. Long-context evaluations warn that larger context windows introduce failure modes that can reduce utility</w:t>
      </w:r>
      <w:r>
        <w:t xml:space="preserve"> </w:t>
      </w:r>
      <w:r>
        <w:t xml:space="preserve">. Energy and latency profiling further connect workload characteristics to measurable serving cost</w:t>
      </w:r>
      <w:r>
        <w:t xml:space="preserve"> </w:t>
      </w:r>
      <w:r>
        <w:t xml:space="preserve">. Our contribution differs in focusing on a prompt-induced overhead decomposition intended to be measured under length control.</w:t>
      </w:r>
    </w:p>
    <w:bookmarkStart w:id="26" w:name="fig:alluka-owid"/>
    <w:p>
      <w:pPr>
        <w:pStyle w:val="CaptionedFigure"/>
      </w:pPr>
      <w:r>
        <w:drawing>
          <wp:inline>
            <wp:extent cx="5334000" cy="3765176"/>
            <wp:effectExtent b="0" l="0" r="0" t="0"/>
            <wp:docPr descr="" title="" id="24" name="Picture"/>
            <a:graphic>
              <a:graphicData uri="http://schemas.openxmlformats.org/drawingml/2006/picture">
                <pic:pic>
                  <pic:nvPicPr>
                    <pic:cNvPr descr="figures/owid_hardware_energy_costs.pdf" id="25" name="Picture"/>
                    <pic:cNvPicPr>
                      <a:picLocks noChangeArrowheads="1" noChangeAspect="1"/>
                    </pic:cNvPicPr>
                  </pic:nvPicPr>
                  <pic:blipFill>
                    <a:blip r:embed="rId23"/>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Broader AI cost growth context from Our World in Data, adapted from Epoch AI and released under CC BY</w:t>
      </w:r>
      <w:r>
        <w:t xml:space="preserve"> </w:t>
      </w:r>
      <w:r>
        <w:t xml:space="preserve">. This figure does not measure our proposed debt ratio directly, but it motivates why operational cost accounting matters.</w:t>
      </w:r>
    </w:p>
    <w:bookmarkEnd w:id="26"/>
    <w:bookmarkEnd w:id="27"/>
    <w:bookmarkStart w:id="39" w:name="pilot-study-seed-measurement"/>
    <w:p>
      <w:pPr>
        <w:pStyle w:val="Heading1"/>
      </w:pPr>
      <w:r>
        <w:t xml:space="preserve">Pilot study (seed measurement)</w:t>
      </w:r>
    </w:p>
    <w:bookmarkStart w:id="28" w:name="setup"/>
    <w:p>
      <w:pPr>
        <w:pStyle w:val="Heading2"/>
      </w:pPr>
      <w:r>
        <w:t xml:space="preserve">Setup</w:t>
      </w:r>
    </w:p>
    <w:p>
      <w:pPr>
        <w:pStyle w:val="FirstParagraph"/>
      </w:pPr>
      <w:r>
        <w:t xml:space="preserve">We conducted a pilot measurement to validate that the proposed logging and decomposition can be executed end-to-end. The pilot used nine public prompts spanning factual extraction, arithmetic reasoning, and medical multiple-choice questions. All runs used</w:t>
      </w:r>
      <w:r>
        <w:t xml:space="preserve"> </w:t>
      </w:r>
      <w:r>
        <w:rPr>
          <w:rStyle w:val="VerbatimChar"/>
        </w:rPr>
        <w:t xml:space="preserve">google/flan-t5-small</w:t>
      </w:r>
      <w:r>
        <w:t xml:space="preserve"> </w:t>
      </w:r>
      <w:r>
        <w:t xml:space="preserve">under a fixed decoding and runtime configuration.</w:t>
      </w:r>
    </w:p>
    <w:bookmarkEnd w:id="28"/>
    <w:bookmarkStart w:id="29" w:name="measurement-unit"/>
    <w:p>
      <w:pPr>
        <w:pStyle w:val="Heading2"/>
      </w:pPr>
      <w:r>
        <w:t xml:space="preserve">Measurement unit</w:t>
      </w:r>
    </w:p>
    <w:p>
      <w:pPr>
        <w:pStyle w:val="FirstParagraph"/>
      </w:pPr>
      <w:r>
        <w:t xml:space="preserve">In the pilot, cost components were operationalized as stage-wise token counts. Verification and safety stages were invoked only when required by the benchmark metadata (i.e., the stage policy was externally specified rather than adaptively learned).</w:t>
      </w:r>
    </w:p>
    <w:bookmarkEnd w:id="29"/>
    <w:bookmarkStart w:id="36" w:name="aggregate-result"/>
    <w:p>
      <w:pPr>
        <w:pStyle w:val="Heading2"/>
      </w:pPr>
      <w:r>
        <w:t xml:space="preserve">Aggregate result</w:t>
      </w:r>
    </w:p>
    <w:p>
      <w:pPr>
        <w:pStyle w:val="FirstParagraph"/>
      </w:pPr>
      <w:r>
        <w:t xml:space="preserve">Table </w:t>
      </w:r>
      <w:hyperlink w:anchor="tab:alluka-seed">
        <w:r>
          <w:rPr>
            <w:rStyle w:val="Hyperlink"/>
          </w:rPr>
          <w:t xml:space="preserve">2</w:t>
        </w:r>
      </w:hyperlink>
      <w:r>
        <w:t xml:space="preserve"> </w:t>
      </w:r>
      <w:r>
        <w:t xml:space="preserve">reports the pilot aggregate for a single prompt family.</w:t>
      </w:r>
    </w:p>
    <w:bookmarkStart w:id="30" w:name="tab:alluka-seed"/>
    <w:p>
      <w:pPr>
        <w:pStyle w:val="TableCaption"/>
      </w:pPr>
      <w:r>
        <w:t xml:space="preserve">Pilot (seed) cost decomposition measured on public benchmark prompts using stage-wise token counts.</w:t>
      </w:r>
    </w:p>
    <w:tbl>
      <w:tblPr>
        <w:tblStyle w:val="Table"/>
        <w:tblW w:type="auto" w:w="0"/>
        <w:tblLook w:firstRow="1" w:lastRow="0" w:firstColumn="0" w:lastColumn="0" w:noHBand="0" w:noVBand="0" w:val="0020"/>
        <w:tblCaption w:val="Pilot (seed) cost decomposition measured on public benchmark prompts using stage-wise token counts."/>
      </w:tblPr>
      <w:tblGrid>
        <w:gridCol w:w="1320"/>
        <w:gridCol w:w="1320"/>
        <w:gridCol w:w="1320"/>
        <w:gridCol w:w="1320"/>
        <w:gridCol w:w="1320"/>
        <w:gridCol w:w="1320"/>
      </w:tblGrid>
      <w:tr>
        <w:trPr>
          <w:tblHeader w:val="on"/>
        </w:trPr>
        <w:tc>
          <w:tcPr/>
          <w:p>
            <w:pPr>
              <w:pStyle w:val="Compact"/>
              <w:jc w:val="left"/>
            </w:pPr>
            <w:r>
              <w:t xml:space="preserve">Family</w:t>
            </w:r>
          </w:p>
        </w:tc>
        <w:tc>
          <w:tcPr/>
          <w:p>
            <w:pPr>
              <w:pStyle w:val="Compact"/>
              <w:jc w:val="center"/>
            </w:pPr>
            <w:r>
              <w:t xml:space="preserve">Mean</w:t>
            </w:r>
            <w:r>
              <w:t xml:space="preserve"> </w:t>
            </w:r>
            <m:oMath>
              <m:r>
                <m:t>W</m:t>
              </m:r>
            </m:oMath>
          </w:p>
        </w:tc>
        <w:tc>
          <w:tcPr/>
          <w:p>
            <w:pPr>
              <w:pStyle w:val="Compact"/>
              <w:jc w:val="center"/>
            </w:pPr>
            <w:r>
              <w:t xml:space="preserve">Mean</w:t>
            </w:r>
            <w:r>
              <w:t xml:space="preserve"> </w:t>
            </w:r>
            <m:oMath>
              <m:sSub>
                <m:e>
                  <m:r>
                    <m:t>C</m:t>
                  </m:r>
                </m:e>
                <m:sub>
                  <m:r>
                    <m:rPr>
                      <m:nor/>
                      <m:sty m:val="p"/>
                    </m:rPr>
                    <m:t>gen</m:t>
                  </m:r>
                </m:sub>
              </m:sSub>
            </m:oMath>
          </w:p>
        </w:tc>
        <w:tc>
          <w:tcPr/>
          <w:p>
            <w:pPr>
              <w:pStyle w:val="Compact"/>
              <w:jc w:val="center"/>
            </w:pPr>
            <w:r>
              <w:t xml:space="preserve">Mean</w:t>
            </w:r>
            <w:r>
              <w:t xml:space="preserve"> </w:t>
            </w:r>
            <m:oMath>
              <m:sSub>
                <m:e>
                  <m:r>
                    <m:t>C</m:t>
                  </m:r>
                </m:e>
                <m:sub>
                  <m:r>
                    <m:rPr>
                      <m:nor/>
                      <m:sty m:val="p"/>
                    </m:rPr>
                    <m:t>ver</m:t>
                  </m:r>
                </m:sub>
              </m:sSub>
            </m:oMath>
          </w:p>
        </w:tc>
        <w:tc>
          <w:tcPr/>
          <w:p>
            <w:pPr>
              <w:pStyle w:val="Compact"/>
              <w:jc w:val="center"/>
            </w:pPr>
            <w:r>
              <w:t xml:space="preserve">Mean</w:t>
            </w:r>
            <w:r>
              <w:t xml:space="preserve"> </w:t>
            </w:r>
            <m:oMath>
              <m:sSub>
                <m:e>
                  <m:r>
                    <m:t>C</m:t>
                  </m:r>
                </m:e>
                <m:sub>
                  <m:r>
                    <m:rPr>
                      <m:nor/>
                      <m:sty m:val="p"/>
                    </m:rPr>
                    <m:t>safe</m:t>
                  </m:r>
                </m:sub>
              </m:sSub>
            </m:oMath>
          </w:p>
        </w:tc>
        <w:tc>
          <w:tcPr/>
          <w:p>
            <w:pPr>
              <w:pStyle w:val="Compact"/>
              <w:jc w:val="center"/>
            </w:pPr>
            <w:r>
              <w:t xml:space="preserve">Mean</w:t>
            </w:r>
            <w:r>
              <w:t xml:space="preserve"> </w:t>
            </w:r>
            <m:oMath>
              <m:r>
                <m:t>A</m:t>
              </m:r>
              <m:r>
                <m:t>D</m:t>
              </m:r>
            </m:oMath>
          </w:p>
        </w:tc>
      </w:tr>
      <w:tr>
        <w:tc>
          <w:tcPr/>
          <w:p>
            <w:pPr>
              <w:pStyle w:val="Compact"/>
              <w:jc w:val="left"/>
            </w:pPr>
            <w:r>
              <w:rPr>
                <w:rStyle w:val="VerbatimChar"/>
              </w:rPr>
              <w:t xml:space="preserve">alluka_public_seed</w:t>
            </w:r>
          </w:p>
        </w:tc>
        <w:tc>
          <w:tcPr/>
          <w:p>
            <w:pPr>
              <w:pStyle w:val="Compact"/>
              <w:jc w:val="center"/>
            </w:pPr>
            <w:r>
              <w:t xml:space="preserve">0.5133</w:t>
            </w:r>
          </w:p>
        </w:tc>
        <w:tc>
          <w:tcPr/>
          <w:p>
            <w:pPr>
              <w:pStyle w:val="Compact"/>
              <w:jc w:val="center"/>
            </w:pPr>
            <w:r>
              <w:t xml:space="preserve">106.7778</w:t>
            </w:r>
          </w:p>
        </w:tc>
        <w:tc>
          <w:tcPr/>
          <w:p>
            <w:pPr>
              <w:pStyle w:val="Compact"/>
              <w:jc w:val="center"/>
            </w:pPr>
            <w:r>
              <w:t xml:space="preserve">59.0000</w:t>
            </w:r>
          </w:p>
        </w:tc>
        <w:tc>
          <w:tcPr/>
          <w:p>
            <w:pPr>
              <w:pStyle w:val="Compact"/>
              <w:jc w:val="center"/>
            </w:pPr>
            <w:r>
              <w:t xml:space="preserve">26.3333</w:t>
            </w:r>
          </w:p>
        </w:tc>
        <w:tc>
          <w:tcPr/>
          <w:p>
            <w:pPr>
              <w:pStyle w:val="Compact"/>
              <w:jc w:val="center"/>
            </w:pPr>
            <w:r>
              <w:t xml:space="preserve">1.5637</w:t>
            </w:r>
          </w:p>
        </w:tc>
      </w:tr>
    </w:tbl>
    <w:bookmarkEnd w:id="30"/>
    <w:bookmarkStart w:id="31" w:name="tab:alluka-groups"/>
    <w:p>
      <w:pPr>
        <w:pStyle w:val="TableCaption"/>
      </w:pPr>
      <w:r>
        <w:t xml:space="preserve">Seed-scale mean cost decomposition by prompt group.</w:t>
      </w:r>
    </w:p>
    <w:tbl>
      <w:tblPr>
        <w:tblStyle w:val="Table"/>
        <w:tblW w:type="auto" w:w="0"/>
        <w:tblLook w:firstRow="1" w:lastRow="0" w:firstColumn="0" w:lastColumn="0" w:noHBand="0" w:noVBand="0" w:val="0020"/>
        <w:tblCaption w:val="Seed-scale mean cost decomposition by prompt group."/>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center"/>
            </w:pPr>
            <w:r>
              <w:t xml:space="preserve">Mean</w:t>
            </w:r>
            <w:r>
              <w:t xml:space="preserve"> </w:t>
            </w:r>
            <m:oMath>
              <m:sSub>
                <m:e>
                  <m:r>
                    <m:t>C</m:t>
                  </m:r>
                </m:e>
                <m:sub>
                  <m:r>
                    <m:rPr>
                      <m:nor/>
                      <m:sty m:val="p"/>
                    </m:rPr>
                    <m:t>gen</m:t>
                  </m:r>
                </m:sub>
              </m:sSub>
            </m:oMath>
          </w:p>
        </w:tc>
        <w:tc>
          <w:tcPr/>
          <w:p>
            <w:pPr>
              <w:pStyle w:val="Compact"/>
              <w:jc w:val="center"/>
            </w:pPr>
            <w:r>
              <w:t xml:space="preserve">Mean</w:t>
            </w:r>
            <w:r>
              <w:t xml:space="preserve"> </w:t>
            </w:r>
            <m:oMath>
              <m:sSub>
                <m:e>
                  <m:r>
                    <m:t>C</m:t>
                  </m:r>
                </m:e>
                <m:sub>
                  <m:r>
                    <m:rPr>
                      <m:nor/>
                      <m:sty m:val="p"/>
                    </m:rPr>
                    <m:t>ver</m:t>
                  </m:r>
                </m:sub>
              </m:sSub>
            </m:oMath>
          </w:p>
        </w:tc>
        <w:tc>
          <w:tcPr/>
          <w:p>
            <w:pPr>
              <w:pStyle w:val="Compact"/>
              <w:jc w:val="center"/>
            </w:pPr>
            <w:r>
              <w:t xml:space="preserve">Mean</w:t>
            </w:r>
            <w:r>
              <w:t xml:space="preserve"> </w:t>
            </w:r>
            <m:oMath>
              <m:sSub>
                <m:e>
                  <m:r>
                    <m:t>C</m:t>
                  </m:r>
                </m:e>
                <m:sub>
                  <m:r>
                    <m:rPr>
                      <m:nor/>
                      <m:sty m:val="p"/>
                    </m:rPr>
                    <m:t>safe</m:t>
                  </m:r>
                </m:sub>
              </m:sSub>
            </m:oMath>
          </w:p>
        </w:tc>
        <w:tc>
          <w:tcPr/>
          <w:p>
            <w:pPr>
              <w:pStyle w:val="Compact"/>
              <w:jc w:val="center"/>
            </w:pPr>
            <w:r>
              <w:t xml:space="preserve">Mean</w:t>
            </w:r>
            <w:r>
              <w:t xml:space="preserve"> </w:t>
            </w:r>
            <m:oMath>
              <m:r>
                <m:t>A</m:t>
              </m:r>
              <m:r>
                <m:t>D</m:t>
              </m:r>
            </m:oMath>
          </w:p>
        </w:tc>
      </w:tr>
      <w:tr>
        <w:tc>
          <w:tcPr/>
          <w:p>
            <w:pPr>
              <w:pStyle w:val="Compact"/>
              <w:jc w:val="left"/>
            </w:pPr>
            <w:r>
              <w:t xml:space="preserve">SQuAD</w:t>
            </w:r>
          </w:p>
        </w:tc>
        <w:tc>
          <w:tcPr/>
          <w:p>
            <w:pPr>
              <w:pStyle w:val="Compact"/>
              <w:jc w:val="center"/>
            </w:pPr>
            <w:r>
              <w:t xml:space="preserve">204.0</w:t>
            </w:r>
          </w:p>
        </w:tc>
        <w:tc>
          <w:tcPr/>
          <w:p>
            <w:pPr>
              <w:pStyle w:val="Compact"/>
              <w:jc w:val="center"/>
            </w:pPr>
            <w:r>
              <w:t xml:space="preserve">0.0</w:t>
            </w:r>
          </w:p>
        </w:tc>
        <w:tc>
          <w:tcPr/>
          <w:p>
            <w:pPr>
              <w:pStyle w:val="Compact"/>
              <w:jc w:val="center"/>
            </w:pPr>
            <w:r>
              <w:t xml:space="preserve">0.0</w:t>
            </w:r>
          </w:p>
        </w:tc>
        <w:tc>
          <w:tcPr/>
          <w:p>
            <w:pPr>
              <w:pStyle w:val="Compact"/>
              <w:jc w:val="center"/>
            </w:pPr>
            <w:r>
              <w:t xml:space="preserve">0.0000</w:t>
            </w:r>
          </w:p>
        </w:tc>
      </w:tr>
      <w:tr>
        <w:tc>
          <w:tcPr/>
          <w:p>
            <w:pPr>
              <w:pStyle w:val="Compact"/>
              <w:jc w:val="left"/>
            </w:pPr>
            <w:r>
              <w:t xml:space="preserve">GSM8K</w:t>
            </w:r>
          </w:p>
        </w:tc>
        <w:tc>
          <w:tcPr/>
          <w:p>
            <w:pPr>
              <w:pStyle w:val="Compact"/>
              <w:jc w:val="center"/>
            </w:pPr>
            <w:r>
              <w:t xml:space="preserve">66.3</w:t>
            </w:r>
          </w:p>
        </w:tc>
        <w:tc>
          <w:tcPr/>
          <w:p>
            <w:pPr>
              <w:pStyle w:val="Compact"/>
              <w:jc w:val="center"/>
            </w:pPr>
            <w:r>
              <w:t xml:space="preserve">102.0</w:t>
            </w:r>
          </w:p>
        </w:tc>
        <w:tc>
          <w:tcPr/>
          <w:p>
            <w:pPr>
              <w:pStyle w:val="Compact"/>
              <w:jc w:val="center"/>
            </w:pPr>
            <w:r>
              <w:t xml:space="preserve">0.0</w:t>
            </w:r>
          </w:p>
        </w:tc>
        <w:tc>
          <w:tcPr/>
          <w:p>
            <w:pPr>
              <w:pStyle w:val="Compact"/>
              <w:jc w:val="center"/>
            </w:pPr>
            <w:r>
              <w:t xml:space="preserve">1.5404</w:t>
            </w:r>
          </w:p>
        </w:tc>
      </w:tr>
      <w:tr>
        <w:tc>
          <w:tcPr/>
          <w:p>
            <w:pPr>
              <w:pStyle w:val="Compact"/>
              <w:jc w:val="left"/>
            </w:pPr>
            <w:r>
              <w:t xml:space="preserve">MedMCQA</w:t>
            </w:r>
          </w:p>
        </w:tc>
        <w:tc>
          <w:tcPr/>
          <w:p>
            <w:pPr>
              <w:pStyle w:val="Compact"/>
              <w:jc w:val="center"/>
            </w:pPr>
            <w:r>
              <w:t xml:space="preserve">50.0</w:t>
            </w:r>
          </w:p>
        </w:tc>
        <w:tc>
          <w:tcPr/>
          <w:p>
            <w:pPr>
              <w:pStyle w:val="Compact"/>
              <w:jc w:val="center"/>
            </w:pPr>
            <w:r>
              <w:t xml:space="preserve">75.0</w:t>
            </w:r>
          </w:p>
        </w:tc>
        <w:tc>
          <w:tcPr/>
          <w:p>
            <w:pPr>
              <w:pStyle w:val="Compact"/>
              <w:jc w:val="center"/>
            </w:pPr>
            <w:r>
              <w:t xml:space="preserve">79.0</w:t>
            </w:r>
          </w:p>
        </w:tc>
        <w:tc>
          <w:tcPr/>
          <w:p>
            <w:pPr>
              <w:pStyle w:val="Compact"/>
              <w:jc w:val="center"/>
            </w:pPr>
            <w:r>
              <w:t xml:space="preserve">3.1508</w:t>
            </w:r>
          </w:p>
        </w:tc>
      </w:tr>
    </w:tbl>
    <w:bookmarkEnd w:id="31"/>
    <w:bookmarkStart w:id="35" w:name="fig:alluka-seed"/>
    <w:p>
      <w:pPr>
        <w:pStyle w:val="CaptionedFigure"/>
      </w:pPr>
      <w:r>
        <w:drawing>
          <wp:inline>
            <wp:extent cx="5334000" cy="2003616"/>
            <wp:effectExtent b="0" l="0" r="0" t="0"/>
            <wp:docPr descr="" title="" id="33" name="Picture"/>
            <a:graphic>
              <a:graphicData uri="http://schemas.openxmlformats.org/drawingml/2006/picture">
                <pic:pic>
                  <pic:nvPicPr>
                    <pic:cNvPr descr="figures/alluka_seed_results.png" id="34" name="Picture"/>
                    <pic:cNvPicPr>
                      <a:picLocks noChangeArrowheads="1" noChangeAspect="1"/>
                    </pic:cNvPicPr>
                  </pic:nvPicPr>
                  <pic:blipFill>
                    <a:blip r:embed="rId32"/>
                    <a:stretch>
                      <a:fillRect/>
                    </a:stretch>
                  </pic:blipFill>
                  <pic:spPr bwMode="auto">
                    <a:xfrm>
                      <a:off x="0" y="0"/>
                      <a:ext cx="5334000" cy="2003616"/>
                    </a:xfrm>
                    <a:prstGeom prst="rect">
                      <a:avLst/>
                    </a:prstGeom>
                    <a:noFill/>
                    <a:ln w="9525">
                      <a:noFill/>
                      <a:headEnd/>
                      <a:tailEnd/>
                    </a:ln>
                  </pic:spPr>
                </pic:pic>
              </a:graphicData>
            </a:graphic>
          </wp:inline>
        </w:drawing>
      </w:r>
    </w:p>
    <w:p>
      <w:pPr>
        <w:pStyle w:val="ImageCaption"/>
      </w:pPr>
      <w:r>
        <w:t xml:space="preserve">Measured seed-scale behavior. Left: algorithmic debt against annotated wish complexity. Right: mean stage-wise token cost by prompt group.</w:t>
      </w:r>
    </w:p>
    <w:bookmarkEnd w:id="35"/>
    <w:bookmarkEnd w:id="36"/>
    <w:bookmarkStart w:id="37" w:name="what-is-learned"/>
    <w:p>
      <w:pPr>
        <w:pStyle w:val="Heading2"/>
      </w:pPr>
      <w:r>
        <w:t xml:space="preserve">What is learned</w:t>
      </w:r>
    </w:p>
    <w:p>
      <w:pPr>
        <w:pStyle w:val="FirstParagraph"/>
      </w:pPr>
      <w:r>
        <w:t xml:space="preserve">The pilot indicates that, even for a small set of prompts, non-generation stages can contribute materially to total serving burden and can exceed base generation in the chosen unit. This supports the methodological claim that separating</w:t>
      </w:r>
      <w:r>
        <w:t xml:space="preserve"> </w:t>
      </w:r>
      <m:oMath>
        <m:sSub>
          <m:e>
            <m:r>
              <m:t>C</m:t>
            </m:r>
          </m:e>
          <m:sub>
            <m:r>
              <m:rPr>
                <m:nor/>
                <m:sty m:val="p"/>
              </m:rPr>
              <m:t>gen</m:t>
            </m:r>
          </m:sub>
        </m:sSub>
      </m:oMath>
      <w:r>
        <w:t xml:space="preserve">,</w:t>
      </w:r>
      <w:r>
        <w:t xml:space="preserve"> </w:t>
      </w:r>
      <m:oMath>
        <m:sSub>
          <m:e>
            <m:r>
              <m:t>C</m:t>
            </m:r>
          </m:e>
          <m:sub>
            <m:r>
              <m:rPr>
                <m:nor/>
                <m:sty m:val="p"/>
              </m:rPr>
              <m:t>ver</m:t>
            </m:r>
          </m:sub>
        </m:sSub>
      </m:oMath>
      <w:r>
        <w:t xml:space="preserve">, and</w:t>
      </w:r>
      <w:r>
        <w:t xml:space="preserve"> </w:t>
      </w:r>
      <m:oMath>
        <m:sSub>
          <m:e>
            <m:r>
              <m:t>C</m:t>
            </m:r>
          </m:e>
          <m:sub>
            <m:r>
              <m:rPr>
                <m:nor/>
                <m:sty m:val="p"/>
              </m:rPr>
              <m:t>safe</m:t>
            </m:r>
          </m:sub>
        </m:sSub>
      </m:oMath>
      <w:r>
        <w:t xml:space="preserve"> </w:t>
      </w:r>
      <w:r>
        <w:t xml:space="preserve">is practically relevant and measurable.</w:t>
      </w:r>
    </w:p>
    <w:p>
      <w:pPr>
        <w:pStyle w:val="BodyText"/>
      </w:pPr>
      <w:r>
        <w:t xml:space="preserve">The group-level pattern is also directionally informative. In the current pilot, the progression from SQuAD to GSM8K to MedMCQA is not merely a change in prompt length; it is a change in the amount of verification and safety machinery recruited around the base generator. That is exactly the distinction the debt framework is designed to expose.</w:t>
      </w:r>
    </w:p>
    <w:bookmarkEnd w:id="37"/>
    <w:bookmarkStart w:id="38" w:name="what-is-not-claimed"/>
    <w:p>
      <w:pPr>
        <w:pStyle w:val="Heading2"/>
      </w:pPr>
      <w:r>
        <w:t xml:space="preserve">What is not claimed</w:t>
      </w:r>
    </w:p>
    <w:p>
      <w:pPr>
        <w:pStyle w:val="FirstParagraph"/>
      </w:pPr>
      <w:r>
        <w:t xml:space="preserve">The pilot is not a scaling result and does not establish a universal relationship between</w:t>
      </w:r>
      <w:r>
        <w:t xml:space="preserve"> </w:t>
      </w:r>
      <m:oMath>
        <m:r>
          <m:t>W</m:t>
        </m:r>
        <m:r>
          <m:rPr>
            <m:sty m:val="p"/>
          </m:rPr>
          <m:t>(</m:t>
        </m:r>
        <m:r>
          <m:t>x</m:t>
        </m:r>
        <m:r>
          <m:rPr>
            <m:sty m:val="p"/>
          </m:rPr>
          <m:t>)</m:t>
        </m:r>
      </m:oMath>
      <w:r>
        <w:t xml:space="preserve"> </w:t>
      </w:r>
      <w:r>
        <w:t xml:space="preserve">and</w:t>
      </w:r>
      <w:r>
        <w:t xml:space="preserve"> </w:t>
      </w:r>
      <m:oMath>
        <m:r>
          <m:t>A</m:t>
        </m:r>
        <m:r>
          <m:t>D</m:t>
        </m:r>
        <m:r>
          <m:rPr>
            <m:sty m:val="p"/>
          </m:rPr>
          <m:t>(</m:t>
        </m:r>
        <m:r>
          <m:t>x</m:t>
        </m:r>
        <m:r>
          <m:rPr>
            <m:sty m:val="p"/>
          </m:rPr>
          <m:t>)</m:t>
        </m:r>
      </m:oMath>
      <w:r>
        <w:t xml:space="preserve">. The sample size is too small for stable inference, and token accounting alone does not capture hardware- and system-dependent costs such as latency or energy. The pilot therefore serves only as a feasibility check for instrumentation and reporting; substantive conclusions require larger, pre-registered prompt families and replication across models and serving stacks.</w:t>
      </w:r>
    </w:p>
    <w:p>
      <w:pPr>
        <w:pStyle w:val="BodyText"/>
      </w:pPr>
      <w:r>
        <w:t xml:space="preserve">In particular, the pilot does not identify a universal elasticity parameter. Any claim about superlinear debt growth would require repeated measurements across ambition strata, explicit confidence intervals for</w:t>
      </w:r>
      <w:r>
        <w:t xml:space="preserve"> </w:t>
      </w:r>
      <m:oMath>
        <m:sSub>
          <m:e>
            <m:r>
              <m:rPr>
                <m:scr m:val="script"/>
                <m:sty m:val="p"/>
              </m:rPr>
              <m:t>E</m:t>
            </m:r>
          </m:e>
          <m:sub>
            <m:r>
              <m:t>A</m:t>
            </m:r>
            <m:r>
              <m:t>D</m:t>
            </m:r>
            <m:r>
              <m:rPr>
                <m:sty m:val="p"/>
              </m:rPr>
              <m:t>,</m:t>
            </m:r>
            <m:r>
              <m:t>W</m:t>
            </m:r>
          </m:sub>
        </m:sSub>
      </m:oMath>
      <w:r>
        <w:t xml:space="preserve">, and replication across serving policies.</w:t>
      </w:r>
    </w:p>
    <w:bookmarkEnd w:id="38"/>
    <w:bookmarkEnd w:id="39"/>
    <w:bookmarkStart w:id="40" w:name="discussion"/>
    <w:p>
      <w:pPr>
        <w:pStyle w:val="Heading1"/>
      </w:pPr>
      <w:r>
        <w:t xml:space="preserve">Discussion</w:t>
      </w:r>
    </w:p>
    <w:p>
      <w:pPr>
        <w:pStyle w:val="FirstParagraph"/>
      </w:pPr>
      <w:r>
        <w:t xml:space="preserve">The main contribution of the paper is not a fitted law but a cleaner accounting language. Once generation, verification, and safety are reported separately, it becomes possible to ask more precise questions about where operational burden originates and which prompt properties actually induce it. That shift matters because many discussions of inference cost still treat token length as the dominant explanatory variable even when deployment stacks impose additional stages that are only loosely correlated with length.</w:t>
      </w:r>
    </w:p>
    <w:p>
      <w:pPr>
        <w:pStyle w:val="BodyText"/>
      </w:pPr>
      <w:r>
        <w:t xml:space="preserve">The pilot also suggests a useful interpretive distinction. Some prompts are expensive because they are long; others are expensive because they recruit machinery around the model. The latter class is the one the algorithmic-debt framing is designed to expose. Whether the proposed ambition score is the best predictor remains open, but the decomposition itself already makes evaluation more informative.</w:t>
      </w:r>
    </w:p>
    <w:p>
      <w:pPr>
        <w:pStyle w:val="BodyText"/>
      </w:pPr>
      <w:r>
        <w:t xml:space="preserve">That distinction also has reporting consequences. If inference studies publish only input length and final latency, then verification-heavy and safety-heavy workloads can look deceptively similar to straightforward generation. A stage-aware accounting scheme makes it easier to compare systems that solve the same surface task with very different internal burdens.</w:t>
      </w:r>
    </w:p>
    <w:p>
      <w:pPr>
        <w:pStyle w:val="BodyText"/>
      </w:pPr>
      <w:r>
        <w:t xml:space="preserve">The more ambitious version of the theory is therefore not</w:t>
      </w:r>
      <w:r>
        <w:t xml:space="preserve"> </w:t>
      </w:r>
      <w:r>
        <w:t xml:space="preserve">“big prompts cost more.”</w:t>
      </w:r>
      <w:r>
        <w:t xml:space="preserve"> </w:t>
      </w:r>
      <w:r>
        <w:t xml:space="preserve">That statement is too weak to be interesting. The sharper claim is that, after length is controlled, prompts differing in inferential depth, breadth, and policy sensitivity can induce systematically different non-generation burdens, and that these burdens can be decomposed in a reproducible way. The present pilot does not prove that claim, but it does make the claim empirically legible.</w:t>
      </w:r>
    </w:p>
    <w:bookmarkEnd w:id="40"/>
    <w:bookmarkStart w:id="41" w:name="limitations-and-future-work"/>
    <w:p>
      <w:pPr>
        <w:pStyle w:val="Heading1"/>
      </w:pPr>
      <w:r>
        <w:t xml:space="preserve">Limitations and Future Work</w:t>
      </w:r>
    </w:p>
    <w:p>
      <w:pPr>
        <w:pStyle w:val="FirstParagraph"/>
      </w:pPr>
      <w:r>
        <w:t xml:space="preserve">This manuscript reports only a small seed study and proposes a measurement framework rather than a validated scaling law. Four limitations matter most. First, the current sample is too small for stable effect estimation. Second, the pilot uses one serving configuration and therefore cannot separate model-specific behavior from broader regularities. Third, token counts are only one cost unit; latency and energy must be incorporated before strong operational claims can be made. Fourth, the ambition annotations themselves remain partly judgment-based and will require stronger inter-annotator or rubric-based validation.</w:t>
      </w:r>
    </w:p>
    <w:p>
      <w:pPr>
        <w:pStyle w:val="BodyText"/>
      </w:pPr>
      <w:r>
        <w:t xml:space="preserve">Immediate next steps are straightforward: expand the prompt families, pre-register the strata, replicate across open- and closed-weight systems, and report tokens, latency, and energy jointly wherever feasible. A stronger version of the paper would also test whether ambition predicts debt after explicitly controlling for domain, retrieval dependence, and safety policy mode.</w:t>
      </w:r>
    </w:p>
    <w:bookmarkEnd w:id="41"/>
    <w:bookmarkStart w:id="42" w:name="conclusion"/>
    <w:p>
      <w:pPr>
        <w:pStyle w:val="Heading1"/>
      </w:pPr>
      <w:r>
        <w:t xml:space="preserve">Conclusion</w:t>
      </w:r>
    </w:p>
    <w:p>
      <w:pPr>
        <w:pStyle w:val="FirstParagraph"/>
      </w:pPr>
      <w:r>
        <w:t xml:space="preserve">If algorithmic debt is real, prompt design should be evaluated the way systems engineers evaluate hidden coupling: not by how dramatic the request sounds, but by how much extra machinery it quietly forces into the loop.</w:t>
      </w:r>
    </w:p>
    <w:bookmarkEnd w:id="42"/>
    <w:bookmarkStart w:id="52" w:name="supplementary-benchmark-specification"/>
    <w:p>
      <w:pPr>
        <w:pStyle w:val="Heading1"/>
      </w:pPr>
      <w:r>
        <w:t xml:space="preserve">Supplementary benchmark specification</w:t>
      </w:r>
    </w:p>
    <w:p>
      <w:pPr>
        <w:pStyle w:val="FirstParagraph"/>
      </w:pPr>
      <w:r>
        <w:t xml:space="preserve">This appendix collects protocol details that are referenced in the main text.</w:t>
      </w:r>
    </w:p>
    <w:bookmarkStart w:id="45" w:name="annotated-variables-and-endpoints"/>
    <w:p>
      <w:pPr>
        <w:pStyle w:val="Heading2"/>
      </w:pPr>
      <w:r>
        <w:t xml:space="preserve">Annotated variables and endpoints</w:t>
      </w:r>
    </w:p>
    <w:bookmarkStart w:id="43" w:name="tab:bench-variables"/>
    <w:p>
      <w:pPr>
        <w:pStyle w:val="TableCaption"/>
      </w:pPr>
      <w:r>
        <w:t xml:space="preserve">Annotated benchmark variables used to score prompt ambition and to stratify prompt families.</w:t>
      </w:r>
    </w:p>
    <w:tbl>
      <w:tblPr>
        <w:tblStyle w:val="Table"/>
        <w:tblW w:type="pct" w:w="4600"/>
        <w:tblLayout w:type="fixed"/>
        <w:tblLook w:firstRow="1" w:lastRow="0" w:firstColumn="0" w:lastColumn="0" w:noHBand="0" w:noVBand="0" w:val="0020"/>
        <w:tblCaption w:val="Annotated benchmark variables used to score prompt ambition and to stratify prompt families."/>
      </w:tblPr>
      <w:tblGrid>
        <w:gridCol w:w="1742"/>
        <w:gridCol w:w="1188"/>
        <w:gridCol w:w="4356"/>
      </w:tblGrid>
      <w:tr>
        <w:trPr>
          <w:tblHeader w:val="on"/>
        </w:trPr>
        <w:tc>
          <w:tcPr/>
          <w:p>
            <w:pPr>
              <w:pStyle w:val="Compact"/>
              <w:jc w:val="left"/>
            </w:pPr>
            <w:r>
              <w:t xml:space="preserve">Variable</w:t>
            </w:r>
          </w:p>
        </w:tc>
        <w:tc>
          <w:tcPr/>
          <w:p>
            <w:pPr>
              <w:pStyle w:val="Compact"/>
              <w:jc w:val="left"/>
            </w:pPr>
            <w:r>
              <w:t xml:space="preserve">Symbol</w:t>
            </w:r>
          </w:p>
        </w:tc>
        <w:tc>
          <w:tcPr/>
          <w:p>
            <w:pPr>
              <w:pStyle w:val="Compact"/>
              <w:jc w:val="left"/>
            </w:pPr>
            <w:r>
              <w:t xml:space="preserve">Interpretation</w:t>
            </w:r>
          </w:p>
        </w:tc>
      </w:tr>
      <w:tr>
        <w:tc>
          <w:tcPr/>
          <w:p>
            <w:pPr>
              <w:pStyle w:val="Compact"/>
              <w:jc w:val="left"/>
            </w:pPr>
            <w:r>
              <w:t xml:space="preserve">Prompt length</w:t>
            </w:r>
          </w:p>
        </w:tc>
        <w:tc>
          <w:tcPr/>
          <w:p>
            <w:pPr>
              <w:pStyle w:val="Compact"/>
              <w:jc w:val="left"/>
            </w:pPr>
            <m:oMath>
              <m:r>
                <m:t>L</m:t>
              </m:r>
              <m:r>
                <m:rPr>
                  <m:sty m:val="p"/>
                </m:rPr>
                <m:t>(</m:t>
              </m:r>
              <m:r>
                <m:t>x</m:t>
              </m:r>
              <m:r>
                <m:rPr>
                  <m:sty m:val="p"/>
                </m:rPr>
                <m:t>)</m:t>
              </m:r>
            </m:oMath>
          </w:p>
        </w:tc>
        <w:tc>
          <w:tcPr/>
          <w:p>
            <w:pPr>
              <w:pStyle w:val="Compact"/>
              <w:jc w:val="left"/>
            </w:pPr>
            <w:r>
              <w:t xml:space="preserve">Tokenized input size after normalization</w:t>
            </w:r>
          </w:p>
        </w:tc>
      </w:tr>
      <w:tr>
        <w:tc>
          <w:tcPr/>
          <w:p>
            <w:pPr>
              <w:pStyle w:val="Compact"/>
              <w:jc w:val="left"/>
            </w:pPr>
            <w:r>
              <w:t xml:space="preserve">Reasoning depth</w:t>
            </w:r>
          </w:p>
        </w:tc>
        <w:tc>
          <w:tcPr/>
          <w:p>
            <w:pPr>
              <w:pStyle w:val="Compact"/>
              <w:jc w:val="left"/>
            </w:pPr>
            <m:oMath>
              <m:r>
                <m:t>D</m:t>
              </m:r>
              <m:r>
                <m:rPr>
                  <m:sty m:val="p"/>
                </m:rPr>
                <m:t>(</m:t>
              </m:r>
              <m:r>
                <m:t>x</m:t>
              </m:r>
              <m:r>
                <m:rPr>
                  <m:sty m:val="p"/>
                </m:rPr>
                <m:t>)</m:t>
              </m:r>
            </m:oMath>
          </w:p>
        </w:tc>
        <w:tc>
          <w:tcPr/>
          <w:p>
            <w:pPr>
              <w:pStyle w:val="Compact"/>
              <w:jc w:val="left"/>
            </w:pPr>
            <w:r>
              <w:t xml:space="preserve">Number of dependent inferential steps required</w:t>
            </w:r>
          </w:p>
        </w:tc>
      </w:tr>
      <w:tr>
        <w:tc>
          <w:tcPr/>
          <w:p>
            <w:pPr>
              <w:pStyle w:val="Compact"/>
              <w:jc w:val="left"/>
            </w:pPr>
            <w:r>
              <w:t xml:space="preserve">Conceptual breadth</w:t>
            </w:r>
          </w:p>
        </w:tc>
        <w:tc>
          <w:tcPr/>
          <w:p>
            <w:pPr>
              <w:pStyle w:val="Compact"/>
              <w:jc w:val="left"/>
            </w:pPr>
            <m:oMath>
              <m:r>
                <m:t>B</m:t>
              </m:r>
              <m:r>
                <m:rPr>
                  <m:sty m:val="p"/>
                </m:rPr>
                <m:t>(</m:t>
              </m:r>
              <m:r>
                <m:t>x</m:t>
              </m:r>
              <m:r>
                <m:rPr>
                  <m:sty m:val="p"/>
                </m:rPr>
                <m:t>)</m:t>
              </m:r>
            </m:oMath>
          </w:p>
        </w:tc>
        <w:tc>
          <w:tcPr/>
          <w:p>
            <w:pPr>
              <w:pStyle w:val="Compact"/>
              <w:jc w:val="left"/>
            </w:pPr>
            <w:r>
              <w:t xml:space="preserve">Number of distinct domains or constraints involved</w:t>
            </w:r>
          </w:p>
        </w:tc>
      </w:tr>
      <w:tr>
        <w:tc>
          <w:tcPr/>
          <w:p>
            <w:pPr>
              <w:pStyle w:val="Compact"/>
              <w:jc w:val="left"/>
            </w:pPr>
            <w:r>
              <w:t xml:space="preserve">Safety sensitivity</w:t>
            </w:r>
          </w:p>
        </w:tc>
        <w:tc>
          <w:tcPr/>
          <w:p>
            <w:pPr>
              <w:pStyle w:val="Compact"/>
              <w:jc w:val="left"/>
            </w:pPr>
            <m:oMath>
              <m:r>
                <m:t>R</m:t>
              </m:r>
              <m:r>
                <m:rPr>
                  <m:sty m:val="p"/>
                </m:rPr>
                <m:t>(</m:t>
              </m:r>
              <m:r>
                <m:t>x</m:t>
              </m:r>
              <m:r>
                <m:rPr>
                  <m:sty m:val="p"/>
                </m:rPr>
                <m:t>)</m:t>
              </m:r>
            </m:oMath>
          </w:p>
        </w:tc>
        <w:tc>
          <w:tcPr/>
          <w:p>
            <w:pPr>
              <w:pStyle w:val="Compact"/>
              <w:jc w:val="left"/>
            </w:pPr>
            <w:r>
              <w:t xml:space="preserve">Degree of policy, risk, or verification pressure</w:t>
            </w:r>
          </w:p>
        </w:tc>
      </w:tr>
      <w:tr>
        <w:tc>
          <w:tcPr/>
          <w:p>
            <w:pPr>
              <w:pStyle w:val="Compact"/>
              <w:jc w:val="left"/>
            </w:pPr>
            <w:r>
              <w:t xml:space="preserve">Debt ratio</w:t>
            </w:r>
          </w:p>
        </w:tc>
        <w:tc>
          <w:tcPr/>
          <w:p>
            <w:pPr>
              <w:pStyle w:val="Compact"/>
              <w:jc w:val="left"/>
            </w:pPr>
            <m:oMath>
              <m:r>
                <m:t>A</m:t>
              </m:r>
              <m:r>
                <m:t>D</m:t>
              </m:r>
              <m:r>
                <m:rPr>
                  <m:sty m:val="p"/>
                </m:rPr>
                <m:t>(</m:t>
              </m:r>
              <m:r>
                <m:t>x</m:t>
              </m:r>
              <m:r>
                <m:rPr>
                  <m:sty m:val="p"/>
                </m:rPr>
                <m:t>)</m:t>
              </m:r>
            </m:oMath>
          </w:p>
        </w:tc>
        <w:tc>
          <w:tcPr/>
          <w:p>
            <w:pPr>
              <w:pStyle w:val="Compact"/>
              <w:jc w:val="left"/>
            </w:pPr>
            <w:r>
              <w:t xml:space="preserve">Non-generation overhead relative to base generation</w:t>
            </w:r>
          </w:p>
        </w:tc>
      </w:tr>
    </w:tbl>
    <w:bookmarkEnd w:id="43"/>
    <w:bookmarkStart w:id="44" w:name="tab:bench-endpoints"/>
    <w:p>
      <w:pPr>
        <w:pStyle w:val="TableCaption"/>
      </w:pPr>
      <w:r>
        <w:t xml:space="preserve">Primary measured endpoints and their role in the decision rule.</w:t>
      </w:r>
    </w:p>
    <w:tbl>
      <w:tblPr>
        <w:tblStyle w:val="Table"/>
        <w:tblW w:type="pct" w:w="4600"/>
        <w:tblLayout w:type="fixed"/>
        <w:tblLook w:firstRow="1" w:lastRow="0" w:firstColumn="0" w:lastColumn="0" w:noHBand="0" w:noVBand="0" w:val="0020"/>
        <w:tblCaption w:val="Primary measured endpoints and their role in the decision rule."/>
      </w:tblPr>
      <w:tblGrid>
        <w:gridCol w:w="1900"/>
        <w:gridCol w:w="1425"/>
        <w:gridCol w:w="3960"/>
      </w:tblGrid>
      <w:tr>
        <w:trPr>
          <w:tblHeader w:val="on"/>
        </w:trPr>
        <w:tc>
          <w:tcPr/>
          <w:p>
            <w:pPr>
              <w:pStyle w:val="Compact"/>
              <w:jc w:val="left"/>
            </w:pPr>
            <w:r>
              <w:t xml:space="preserve">Endpoint</w:t>
            </w:r>
          </w:p>
        </w:tc>
        <w:tc>
          <w:tcPr/>
          <w:p>
            <w:pPr>
              <w:pStyle w:val="Compact"/>
              <w:jc w:val="left"/>
            </w:pPr>
            <w:r>
              <w:t xml:space="preserve">Symbol</w:t>
            </w:r>
          </w:p>
        </w:tc>
        <w:tc>
          <w:tcPr/>
          <w:p>
            <w:pPr>
              <w:pStyle w:val="Compact"/>
              <w:jc w:val="left"/>
            </w:pPr>
            <w:r>
              <w:t xml:space="preserve">Decision role</w:t>
            </w:r>
          </w:p>
        </w:tc>
      </w:tr>
      <w:tr>
        <w:tc>
          <w:tcPr/>
          <w:p>
            <w:pPr>
              <w:pStyle w:val="Compact"/>
              <w:jc w:val="left"/>
            </w:pPr>
            <w:r>
              <w:t xml:space="preserve">Generation cost</w:t>
            </w:r>
          </w:p>
        </w:tc>
        <w:tc>
          <w:tcPr/>
          <w:p>
            <w:pPr>
              <w:pStyle w:val="Compact"/>
              <w:jc w:val="left"/>
            </w:pPr>
            <m:oMath>
              <m:sSub>
                <m:e>
                  <m:r>
                    <m:t>C</m:t>
                  </m:r>
                </m:e>
                <m:sub>
                  <m:r>
                    <m:rPr>
                      <m:nor/>
                      <m:sty m:val="p"/>
                    </m:rPr>
                    <m:t>gen</m:t>
                  </m:r>
                </m:sub>
              </m:sSub>
            </m:oMath>
          </w:p>
        </w:tc>
        <w:tc>
          <w:tcPr/>
          <w:p>
            <w:pPr>
              <w:pStyle w:val="Compact"/>
              <w:jc w:val="left"/>
            </w:pPr>
            <w:r>
              <w:t xml:space="preserve">Baseline denominator</w:t>
            </w:r>
          </w:p>
        </w:tc>
      </w:tr>
      <w:tr>
        <w:tc>
          <w:tcPr/>
          <w:p>
            <w:pPr>
              <w:pStyle w:val="Compact"/>
              <w:jc w:val="left"/>
            </w:pPr>
            <w:r>
              <w:t xml:space="preserve">Verification cost</w:t>
            </w:r>
          </w:p>
        </w:tc>
        <w:tc>
          <w:tcPr/>
          <w:p>
            <w:pPr>
              <w:pStyle w:val="Compact"/>
              <w:jc w:val="left"/>
            </w:pPr>
            <m:oMath>
              <m:sSub>
                <m:e>
                  <m:r>
                    <m:t>C</m:t>
                  </m:r>
                </m:e>
                <m:sub>
                  <m:r>
                    <m:rPr>
                      <m:nor/>
                      <m:sty m:val="p"/>
                    </m:rPr>
                    <m:t>ver</m:t>
                  </m:r>
                </m:sub>
              </m:sSub>
            </m:oMath>
          </w:p>
        </w:tc>
        <w:tc>
          <w:tcPr/>
          <w:p>
            <w:pPr>
              <w:pStyle w:val="Compact"/>
              <w:jc w:val="left"/>
            </w:pPr>
            <w:r>
              <w:t xml:space="preserve">Captures checking overhead</w:t>
            </w:r>
          </w:p>
        </w:tc>
      </w:tr>
      <w:tr>
        <w:tc>
          <w:tcPr/>
          <w:p>
            <w:pPr>
              <w:pStyle w:val="Compact"/>
              <w:jc w:val="left"/>
            </w:pPr>
            <w:r>
              <w:t xml:space="preserve">Safety cost</w:t>
            </w:r>
          </w:p>
        </w:tc>
        <w:tc>
          <w:tcPr/>
          <w:p>
            <w:pPr>
              <w:pStyle w:val="Compact"/>
              <w:jc w:val="left"/>
            </w:pPr>
            <m:oMath>
              <m:sSub>
                <m:e>
                  <m:r>
                    <m:t>C</m:t>
                  </m:r>
                </m:e>
                <m:sub>
                  <m:r>
                    <m:rPr>
                      <m:nor/>
                      <m:sty m:val="p"/>
                    </m:rPr>
                    <m:t>safe</m:t>
                  </m:r>
                </m:sub>
              </m:sSub>
            </m:oMath>
          </w:p>
        </w:tc>
        <w:tc>
          <w:tcPr/>
          <w:p>
            <w:pPr>
              <w:pStyle w:val="Compact"/>
              <w:jc w:val="left"/>
            </w:pPr>
            <w:r>
              <w:t xml:space="preserve">Captures alignment overhead</w:t>
            </w:r>
          </w:p>
        </w:tc>
      </w:tr>
      <w:tr>
        <w:tc>
          <w:tcPr/>
          <w:p>
            <w:pPr>
              <w:pStyle w:val="Compact"/>
              <w:jc w:val="left"/>
            </w:pPr>
            <w:r>
              <w:t xml:space="preserve">Debt ratio</w:t>
            </w:r>
          </w:p>
        </w:tc>
        <w:tc>
          <w:tcPr/>
          <w:p>
            <w:pPr>
              <w:pStyle w:val="Compact"/>
              <w:jc w:val="left"/>
            </w:pPr>
            <m:oMath>
              <m:r>
                <m:t>A</m:t>
              </m:r>
              <m:r>
                <m:t>D</m:t>
              </m:r>
              <m:r>
                <m:rPr>
                  <m:sty m:val="p"/>
                </m:rPr>
                <m:t>(</m:t>
              </m:r>
              <m:r>
                <m:t>x</m:t>
              </m:r>
              <m:r>
                <m:rPr>
                  <m:sty m:val="p"/>
                </m:rPr>
                <m:t>)</m:t>
              </m:r>
            </m:oMath>
          </w:p>
        </w:tc>
        <w:tc>
          <w:tcPr/>
          <w:p>
            <w:pPr>
              <w:pStyle w:val="Compact"/>
              <w:jc w:val="left"/>
            </w:pPr>
            <w:r>
              <w:t xml:space="preserve">Primary normalized endpoint</w:t>
            </w:r>
          </w:p>
        </w:tc>
      </w:tr>
      <w:tr>
        <w:tc>
          <w:tcPr/>
          <w:p>
            <w:pPr>
              <w:pStyle w:val="Compact"/>
              <w:jc w:val="left"/>
            </w:pPr>
            <w:r>
              <w:t xml:space="preserve">Sequential burden</w:t>
            </w:r>
          </w:p>
        </w:tc>
        <w:tc>
          <w:tcPr/>
          <w:p>
            <w:pPr>
              <w:pStyle w:val="Compact"/>
              <w:jc w:val="left"/>
            </w:pPr>
            <m:oMath>
              <m:r>
                <m:t>S</m:t>
              </m:r>
              <m:r>
                <m:t>R</m:t>
              </m:r>
              <m:r>
                <m:rPr>
                  <m:sty m:val="p"/>
                </m:rPr>
                <m:t>(</m:t>
              </m:r>
              <m:r>
                <m:t>x</m:t>
              </m:r>
              <m:r>
                <m:rPr>
                  <m:sty m:val="p"/>
                </m:rPr>
                <m:t>)</m:t>
              </m:r>
            </m:oMath>
          </w:p>
        </w:tc>
        <w:tc>
          <w:tcPr/>
          <w:p>
            <w:pPr>
              <w:pStyle w:val="Compact"/>
              <w:jc w:val="left"/>
            </w:pPr>
            <w:r>
              <w:t xml:space="preserve">Captures multi-stage orchestration load</w:t>
            </w:r>
          </w:p>
        </w:tc>
      </w:tr>
    </w:tbl>
    <w:bookmarkEnd w:id="44"/>
    <w:bookmarkEnd w:id="45"/>
    <w:bookmarkStart w:id="47" w:name="reproducibility-checklist"/>
    <w:p>
      <w:pPr>
        <w:pStyle w:val="Heading2"/>
      </w:pPr>
      <w:r>
        <w:t xml:space="preserve">Reproducibility checklist</w:t>
      </w:r>
    </w:p>
    <w:bookmarkStart w:id="46" w:name="tab:repro-checklist"/>
    <w:p>
      <w:pPr>
        <w:pStyle w:val="TableCaption"/>
      </w:pPr>
      <w:r>
        <w:t xml:space="preserve">Reproducibility checklist for an algorithmic-debt measurement run (implementation-agnostic).</w:t>
      </w:r>
    </w:p>
    <w:tbl>
      <w:tblPr>
        <w:tblStyle w:val="Table"/>
        <w:tblW w:type="pct" w:w="4600"/>
        <w:tblLayout w:type="fixed"/>
        <w:tblLook w:firstRow="1" w:lastRow="0" w:firstColumn="0" w:lastColumn="0" w:noHBand="0" w:noVBand="0" w:val="0020"/>
        <w:tblCaption w:val="Reproducibility checklist for an algorithmic-debt measurement run (implementation-agnostic)."/>
      </w:tblPr>
      <w:tblGrid>
        <w:gridCol w:w="1900"/>
        <w:gridCol w:w="5385"/>
      </w:tblGrid>
      <w:tr>
        <w:trPr>
          <w:tblHeader w:val="on"/>
        </w:trPr>
        <w:tc>
          <w:tcPr/>
          <w:p>
            <w:pPr>
              <w:pStyle w:val="Compact"/>
              <w:jc w:val="left"/>
            </w:pPr>
            <w:r>
              <w:t xml:space="preserve">Category</w:t>
            </w:r>
          </w:p>
        </w:tc>
        <w:tc>
          <w:tcPr/>
          <w:p>
            <w:pPr>
              <w:pStyle w:val="Compact"/>
              <w:jc w:val="left"/>
            </w:pPr>
            <w:r>
              <w:t xml:space="preserve">Minimum information to report</w:t>
            </w:r>
          </w:p>
        </w:tc>
      </w:tr>
      <w:tr>
        <w:tc>
          <w:tcPr/>
          <w:p>
            <w:pPr>
              <w:pStyle w:val="Compact"/>
              <w:jc w:val="left"/>
            </w:pPr>
            <w:r>
              <w:t xml:space="preserve">Model identity</w:t>
            </w:r>
          </w:p>
        </w:tc>
        <w:tc>
          <w:tcPr/>
          <w:p>
            <w:pPr>
              <w:pStyle w:val="Compact"/>
              <w:jc w:val="left"/>
            </w:pPr>
            <w:r>
              <w:t xml:space="preserve">Model name, revision/hash (if available), context length, tokenizer version</w:t>
            </w:r>
          </w:p>
        </w:tc>
      </w:tr>
      <w:tr>
        <w:tc>
          <w:tcPr/>
          <w:p>
            <w:pPr>
              <w:pStyle w:val="Compact"/>
              <w:jc w:val="left"/>
            </w:pPr>
            <w:r>
              <w:t xml:space="preserve">Decoding</w:t>
            </w:r>
          </w:p>
        </w:tc>
        <w:tc>
          <w:tcPr/>
          <w:p>
            <w:pPr>
              <w:pStyle w:val="Compact"/>
              <w:jc w:val="left"/>
            </w:pPr>
            <w:r>
              <w:t xml:space="preserve">Temperature, top-</w:t>
            </w:r>
            <m:oMath>
              <m:r>
                <m:t>p</m:t>
              </m:r>
            </m:oMath>
            <w:r>
              <w:t xml:space="preserve">, max output tokens, stop conditions, any constraints</w:t>
            </w:r>
          </w:p>
        </w:tc>
      </w:tr>
      <w:tr>
        <w:tc>
          <w:tcPr/>
          <w:p>
            <w:pPr>
              <w:pStyle w:val="Compact"/>
              <w:jc w:val="left"/>
            </w:pPr>
            <w:r>
              <w:t xml:space="preserve">Stage policy</w:t>
            </w:r>
          </w:p>
        </w:tc>
        <w:tc>
          <w:tcPr/>
          <w:p>
            <w:pPr>
              <w:pStyle w:val="Compact"/>
              <w:jc w:val="left"/>
            </w:pPr>
            <w:r>
              <w:t xml:space="preserve">Stage types enabled, triggers, max stages</w:t>
            </w:r>
            <w:r>
              <w:t xml:space="preserve"> </w:t>
            </w:r>
            <m:oMath>
              <m:r>
                <m:t>m</m:t>
              </m:r>
              <m:r>
                <m:rPr>
                  <m:sty m:val="p"/>
                </m:rPr>
                <m:t>(</m:t>
              </m:r>
              <m:r>
                <m:t>x</m:t>
              </m:r>
              <m:r>
                <m:rPr>
                  <m:sty m:val="p"/>
                </m:rPr>
                <m:t>)</m:t>
              </m:r>
            </m:oMath>
            <w:r>
              <w:t xml:space="preserve">, accept/reject criteria</w:t>
            </w:r>
          </w:p>
        </w:tc>
      </w:tr>
      <w:tr>
        <w:tc>
          <w:tcPr/>
          <w:p>
            <w:pPr>
              <w:pStyle w:val="Compact"/>
              <w:jc w:val="left"/>
            </w:pPr>
            <w:r>
              <w:t xml:space="preserve">Cost units</w:t>
            </w:r>
          </w:p>
        </w:tc>
        <w:tc>
          <w:tcPr/>
          <w:p>
            <w:pPr>
              <w:pStyle w:val="Compact"/>
              <w:jc w:val="left"/>
            </w:pPr>
            <w:r>
              <w:t xml:space="preserve">Tokens (in/out per stage), latency (per stage + end-to-end), optional energy</w:t>
            </w:r>
          </w:p>
        </w:tc>
      </w:tr>
      <w:tr>
        <w:tc>
          <w:tcPr/>
          <w:p>
            <w:pPr>
              <w:pStyle w:val="Compact"/>
              <w:jc w:val="left"/>
            </w:pPr>
            <w:r>
              <w:t xml:space="preserve">Hardware/runtime</w:t>
            </w:r>
          </w:p>
        </w:tc>
        <w:tc>
          <w:tcPr/>
          <w:p>
            <w:pPr>
              <w:pStyle w:val="Compact"/>
              <w:jc w:val="left"/>
            </w:pPr>
            <w:r>
              <w:t xml:space="preserve">Device type, precision, batch size, framework + version</w:t>
            </w:r>
          </w:p>
        </w:tc>
      </w:tr>
      <w:tr>
        <w:tc>
          <w:tcPr/>
          <w:p>
            <w:pPr>
              <w:pStyle w:val="Compact"/>
              <w:jc w:val="left"/>
            </w:pPr>
            <w:r>
              <w:t xml:space="preserve">Randomness</w:t>
            </w:r>
          </w:p>
        </w:tc>
        <w:tc>
          <w:tcPr/>
          <w:p>
            <w:pPr>
              <w:pStyle w:val="Compact"/>
              <w:jc w:val="left"/>
            </w:pPr>
            <w:r>
              <w:t xml:space="preserve">Seeds (where applicable), number of repeated runs per prompt</w:t>
            </w:r>
          </w:p>
        </w:tc>
      </w:tr>
      <w:tr>
        <w:tc>
          <w:tcPr/>
          <w:p>
            <w:pPr>
              <w:pStyle w:val="Compact"/>
              <w:jc w:val="left"/>
            </w:pPr>
            <w:r>
              <w:t xml:space="preserve">Logging</w:t>
            </w:r>
          </w:p>
        </w:tc>
        <w:tc>
          <w:tcPr/>
          <w:p>
            <w:pPr>
              <w:pStyle w:val="Compact"/>
              <w:jc w:val="left"/>
            </w:pPr>
            <w:r>
              <w:t xml:space="preserve">Timestamps, per-stage metadata, tool-call flags, caching on/off</w:t>
            </w:r>
          </w:p>
        </w:tc>
      </w:tr>
      <w:tr>
        <w:tc>
          <w:tcPr/>
          <w:p>
            <w:pPr>
              <w:pStyle w:val="Compact"/>
              <w:jc w:val="left"/>
            </w:pPr>
            <w:r>
              <w:t xml:space="preserve">Prompt release</w:t>
            </w:r>
          </w:p>
        </w:tc>
        <w:tc>
          <w:tcPr/>
          <w:p>
            <w:pPr>
              <w:pStyle w:val="Compact"/>
              <w:jc w:val="left"/>
            </w:pPr>
            <w:r>
              <w:t xml:space="preserve">Prompt families + annotations, or a clear access/availability statement</w:t>
            </w:r>
          </w:p>
        </w:tc>
      </w:tr>
    </w:tbl>
    <w:bookmarkEnd w:id="46"/>
    <w:bookmarkEnd w:id="47"/>
    <w:bookmarkStart w:id="49" w:name="stage-taxonomy"/>
    <w:p>
      <w:pPr>
        <w:pStyle w:val="Heading2"/>
      </w:pPr>
      <w:r>
        <w:t xml:space="preserve">Stage taxonomy</w:t>
      </w:r>
    </w:p>
    <w:bookmarkStart w:id="48" w:name="tab:stage-taxonomy"/>
    <w:p>
      <w:pPr>
        <w:pStyle w:val="TableCaption"/>
      </w:pPr>
      <w:r>
        <w:t xml:space="preserve">Stage taxonomy for logging and for separating generation from non-generation overhead.</w:t>
      </w:r>
    </w:p>
    <w:tbl>
      <w:tblPr>
        <w:tblStyle w:val="Table"/>
        <w:tblW w:type="pct" w:w="4600"/>
        <w:tblLayout w:type="fixed"/>
        <w:tblLook w:firstRow="1" w:lastRow="0" w:firstColumn="0" w:lastColumn="0" w:noHBand="0" w:noVBand="0" w:val="0020"/>
        <w:tblCaption w:val="Stage taxonomy for logging and for separating generation from non-generation overhead."/>
      </w:tblPr>
      <w:tblGrid>
        <w:gridCol w:w="1267"/>
        <w:gridCol w:w="2376"/>
        <w:gridCol w:w="3643"/>
      </w:tblGrid>
      <w:tr>
        <w:trPr>
          <w:tblHeader w:val="on"/>
        </w:trPr>
        <w:tc>
          <w:tcPr/>
          <w:p>
            <w:pPr>
              <w:pStyle w:val="Compact"/>
              <w:jc w:val="left"/>
            </w:pPr>
            <w:r>
              <w:t xml:space="preserve">Stage type</w:t>
            </w:r>
          </w:p>
        </w:tc>
        <w:tc>
          <w:tcPr/>
          <w:p>
            <w:pPr>
              <w:pStyle w:val="Compact"/>
              <w:jc w:val="left"/>
            </w:pPr>
            <w:r>
              <w:t xml:space="preserve">Typical trigger (observable)</w:t>
            </w:r>
          </w:p>
        </w:tc>
        <w:tc>
          <w:tcPr/>
          <w:p>
            <w:pPr>
              <w:pStyle w:val="Compact"/>
              <w:jc w:val="left"/>
            </w:pPr>
            <w:r>
              <w:t xml:space="preserve">What to log (minimum)</w:t>
            </w:r>
          </w:p>
        </w:tc>
      </w:tr>
      <w:tr>
        <w:tc>
          <w:tcPr/>
          <w:p>
            <w:pPr>
              <w:pStyle w:val="Compact"/>
              <w:jc w:val="left"/>
            </w:pPr>
            <w:r>
              <w:t xml:space="preserve">Generation</w:t>
            </w:r>
          </w:p>
        </w:tc>
        <w:tc>
          <w:tcPr/>
          <w:p>
            <w:pPr>
              <w:pStyle w:val="Compact"/>
              <w:jc w:val="left"/>
            </w:pPr>
            <w:r>
              <w:t xml:space="preserve">Response requested; decoding begins</w:t>
            </w:r>
          </w:p>
        </w:tc>
        <w:tc>
          <w:tcPr/>
          <w:p>
            <w:pPr>
              <w:pStyle w:val="Compact"/>
              <w:jc w:val="left"/>
            </w:pPr>
            <w:r>
              <w:t xml:space="preserve">Input/output tokens, latency, decoding parameters, cache hits</w:t>
            </w:r>
          </w:p>
        </w:tc>
      </w:tr>
      <w:tr>
        <w:tc>
          <w:tcPr/>
          <w:p>
            <w:pPr>
              <w:pStyle w:val="Compact"/>
              <w:jc w:val="left"/>
            </w:pPr>
            <w:r>
              <w:t xml:space="preserve">Verification</w:t>
            </w:r>
          </w:p>
        </w:tc>
        <w:tc>
          <w:tcPr/>
          <w:p>
            <w:pPr>
              <w:pStyle w:val="Compact"/>
              <w:jc w:val="left"/>
            </w:pPr>
            <w:r>
              <w:t xml:space="preserve">Factuality/consistency required; check invoked</w:t>
            </w:r>
          </w:p>
        </w:tc>
        <w:tc>
          <w:tcPr/>
          <w:p>
            <w:pPr>
              <w:pStyle w:val="Compact"/>
              <w:jc w:val="left"/>
            </w:pPr>
            <w:r>
              <w:t xml:space="preserve">Check method (tool/self-check), number of checks, added tokens, latency</w:t>
            </w:r>
          </w:p>
        </w:tc>
      </w:tr>
      <w:tr>
        <w:tc>
          <w:tcPr/>
          <w:p>
            <w:pPr>
              <w:pStyle w:val="Compact"/>
              <w:jc w:val="left"/>
            </w:pPr>
            <w:r>
              <w:t xml:space="preserve">Safety</w:t>
            </w:r>
          </w:p>
        </w:tc>
        <w:tc>
          <w:tcPr/>
          <w:p>
            <w:pPr>
              <w:pStyle w:val="Compact"/>
              <w:jc w:val="left"/>
            </w:pPr>
            <w:r>
              <w:t xml:space="preserve">Policy risk elevated; filter/classifier invoked; refusal/rewrites possible</w:t>
            </w:r>
          </w:p>
        </w:tc>
        <w:tc>
          <w:tcPr/>
          <w:p>
            <w:pPr>
              <w:pStyle w:val="Compact"/>
              <w:jc w:val="left"/>
            </w:pPr>
            <w:r>
              <w:t xml:space="preserve">Policy mode, classifier decision, block/allow, rewrites, added tokens/latency</w:t>
            </w:r>
          </w:p>
        </w:tc>
      </w:tr>
    </w:tbl>
    <w:bookmarkEnd w:id="48"/>
    <w:bookmarkEnd w:id="49"/>
    <w:bookmarkStart w:id="51" w:name="common-confounds"/>
    <w:p>
      <w:pPr>
        <w:pStyle w:val="Heading2"/>
      </w:pPr>
      <w:r>
        <w:t xml:space="preserve">Common confounds</w:t>
      </w:r>
    </w:p>
    <w:bookmarkStart w:id="50" w:name="tab:confounds"/>
    <w:p>
      <w:pPr>
        <w:pStyle w:val="TableCaption"/>
      </w:pPr>
      <w:r>
        <w:t xml:space="preserve">Common confounds and mitigations when estimating algorithmic debt under length control.</w:t>
      </w:r>
    </w:p>
    <w:tbl>
      <w:tblPr>
        <w:tblStyle w:val="Table"/>
        <w:tblW w:type="pct" w:w="4600"/>
        <w:tblLayout w:type="fixed"/>
        <w:tblLook w:firstRow="1" w:lastRow="0" w:firstColumn="0" w:lastColumn="0" w:noHBand="0" w:noVBand="0" w:val="0020"/>
        <w:tblCaption w:val="Common confounds and mitigations when estimating algorithmic debt under length control."/>
      </w:tblPr>
      <w:tblGrid>
        <w:gridCol w:w="2217"/>
        <w:gridCol w:w="2217"/>
        <w:gridCol w:w="2851"/>
      </w:tblGrid>
      <w:tr>
        <w:trPr>
          <w:tblHeader w:val="on"/>
        </w:trPr>
        <w:tc>
          <w:tcPr/>
          <w:p>
            <w:pPr>
              <w:pStyle w:val="Compact"/>
              <w:jc w:val="left"/>
            </w:pPr>
            <w:r>
              <w:t xml:space="preserve">Confound</w:t>
            </w:r>
          </w:p>
        </w:tc>
        <w:tc>
          <w:tcPr/>
          <w:p>
            <w:pPr>
              <w:pStyle w:val="Compact"/>
              <w:jc w:val="left"/>
            </w:pPr>
            <w:r>
              <w:t xml:space="preserve">Symptom in logs</w:t>
            </w:r>
          </w:p>
        </w:tc>
        <w:tc>
          <w:tcPr/>
          <w:p>
            <w:pPr>
              <w:pStyle w:val="Compact"/>
              <w:jc w:val="left"/>
            </w:pPr>
            <w:r>
              <w:t xml:space="preserve">Mitigation (protocol-level)</w:t>
            </w:r>
          </w:p>
        </w:tc>
      </w:tr>
      <w:tr>
        <w:tc>
          <w:tcPr/>
          <w:p>
            <w:pPr>
              <w:pStyle w:val="Compact"/>
              <w:jc w:val="left"/>
            </w:pPr>
            <w:r>
              <w:t xml:space="preserve">Long prompt, trivial reasoning</w:t>
            </w:r>
          </w:p>
        </w:tc>
        <w:tc>
          <w:tcPr/>
          <w:p>
            <w:pPr>
              <w:pStyle w:val="Compact"/>
              <w:jc w:val="left"/>
            </w:pPr>
            <w:r>
              <w:t xml:space="preserve">High tokens, low stage count; low variance across runs</w:t>
            </w:r>
          </w:p>
        </w:tc>
        <w:tc>
          <w:tcPr/>
          <w:p>
            <w:pPr>
              <w:pStyle w:val="Compact"/>
              <w:jc w:val="left"/>
            </w:pPr>
            <w:r>
              <w:t xml:space="preserve">Add independent</w:t>
            </w:r>
            <w:r>
              <w:t xml:space="preserve"> </w:t>
            </w:r>
            <m:oMath>
              <m:r>
                <m:t>D</m:t>
              </m:r>
              <m:r>
                <m:rPr>
                  <m:sty m:val="p"/>
                </m:rPr>
                <m:t>(</m:t>
              </m:r>
              <m:r>
                <m:t>x</m:t>
              </m:r>
              <m:r>
                <m:rPr>
                  <m:sty m:val="p"/>
                </m:rPr>
                <m:t>)</m:t>
              </m:r>
            </m:oMath>
            <w:r>
              <w:t xml:space="preserve"> </w:t>
            </w:r>
            <w:r>
              <w:t xml:space="preserve">annotation; include easy baselines within each length bin</w:t>
            </w:r>
          </w:p>
        </w:tc>
      </w:tr>
      <w:tr>
        <w:tc>
          <w:tcPr/>
          <w:p>
            <w:pPr>
              <w:pStyle w:val="Compact"/>
              <w:jc w:val="left"/>
            </w:pPr>
            <w:r>
              <w:t xml:space="preserve">Short prompt, hidden expertise</w:t>
            </w:r>
          </w:p>
        </w:tc>
        <w:tc>
          <w:tcPr/>
          <w:p>
            <w:pPr>
              <w:pStyle w:val="Compact"/>
              <w:jc w:val="left"/>
            </w:pPr>
            <w:r>
              <w:t xml:space="preserve">Low tokens but high</w:t>
            </w:r>
            <w:r>
              <w:t xml:space="preserve"> </w:t>
            </w:r>
            <m:oMath>
              <m:sSub>
                <m:e>
                  <m:r>
                    <m:t>C</m:t>
                  </m:r>
                </m:e>
                <m:sub>
                  <m:r>
                    <m:rPr>
                      <m:nor/>
                      <m:sty m:val="p"/>
                    </m:rPr>
                    <m:t>ver</m:t>
                  </m:r>
                </m:sub>
              </m:sSub>
            </m:oMath>
            <w:r>
              <w:t xml:space="preserve"> </w:t>
            </w:r>
            <w:r>
              <w:t xml:space="preserve">from repeated checks</w:t>
            </w:r>
          </w:p>
        </w:tc>
        <w:tc>
          <w:tcPr/>
          <w:p>
            <w:pPr>
              <w:pStyle w:val="Compact"/>
              <w:jc w:val="left"/>
            </w:pPr>
            <w:r>
              <w:t xml:space="preserve">Annotate domain difficulty; stratify by topic; report per-family debt</w:t>
            </w:r>
          </w:p>
        </w:tc>
      </w:tr>
      <w:tr>
        <w:tc>
          <w:tcPr/>
          <w:p>
            <w:pPr>
              <w:pStyle w:val="Compact"/>
              <w:jc w:val="left"/>
            </w:pPr>
            <w:r>
              <w:t xml:space="preserve">Infra latency (non-model)</w:t>
            </w:r>
          </w:p>
        </w:tc>
        <w:tc>
          <w:tcPr/>
          <w:p>
            <w:pPr>
              <w:pStyle w:val="Compact"/>
              <w:jc w:val="left"/>
            </w:pPr>
            <w:r>
              <w:t xml:space="preserve">Spikes in wall-clock without token increases</w:t>
            </w:r>
          </w:p>
        </w:tc>
        <w:tc>
          <w:tcPr/>
          <w:p>
            <w:pPr>
              <w:pStyle w:val="Compact"/>
              <w:jc w:val="left"/>
            </w:pPr>
            <w:r>
              <w:t xml:space="preserve">Separate token and latency metrics; record system load; repeat runs</w:t>
            </w:r>
          </w:p>
        </w:tc>
      </w:tr>
      <w:tr>
        <w:tc>
          <w:tcPr/>
          <w:p>
            <w:pPr>
              <w:pStyle w:val="Compact"/>
              <w:jc w:val="left"/>
            </w:pPr>
            <w:r>
              <w:t xml:space="preserve">Retrieval/pathology misattributed to verification</w:t>
            </w:r>
          </w:p>
        </w:tc>
        <w:tc>
          <w:tcPr/>
          <w:p>
            <w:pPr>
              <w:pStyle w:val="Compact"/>
              <w:jc w:val="left"/>
            </w:pPr>
            <w:r>
              <w:t xml:space="preserve">Verification stages triggered by missing/contradictory context</w:t>
            </w:r>
          </w:p>
        </w:tc>
        <w:tc>
          <w:tcPr/>
          <w:p>
            <w:pPr>
              <w:pStyle w:val="Compact"/>
              <w:jc w:val="left"/>
            </w:pPr>
            <w:r>
              <w:t xml:space="preserve">Log retrieval events separately; exclude known context-window failures in sensitivity analysis</w:t>
            </w:r>
          </w:p>
        </w:tc>
      </w:tr>
    </w:tbl>
    <w:bookmarkEnd w:id="50"/>
    <w:bookmarkEnd w:id="51"/>
    <w:bookmarkEnd w:id="52"/>
    <w:bookmarkStart w:id="55" w:name="Xc3812ec65fb2802ea0bf81b2cbc5a5136539712"/>
    <w:p>
      <w:pPr>
        <w:pStyle w:val="Heading1"/>
      </w:pPr>
      <w:r>
        <w:t xml:space="preserve">Prompt Family Template (Reporting Checklist)</w:t>
      </w:r>
    </w:p>
    <w:bookmarkStart w:id="53" w:name="tab:checklist"/>
    <w:p>
      <w:pPr>
        <w:pStyle w:val="TableCaption"/>
      </w:pPr>
      <w:r>
        <w:t xml:space="preserve">Minimum reporting checklist to make debt measurements comparable across systems.</w:t>
      </w:r>
    </w:p>
    <w:tbl>
      <w:tblPr>
        <w:tblStyle w:val="Table"/>
        <w:tblW w:type="pct" w:w="4600"/>
        <w:tblLayout w:type="fixed"/>
        <w:tblLook w:firstRow="1" w:lastRow="0" w:firstColumn="0" w:lastColumn="0" w:noHBand="0" w:noVBand="0" w:val="0020"/>
        <w:tblCaption w:val="Minimum reporting checklist to make debt measurements comparable across systems."/>
      </w:tblPr>
      <w:tblGrid>
        <w:gridCol w:w="1742"/>
        <w:gridCol w:w="5544"/>
      </w:tblGrid>
      <w:tr>
        <w:trPr>
          <w:tblHeader w:val="on"/>
        </w:trPr>
        <w:tc>
          <w:tcPr/>
          <w:p>
            <w:pPr>
              <w:pStyle w:val="Compact"/>
              <w:jc w:val="left"/>
            </w:pPr>
            <w:r>
              <w:t xml:space="preserve">Item</w:t>
            </w:r>
          </w:p>
        </w:tc>
        <w:tc>
          <w:tcPr/>
          <w:p>
            <w:pPr>
              <w:pStyle w:val="Compact"/>
              <w:jc w:val="left"/>
            </w:pPr>
            <w:r>
              <w:t xml:space="preserve">What to report for each prompt family</w:t>
            </w:r>
          </w:p>
        </w:tc>
      </w:tr>
      <w:tr>
        <w:tc>
          <w:tcPr/>
          <w:p>
            <w:pPr>
              <w:pStyle w:val="Compact"/>
              <w:jc w:val="left"/>
            </w:pPr>
            <w:r>
              <w:t xml:space="preserve">Family ID</w:t>
            </w:r>
          </w:p>
        </w:tc>
        <w:tc>
          <w:tcPr/>
          <w:p>
            <w:pPr>
              <w:pStyle w:val="Compact"/>
              <w:jc w:val="left"/>
            </w:pPr>
            <w:r>
              <w:t xml:space="preserve">Stable identifier and a one-line description</w:t>
            </w:r>
          </w:p>
        </w:tc>
      </w:tr>
      <w:tr>
        <w:tc>
          <w:tcPr/>
          <w:p>
            <w:pPr>
              <w:pStyle w:val="Compact"/>
              <w:jc w:val="left"/>
            </w:pPr>
            <w:r>
              <w:t xml:space="preserve">Length control</w:t>
            </w:r>
          </w:p>
        </w:tc>
        <w:tc>
          <w:tcPr/>
          <w:p>
            <w:pPr>
              <w:pStyle w:val="Compact"/>
              <w:jc w:val="left"/>
            </w:pPr>
            <w:r>
              <w:t xml:space="preserve">Input token bin or matching rule</w:t>
            </w:r>
          </w:p>
        </w:tc>
      </w:tr>
      <w:tr>
        <w:tc>
          <w:tcPr/>
          <w:p>
            <w:pPr>
              <w:pStyle w:val="Compact"/>
              <w:jc w:val="left"/>
            </w:pPr>
            <w:r>
              <w:t xml:space="preserve">Depth</w:t>
            </w:r>
            <w:r>
              <w:t xml:space="preserve"> </w:t>
            </w:r>
            <m:oMath>
              <m:r>
                <m:t>D</m:t>
              </m:r>
              <m:r>
                <m:rPr>
                  <m:sty m:val="p"/>
                </m:rPr>
                <m:t>(</m:t>
              </m:r>
              <m:r>
                <m:t>x</m:t>
              </m:r>
              <m:r>
                <m:rPr>
                  <m:sty m:val="p"/>
                </m:rPr>
                <m:t>)</m:t>
              </m:r>
            </m:oMath>
          </w:p>
        </w:tc>
        <w:tc>
          <w:tcPr/>
          <w:p>
            <w:pPr>
              <w:pStyle w:val="Compact"/>
              <w:jc w:val="left"/>
            </w:pPr>
            <w:r>
              <w:t xml:space="preserve">Annotation rubric + example prompt(s)</w:t>
            </w:r>
          </w:p>
        </w:tc>
      </w:tr>
      <w:tr>
        <w:tc>
          <w:tcPr/>
          <w:p>
            <w:pPr>
              <w:pStyle w:val="Compact"/>
              <w:jc w:val="left"/>
            </w:pPr>
            <w:r>
              <w:t xml:space="preserve">Breadth</w:t>
            </w:r>
            <w:r>
              <w:t xml:space="preserve"> </w:t>
            </w:r>
            <m:oMath>
              <m:r>
                <m:t>B</m:t>
              </m:r>
              <m:r>
                <m:rPr>
                  <m:sty m:val="p"/>
                </m:rPr>
                <m:t>(</m:t>
              </m:r>
              <m:r>
                <m:t>x</m:t>
              </m:r>
              <m:r>
                <m:rPr>
                  <m:sty m:val="p"/>
                </m:rPr>
                <m:t>)</m:t>
              </m:r>
            </m:oMath>
          </w:p>
        </w:tc>
        <w:tc>
          <w:tcPr/>
          <w:p>
            <w:pPr>
              <w:pStyle w:val="Compact"/>
              <w:jc w:val="left"/>
            </w:pPr>
            <w:r>
              <w:t xml:space="preserve">Domains/constraints counted and rubric</w:t>
            </w:r>
          </w:p>
        </w:tc>
      </w:tr>
      <w:tr>
        <w:tc>
          <w:tcPr/>
          <w:p>
            <w:pPr>
              <w:pStyle w:val="Compact"/>
              <w:jc w:val="left"/>
            </w:pPr>
            <w:r>
              <w:t xml:space="preserve">Risk</w:t>
            </w:r>
            <w:r>
              <w:t xml:space="preserve"> </w:t>
            </w:r>
            <m:oMath>
              <m:r>
                <m:t>R</m:t>
              </m:r>
              <m:r>
                <m:rPr>
                  <m:sty m:val="p"/>
                </m:rPr>
                <m:t>(</m:t>
              </m:r>
              <m:r>
                <m:t>x</m:t>
              </m:r>
              <m:r>
                <m:rPr>
                  <m:sty m:val="p"/>
                </m:rPr>
                <m:t>)</m:t>
              </m:r>
            </m:oMath>
          </w:p>
        </w:tc>
        <w:tc>
          <w:tcPr/>
          <w:p>
            <w:pPr>
              <w:pStyle w:val="Compact"/>
              <w:jc w:val="left"/>
            </w:pPr>
            <w:r>
              <w:t xml:space="preserve">Safety/verification triggers and rubric</w:t>
            </w:r>
          </w:p>
        </w:tc>
      </w:tr>
      <w:tr>
        <w:tc>
          <w:tcPr/>
          <w:p>
            <w:pPr>
              <w:pStyle w:val="Compact"/>
              <w:jc w:val="left"/>
            </w:pPr>
            <w:r>
              <w:t xml:space="preserve">Stages</w:t>
            </w:r>
          </w:p>
        </w:tc>
        <w:tc>
          <w:tcPr/>
          <w:p>
            <w:pPr>
              <w:pStyle w:val="Compact"/>
              <w:jc w:val="left"/>
            </w:pPr>
            <w:r>
              <w:t xml:space="preserve">Allowed stage types and max stages</w:t>
            </w:r>
            <w:r>
              <w:t xml:space="preserve"> </w:t>
            </w:r>
            <m:oMath>
              <m:r>
                <m:t>m</m:t>
              </m:r>
              <m:r>
                <m:rPr>
                  <m:sty m:val="p"/>
                </m:rPr>
                <m:t>(</m:t>
              </m:r>
              <m:r>
                <m:t>x</m:t>
              </m:r>
              <m:r>
                <m:rPr>
                  <m:sty m:val="p"/>
                </m:rPr>
                <m:t>)</m:t>
              </m:r>
            </m:oMath>
          </w:p>
        </w:tc>
      </w:tr>
      <w:tr>
        <w:tc>
          <w:tcPr/>
          <w:p>
            <w:pPr>
              <w:pStyle w:val="Compact"/>
              <w:jc w:val="left"/>
            </w:pPr>
            <w:r>
              <w:t xml:space="preserve">Metrics</w:t>
            </w:r>
          </w:p>
        </w:tc>
        <w:tc>
          <w:tcPr/>
          <w:p>
            <w:pPr>
              <w:pStyle w:val="Compact"/>
              <w:jc w:val="left"/>
            </w:pPr>
            <w:r>
              <w:t xml:space="preserve">Tokens, latency, optional energy; how aggregated</w:t>
            </w:r>
          </w:p>
        </w:tc>
      </w:tr>
      <w:tr>
        <w:tc>
          <w:tcPr/>
          <w:p>
            <w:pPr>
              <w:pStyle w:val="Compact"/>
              <w:jc w:val="left"/>
            </w:pPr>
            <w:r>
              <w:t xml:space="preserve">Release</w:t>
            </w:r>
          </w:p>
        </w:tc>
        <w:tc>
          <w:tcPr/>
          <w:p>
            <w:pPr>
              <w:pStyle w:val="Compact"/>
              <w:jc w:val="left"/>
            </w:pPr>
            <w:r>
              <w:t xml:space="preserve">Whether prompts/logs are shared (and where)</w:t>
            </w:r>
          </w:p>
        </w:tc>
      </w:tr>
    </w:tbl>
    <w:bookmarkEnd w:id="53"/>
    <w:bookmarkStart w:id="54" w:name="fig:alluka-workflow"/>
    <w:tbl>
      <w:tblPr>
        <w:tblStyle w:val="FigureTable"/>
        <w:tblW w:type="auto" w:w="0"/>
        <w:jc w:val="center"/>
        <w:tblLook w:firstRow="0" w:lastRow="0" w:firstColumn="0" w:lastColumn="0"/>
      </w:tblPr>
      <w:tblGrid/>
    </w:tbl>
    <w:p>
      <w:pPr>
        <w:pStyle w:val="ImageCaption"/>
      </w:pPr>
      <w:r>
        <w:t xml:space="preserve">Reporting workflow for a debt-measurement study. The emphasis is on separating ambition annotation from downstream operational logging.</w:t>
      </w:r>
    </w:p>
    <w:bookmarkEnd w:id="54"/>
    <w:bookmarkEnd w:id="55"/>
    <w:bookmarkStart w:id="61" w:name="declarations"/>
    <w:p>
      <w:pPr>
        <w:pStyle w:val="Heading1"/>
      </w:pPr>
      <w:r>
        <w:t xml:space="preserve">Declarations</w:t>
      </w:r>
    </w:p>
    <w:bookmarkStart w:id="56" w:name="funding"/>
    <w:p>
      <w:pPr>
        <w:pStyle w:val="Heading4"/>
      </w:pPr>
      <w:r>
        <w:t xml:space="preserve">Funding</w:t>
      </w:r>
    </w:p>
    <w:p>
      <w:pPr>
        <w:pStyle w:val="FirstParagraph"/>
      </w:pPr>
      <w:r>
        <w:t xml:space="preserve">No external funding was received for this work.</w:t>
      </w:r>
    </w:p>
    <w:bookmarkEnd w:id="56"/>
    <w:bookmarkStart w:id="57" w:name="competing-interests"/>
    <w:p>
      <w:pPr>
        <w:pStyle w:val="Heading4"/>
      </w:pPr>
      <w:r>
        <w:t xml:space="preserve">Competing interests</w:t>
      </w:r>
    </w:p>
    <w:p>
      <w:pPr>
        <w:pStyle w:val="FirstParagraph"/>
      </w:pPr>
      <w:r>
        <w:t xml:space="preserve">The author declares no competing interests.</w:t>
      </w:r>
    </w:p>
    <w:bookmarkEnd w:id="57"/>
    <w:bookmarkStart w:id="58" w:name="data-and-materials-availability"/>
    <w:p>
      <w:pPr>
        <w:pStyle w:val="Heading4"/>
      </w:pPr>
      <w:r>
        <w:t xml:space="preserve">Data and materials availability</w:t>
      </w:r>
    </w:p>
    <w:p>
      <w:pPr>
        <w:pStyle w:val="FirstParagraph"/>
      </w:pPr>
      <w:r>
        <w:t xml:space="preserve">The data supporting the findings of this study are available from the corresponding author upon reasonable request.</w:t>
      </w:r>
    </w:p>
    <w:bookmarkEnd w:id="58"/>
    <w:bookmarkStart w:id="59" w:name="code-availability"/>
    <w:p>
      <w:pPr>
        <w:pStyle w:val="Heading4"/>
      </w:pPr>
      <w:r>
        <w:t xml:space="preserve">Code availability</w:t>
      </w:r>
    </w:p>
    <w:p>
      <w:pPr>
        <w:pStyle w:val="FirstParagraph"/>
      </w:pPr>
      <w:r>
        <w:t xml:space="preserve">The code used for measurement is available from the corresponding author upon reasonable request.</w:t>
      </w:r>
    </w:p>
    <w:bookmarkEnd w:id="59"/>
    <w:bookmarkStart w:id="60" w:name="author-contributions"/>
    <w:p>
      <w:pPr>
        <w:pStyle w:val="Heading4"/>
      </w:pPr>
      <w:r>
        <w:t xml:space="preserve">Author contributions</w:t>
      </w:r>
    </w:p>
    <w:p>
      <w:pPr>
        <w:pStyle w:val="FirstParagraph"/>
      </w:pPr>
      <w:r>
        <w:t xml:space="preserve">Aryan Singh Chandel: conceptualization, methodology, writing—original draft, writing—review and editing.</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23" Target="media/rId23.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Alluka Something Algorithmic Debt: A Formal View of Prompt Ambition, Verification Overhead, and Sequential Safety Cost</dc:title>
  <dc:creator>Aryan Singh Chandel </dc:creator>
  <cp:keywords/>
  <dcterms:created xsi:type="dcterms:W3CDTF">2026-06-26T14:20:54Z</dcterms:created>
  <dcterms:modified xsi:type="dcterms:W3CDTF">2026-06-26T14:20:54Z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Token counts are an incomplete proxy for the operational cost of serving large language models. Prompts of comparable length can induce very different amounts of non-generation work, including retrieval, decomposition, verification, and safety filtering. We propose an explicit cost decomposition into generation, verification, and safety terms and define a normalized algorithmic debt ratio that isolates overhead relative to base generation. We also introduce a length-controlled benchmarking protocol that stratifies prompts by annotated ambition—depth, breadth, and risk—and records stage-wise token, latency, and, when available, energy measurements. A small pilot study demonstrates the measurement workflow and motivates larger, pre-registered evaluations.</vt:lpwstr>
  </property>
  <property fmtid="{D5CDD505-2E9C-101B-9397-08002B2CF9AE}" pid="3" name="bibliography">
    <vt:lpwstr/>
  </property>
  <property fmtid="{D5CDD505-2E9C-101B-9397-08002B2CF9AE}" pid="4" name="date">
    <vt:lpwstr>June 26, 2026</vt:lpwstr>
  </property>
</Properties>
</file>