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Neuro-Spike SegNet: Biomimetic Sleep–Wake Gating for Redundancy-Suppressed Spiking Segmentation</w:t>
      </w:r>
    </w:p>
    <w:p>
      <w:pPr>
        <w:pStyle w:val="Author"/>
      </w:pPr>
      <w:r>
        <w:t xml:space="preserve">Aryan Singh Chandel </w:t>
      </w:r>
      <w:r>
        <w:br/>
      </w:r>
      <w:r>
        <w:t xml:space="preserve">RJIT (Rustamji Institute of Technology), Gwalior, India</w:t>
      </w:r>
      <w:r>
        <w:br/>
      </w:r>
      <w:r>
        <w:rPr>
          <w:rStyle w:val="VerbatimChar"/>
        </w:rPr>
        <w:t xml:space="preserve">aryansingh19gh@gmail.com</w:t>
      </w:r>
    </w:p>
    <w:p>
      <w:pPr>
        <w:pStyle w:val="Date"/>
      </w:pPr>
      <w:r>
        <w:t xml:space="preserve">June 26, 2026</w:t>
      </w:r>
    </w:p>
    <w:p>
      <w:pPr>
        <w:pStyle w:val="AbstractTitle"/>
      </w:pPr>
      <w:r>
        <w:t xml:space="preserve">Abstract</w:t>
      </w:r>
    </w:p>
    <w:p>
      <w:pPr>
        <w:pStyle w:val="Abstract"/>
      </w:pPr>
      <w:r>
        <w:t xml:space="preserve">Spiking neural networks are often presented as energy-efficient alternatives to conventional dense vision models, yet dense prediction workloads remain difficult because high spatial fidelity encourages persistent firing. This paper refines the core idea behind Neuro-Spike SegNet by framing spike redundancy as a controllable dynamical quantity rather than an unavoidable by-product of segmentation. We introduce a sleep–wake membrane-gating rule that changes the effective leak and threshold during inference, derive measurable endpoints for spike suppression, energy reduction, and segmentation preservation, and organize the architecture as a formal biomimetic hypothesis. The resulting manuscript turns the original concept into a more submission-ready theory paper: it clarifies the governing equations, states explicit assumptions and falsifiers, and ties the reported gains to quantities that can be audited in future replication studies.</w:t>
      </w:r>
    </w:p>
    <w:bookmarkStart w:id="10" w:name="introduction"/>
    <w:p>
      <w:pPr>
        <w:pStyle w:val="Heading1"/>
      </w:pPr>
      <w:r>
        <w:t xml:space="preserve">Introduction</w:t>
      </w:r>
    </w:p>
    <w:p>
      <w:pPr>
        <w:pStyle w:val="FirstParagraph"/>
      </w:pPr>
      <w:r>
        <w:t xml:space="preserve">Event-driven neuromorphic models are attractive for edge perception because they replace repeated dense multiply–accumulate computation with conditional updates that occur only when spikes are emitted</w:t>
      </w:r>
      <w:r>
        <w:t xml:space="preserve"> </w:t>
      </w:r>
      <w:r>
        <w:t xml:space="preserve">. That advantage, however, becomes less straightforward for semantic segmentation. A segmentation system must preserve dense spatial structure, so the network is incentivized to keep many units active across time. In static or slowly changing scenes, this often produces redundant firing: spikes continue to circulate even after the semantic content of the frame is already stable.</w:t>
      </w:r>
    </w:p>
    <w:p>
      <w:pPr>
        <w:pStyle w:val="BodyText"/>
      </w:pPr>
      <w:r>
        <w:t xml:space="preserve">The central claim of this paper is that redundancy in spiking segmentation can be treated as a dynamical control problem. Rather than holding membrane parameters fixed through the full inference window, we split inference into a high-sensitivity encoding phase and a suppressive consolidation phase. The consolidation phase is inspired by synaptic homeostasis accounts of sleep, in which biological systems downscale low-value activity to improve metabolic efficiency and signal quality</w:t>
      </w:r>
      <w:r>
        <w:t xml:space="preserve"> </w:t>
      </w:r>
      <w:r>
        <w:t xml:space="preserve">. Here that intuition becomes a concrete gating mechanism with measurable consequences.</w:t>
      </w:r>
    </w:p>
    <w:bookmarkStart w:id="9" w:name="contributions."/>
    <w:p>
      <w:pPr>
        <w:pStyle w:val="Heading4"/>
      </w:pPr>
      <w:r>
        <w:t xml:space="preserve">Contributions.</w:t>
      </w:r>
    </w:p>
    <w:p>
      <w:pPr>
        <w:numPr>
          <w:ilvl w:val="0"/>
          <w:numId w:val="1001"/>
        </w:numPr>
      </w:pPr>
      <w:r>
        <w:t xml:space="preserve">We formalize sleep–wake membrane gating as a time-dependent perturbation of LIF leak and threshold parameters.</w:t>
      </w:r>
    </w:p>
    <w:p>
      <w:pPr>
        <w:numPr>
          <w:ilvl w:val="0"/>
          <w:numId w:val="1001"/>
        </w:numPr>
      </w:pPr>
      <w:r>
        <w:t xml:space="preserve">We define benchmark variables for spike redundancy, phase-conditioned energy, and segmentation retention.</w:t>
      </w:r>
    </w:p>
    <w:p>
      <w:pPr>
        <w:numPr>
          <w:ilvl w:val="0"/>
          <w:numId w:val="1001"/>
        </w:numPr>
      </w:pPr>
      <w:r>
        <w:t xml:space="preserve">We restate the original simulation evidence as explicit propositions, test statistics, and failure modes.</w:t>
      </w:r>
    </w:p>
    <w:p>
      <w:pPr>
        <w:numPr>
          <w:ilvl w:val="0"/>
          <w:numId w:val="1001"/>
        </w:numPr>
      </w:pPr>
      <w:r>
        <w:t xml:space="preserve">We package the existing raster and energy figures into a reproducible manuscript scaffold suitable for later experimental expansion.</w:t>
      </w:r>
    </w:p>
    <w:bookmarkEnd w:id="9"/>
    <w:bookmarkEnd w:id="10"/>
    <w:bookmarkStart w:id="12" w:name="formal-setup"/>
    <w:p>
      <w:pPr>
        <w:pStyle w:val="Heading1"/>
      </w:pPr>
      <w:r>
        <w:t xml:space="preserve">Formal setup</w:t>
      </w:r>
    </w:p>
    <w:p>
      <w:pPr>
        <w:pStyle w:val="FirstParagraph"/>
      </w:pPr>
      <w:r>
        <w:t xml:space="preserve">Let</w:t>
      </w:r>
      <w:r>
        <w:t xml:space="preserve"> </w:t>
      </w:r>
      <m:oMath>
        <m:r>
          <m:t>x</m:t>
        </m:r>
      </m:oMath>
      <w:r>
        <w:t xml:space="preserve"> </w:t>
      </w:r>
      <w:r>
        <w:t xml:space="preserve">denote an input image encoded into a spike train over an inference horizon</w:t>
      </w:r>
      <w:r>
        <w:t xml:space="preserve"> </w:t>
      </w:r>
      <m:oMath>
        <m:r>
          <m:t>t</m:t>
        </m:r>
        <m:r>
          <m:rPr>
            <m:sty m:val="p"/>
          </m:rPr>
          <m:t>=</m:t>
        </m:r>
        <m:r>
          <m:t>1</m:t>
        </m:r>
        <m:r>
          <m:rPr>
            <m:sty m:val="p"/>
          </m:rPr>
          <m:t>,</m:t>
        </m:r>
        <m:r>
          <m:rPr>
            <m:sty m:val="p"/>
          </m:rPr>
          <m:t>…</m:t>
        </m:r>
        <m:r>
          <m:rPr>
            <m:sty m:val="p"/>
          </m:rPr>
          <m:t>,</m:t>
        </m:r>
        <m:r>
          <m:t>T</m:t>
        </m:r>
      </m:oMath>
      <w:r>
        <w:t xml:space="preserve">. For neuron</w:t>
      </w:r>
      <w:r>
        <w:t xml:space="preserve"> </w:t>
      </w:r>
      <m:oMath>
        <m:r>
          <m:t>i</m:t>
        </m:r>
      </m:oMath>
      <w:r>
        <w:t xml:space="preserve"> </w:t>
      </w:r>
      <w:r>
        <w:t xml:space="preserve">in layer</w:t>
      </w:r>
      <w:r>
        <w:t xml:space="preserve"> </w:t>
      </w:r>
      <m:oMath>
        <m:r>
          <m:t>ℓ</m:t>
        </m:r>
      </m:oMath>
      <w:r>
        <w:t xml:space="preserve">, let</w:t>
      </w:r>
      <w:r>
        <w:t xml:space="preserve"> </w:t>
      </w:r>
      <m:oMath>
        <m:sSubSup>
          <m:e>
            <m:r>
              <m:t>V</m:t>
            </m:r>
          </m:e>
          <m:sub>
            <m:r>
              <m:t>i</m:t>
            </m:r>
          </m:sub>
          <m:sup>
            <m:r>
              <m:t>ℓ</m:t>
            </m:r>
          </m:sup>
        </m:sSubSup>
        <m:r>
          <m:rPr>
            <m:sty m:val="p"/>
          </m:rPr>
          <m:t>[</m:t>
        </m:r>
        <m:r>
          <m:t>t</m:t>
        </m:r>
        <m:r>
          <m:rPr>
            <m:sty m:val="p"/>
          </m:rPr>
          <m:t>]</m:t>
        </m:r>
      </m:oMath>
      <w:r>
        <w:t xml:space="preserve"> </w:t>
      </w:r>
      <w:r>
        <w:t xml:space="preserve">be the membrane potential,</w:t>
      </w:r>
      <w:r>
        <w:t xml:space="preserve"> </w:t>
      </w:r>
      <m:oMath>
        <m:sSubSup>
          <m:e>
            <m:r>
              <m:t>S</m:t>
            </m:r>
          </m:e>
          <m:sub>
            <m:r>
              <m:t>i</m:t>
            </m:r>
          </m:sub>
          <m:sup>
            <m:r>
              <m:t>ℓ</m:t>
            </m:r>
          </m:sup>
        </m:sSubSup>
        <m:r>
          <m:rPr>
            <m:sty m:val="p"/>
          </m:rPr>
          <m:t>[</m:t>
        </m:r>
        <m:r>
          <m:t>t</m:t>
        </m:r>
        <m:r>
          <m:rPr>
            <m:sty m:val="p"/>
          </m:rPr>
          <m:t>]</m:t>
        </m:r>
        <m:r>
          <m:rPr>
            <m:sty m:val="p"/>
          </m:rPr>
          <m:t>∈</m:t>
        </m:r>
        <m:r>
          <m:rPr>
            <m:sty m:val="p"/>
          </m:rPr>
          <m:t>{</m:t>
        </m:r>
        <m:r>
          <m:t>0</m:t>
        </m:r>
        <m:r>
          <m:rPr>
            <m:sty m:val="p"/>
          </m:rPr>
          <m:t>,</m:t>
        </m:r>
        <m:r>
          <m:t>1</m:t>
        </m:r>
        <m:r>
          <m:rPr>
            <m:sty m:val="p"/>
          </m:rPr>
          <m:t>}</m:t>
        </m:r>
      </m:oMath>
      <w:r>
        <w:t xml:space="preserve"> </w:t>
      </w:r>
      <w:r>
        <w:t xml:space="preserve">the emitted spike, and</w:t>
      </w:r>
      <w:r>
        <w:t xml:space="preserve"> </w:t>
      </w:r>
      <m:oMath>
        <m:sSubSup>
          <m:e>
            <m:r>
              <m:t>I</m:t>
            </m:r>
          </m:e>
          <m:sub>
            <m:r>
              <m:t>i</m:t>
            </m:r>
          </m:sub>
          <m:sup>
            <m:r>
              <m:t>ℓ</m:t>
            </m:r>
          </m:sup>
        </m:sSubSup>
        <m:r>
          <m:rPr>
            <m:sty m:val="p"/>
          </m:rPr>
          <m:t>[</m:t>
        </m:r>
        <m:r>
          <m:t>t</m:t>
        </m:r>
        <m:r>
          <m:rPr>
            <m:sty m:val="p"/>
          </m:rPr>
          <m:t>]</m:t>
        </m:r>
      </m:oMath>
      <w:r>
        <w:t xml:space="preserve"> </w:t>
      </w:r>
      <w:r>
        <w:t xml:space="preserve">the synaptic current.</w:t>
      </w:r>
    </w:p>
    <w:p>
      <w:pPr>
        <w:pStyle w:val="BodyText"/>
      </w:pPr>
      <w:r>
        <w:rPr>
          <w:b/>
          <w:bCs/>
        </w:rPr>
        <w:t xml:space="preserve">Definition 1</w:t>
      </w:r>
      <w:r>
        <w:t xml:space="preserve"> </w:t>
      </w:r>
      <w:r>
        <w:t xml:space="preserve">(Baseline LIF update).</w:t>
      </w:r>
      <w:r>
        <w:t xml:space="preserve"> </w:t>
      </w:r>
      <w:r>
        <w:t xml:space="preserve"> </w:t>
      </w:r>
      <w:r>
        <w:rPr>
          <w:i/>
          <w:iCs/>
        </w:rPr>
        <w:t xml:space="preserve">The baseline discrete-time LIF dynamics are</w:t>
      </w:r>
      <w:r>
        <w:rPr>
          <w:i/>
          <w:iCs/>
        </w:rPr>
        <w:t xml:space="preserve"> </w:t>
      </w:r>
      <m:oMathPara>
        <m:oMathParaPr>
          <m:jc m:val="center"/>
        </m:oMathParaPr>
        <m:oMath>
          <m:sSubSup>
            <m:e>
              <m:r>
                <m:t>V</m:t>
              </m:r>
            </m:e>
            <m:sub>
              <m:r>
                <m:t>i</m:t>
              </m:r>
            </m:sub>
            <m:sup>
              <m:r>
                <m:t>ℓ</m:t>
              </m:r>
            </m:sup>
          </m:sSubSup>
          <m:r>
            <m:rPr>
              <m:sty m:val="p"/>
            </m:rPr>
            <m:t>[</m:t>
          </m:r>
          <m:r>
            <m:t>t</m:t>
          </m:r>
          <m:r>
            <m:rPr>
              <m:sty m:val="p"/>
            </m:rPr>
            <m:t>]</m:t>
          </m:r>
          <m:r>
            <m:rPr>
              <m:sty m:val="p"/>
            </m:rPr>
            <m:t>=</m:t>
          </m:r>
          <m:r>
            <m:t>β</m:t>
          </m:r>
          <m:sSubSup>
            <m:e>
              <m:r>
                <m:t>V</m:t>
              </m:r>
            </m:e>
            <m:sub>
              <m:r>
                <m:t>i</m:t>
              </m:r>
            </m:sub>
            <m:sup>
              <m:r>
                <m:t>ℓ</m:t>
              </m:r>
            </m:sup>
          </m:sSubSup>
          <m:r>
            <m:rPr>
              <m:sty m:val="p"/>
            </m:rPr>
            <m:t>[</m:t>
          </m:r>
          <m:r>
            <m:t>t</m:t>
          </m:r>
          <m:r>
            <m:rPr>
              <m:sty m:val="p"/>
            </m:rPr>
            <m:t>−</m:t>
          </m:r>
          <m:r>
            <m:t>1</m:t>
          </m:r>
          <m:r>
            <m:rPr>
              <m:sty m:val="p"/>
            </m:rPr>
            <m:t>]</m:t>
          </m:r>
          <m:r>
            <m:rPr>
              <m:sty m:val="p"/>
            </m:rPr>
            <m:t>+</m:t>
          </m:r>
          <m:sSubSup>
            <m:e>
              <m:r>
                <m:t>I</m:t>
              </m:r>
            </m:e>
            <m:sub>
              <m:r>
                <m:t>i</m:t>
              </m:r>
            </m:sub>
            <m:sup>
              <m:r>
                <m:t>ℓ</m:t>
              </m:r>
            </m:sup>
          </m:sSubSup>
          <m:r>
            <m:rPr>
              <m:sty m:val="p"/>
            </m:rPr>
            <m:t>[</m:t>
          </m:r>
          <m:r>
            <m:t>t</m:t>
          </m:r>
          <m:r>
            <m:rPr>
              <m:sty m:val="p"/>
            </m:rPr>
            <m:t>]</m:t>
          </m:r>
          <m:r>
            <m:rPr>
              <m:sty m:val="p"/>
            </m:rPr>
            <m:t>−</m:t>
          </m:r>
          <m:sSubSup>
            <m:e>
              <m:r>
                <m:t>S</m:t>
              </m:r>
            </m:e>
            <m:sub>
              <m:r>
                <m:t>i</m:t>
              </m:r>
            </m:sub>
            <m:sup>
              <m:r>
                <m:t>ℓ</m:t>
              </m:r>
            </m:sup>
          </m:sSubSup>
          <m:r>
            <m:rPr>
              <m:sty m:val="p"/>
            </m:rPr>
            <m:t>[</m:t>
          </m:r>
          <m:r>
            <m:t>t</m:t>
          </m:r>
          <m:r>
            <m:rPr>
              <m:sty m:val="p"/>
            </m:rPr>
            <m:t>−</m:t>
          </m:r>
          <m:r>
            <m:t>1</m:t>
          </m:r>
          <m:r>
            <m:rPr>
              <m:sty m:val="p"/>
            </m:rPr>
            <m:t>]</m:t>
          </m:r>
          <m:sSub>
            <m:e>
              <m:r>
                <m:t>V</m:t>
              </m:r>
            </m:e>
            <m:sub>
              <m:r>
                <m:rPr>
                  <m:sty m:val="p"/>
                </m:rPr>
                <m:t>t</m:t>
              </m:r>
              <m:r>
                <m:rPr>
                  <m:sty m:val="p"/>
                </m:rPr>
                <m:t>h</m:t>
              </m:r>
            </m:sub>
          </m:sSub>
          <m:r>
            <m:rPr>
              <m:sty m:val="p"/>
            </m:rPr>
            <m:t>,</m:t>
          </m:r>
        </m:oMath>
      </m:oMathPara>
      <w:r>
        <w:rPr>
          <w:i/>
          <w:iCs/>
        </w:rPr>
        <w:t xml:space="preserve"> </w:t>
      </w:r>
      <w:r>
        <w:rPr>
          <w:i/>
          <w:iCs/>
        </w:rPr>
        <w:t xml:space="preserve">where</w:t>
      </w:r>
      <w:r>
        <w:rPr>
          <w:i/>
          <w:iCs/>
        </w:rPr>
        <w:t xml:space="preserve"> </w:t>
      </w:r>
      <m:oMath>
        <m:r>
          <m:t>β</m:t>
        </m:r>
        <m:r>
          <m:rPr>
            <m:sty m:val="p"/>
          </m:rPr>
          <m:t>=</m:t>
        </m:r>
        <m:sSup>
          <m:e>
            <m:r>
              <m:t>e</m:t>
            </m:r>
          </m:e>
          <m:sup>
            <m:r>
              <m:rPr>
                <m:sty m:val="p"/>
              </m:rPr>
              <m:t>−</m:t>
            </m:r>
            <m:r>
              <m:rPr>
                <m:sty m:val="p"/>
              </m:rPr>
              <m:t>Δ</m:t>
            </m:r>
            <m:r>
              <m:t>t</m:t>
            </m:r>
            <m:r>
              <m:rPr>
                <m:sty m:val="p"/>
              </m:rPr>
              <m:t>/</m:t>
            </m:r>
            <m:r>
              <m:t>τ</m:t>
            </m:r>
          </m:sup>
        </m:sSup>
      </m:oMath>
      <w:r>
        <w:rPr>
          <w:i/>
          <w:iCs/>
        </w:rPr>
        <w:t xml:space="preserve"> </w:t>
      </w:r>
      <w:r>
        <w:rPr>
          <w:i/>
          <w:iCs/>
        </w:rPr>
        <w:t xml:space="preserve">is the membrane decay factor and</w:t>
      </w:r>
      <w:r>
        <w:rPr>
          <w:i/>
          <w:iCs/>
        </w:rPr>
        <w:t xml:space="preserve"> </w:t>
      </w:r>
      <m:oMath>
        <m:sSub>
          <m:e>
            <m:r>
              <m:t>V</m:t>
            </m:r>
          </m:e>
          <m:sub>
            <m:r>
              <m:rPr>
                <m:sty m:val="p"/>
              </m:rPr>
              <m:t>t</m:t>
            </m:r>
            <m:r>
              <m:rPr>
                <m:sty m:val="p"/>
              </m:rPr>
              <m:t>h</m:t>
            </m:r>
          </m:sub>
        </m:sSub>
      </m:oMath>
      <w:r>
        <w:rPr>
          <w:i/>
          <w:iCs/>
        </w:rPr>
        <w:t xml:space="preserve"> </w:t>
      </w:r>
      <w:r>
        <w:rPr>
          <w:i/>
          <w:iCs/>
        </w:rPr>
        <w:t xml:space="preserve">is the firing threshold.</w:t>
      </w:r>
    </w:p>
    <w:p>
      <w:pPr>
        <w:pStyle w:val="FirstParagraph"/>
      </w:pPr>
      <w:r>
        <w:rPr>
          <w:b/>
          <w:bCs/>
        </w:rPr>
        <w:t xml:space="preserve">Definition 2</w:t>
      </w:r>
      <w:r>
        <w:t xml:space="preserve"> </w:t>
      </w:r>
      <w:r>
        <w:t xml:space="preserve">(Sleep–wake gate).</w:t>
      </w:r>
      <w:r>
        <w:t xml:space="preserve"> </w:t>
      </w:r>
      <w:r>
        <w:t xml:space="preserve"> </w:t>
      </w:r>
      <w:r>
        <w:rPr>
          <w:i/>
          <w:iCs/>
        </w:rPr>
        <w:t xml:space="preserve">Let</w:t>
      </w:r>
      <w:r>
        <w:rPr>
          <w:i/>
          <w:iCs/>
        </w:rPr>
        <w:t xml:space="preserve"> </w:t>
      </w:r>
      <m:oMath>
        <m:r>
          <m:t>G</m:t>
        </m:r>
        <m:r>
          <m:rPr>
            <m:sty m:val="p"/>
          </m:rPr>
          <m:t>(</m:t>
        </m:r>
        <m:r>
          <m:t>t</m:t>
        </m:r>
        <m:r>
          <m:rPr>
            <m:sty m:val="p"/>
          </m:rPr>
          <m:t>)</m:t>
        </m:r>
        <m:r>
          <m:rPr>
            <m:sty m:val="p"/>
          </m:rPr>
          <m:t>∈</m:t>
        </m:r>
        <m:r>
          <m:rPr>
            <m:sty m:val="p"/>
          </m:rPr>
          <m:t>{</m:t>
        </m:r>
        <m:r>
          <m:t>0</m:t>
        </m:r>
        <m:r>
          <m:rPr>
            <m:sty m:val="p"/>
          </m:rPr>
          <m:t>,</m:t>
        </m:r>
        <m:r>
          <m:t>1</m:t>
        </m:r>
        <m:r>
          <m:rPr>
            <m:sty m:val="p"/>
          </m:rPr>
          <m:t>}</m:t>
        </m:r>
      </m:oMath>
      <w:r>
        <w:rPr>
          <w:i/>
          <w:iCs/>
        </w:rPr>
        <w:t xml:space="preserve"> </w:t>
      </w:r>
      <w:r>
        <w:rPr>
          <w:i/>
          <w:iCs/>
        </w:rPr>
        <w:t xml:space="preserve">denote a global phase indicator with</w:t>
      </w:r>
      <w:r>
        <w:rPr>
          <w:i/>
          <w:iCs/>
        </w:rPr>
        <w:t xml:space="preserve"> </w:t>
      </w:r>
      <m:oMath>
        <m:r>
          <m:t>G</m:t>
        </m:r>
        <m:r>
          <m:rPr>
            <m:sty m:val="p"/>
          </m:rPr>
          <m:t>(</m:t>
        </m:r>
        <m:r>
          <m:t>t</m:t>
        </m:r>
        <m:r>
          <m:rPr>
            <m:sty m:val="p"/>
          </m:rPr>
          <m:t>)</m:t>
        </m:r>
        <m:r>
          <m:rPr>
            <m:sty m:val="p"/>
          </m:rPr>
          <m:t>=</m:t>
        </m:r>
        <m:r>
          <m:t>0</m:t>
        </m:r>
      </m:oMath>
      <w:r>
        <w:rPr>
          <w:i/>
          <w:iCs/>
        </w:rPr>
        <w:t xml:space="preserve"> </w:t>
      </w:r>
      <w:r>
        <w:rPr>
          <w:i/>
          <w:iCs/>
        </w:rPr>
        <w:t xml:space="preserve">in the wake phase and</w:t>
      </w:r>
      <w:r>
        <w:rPr>
          <w:i/>
          <w:iCs/>
        </w:rPr>
        <w:t xml:space="preserve"> </w:t>
      </w:r>
      <m:oMath>
        <m:r>
          <m:t>G</m:t>
        </m:r>
        <m:r>
          <m:rPr>
            <m:sty m:val="p"/>
          </m:rPr>
          <m:t>(</m:t>
        </m:r>
        <m:r>
          <m:t>t</m:t>
        </m:r>
        <m:r>
          <m:rPr>
            <m:sty m:val="p"/>
          </m:rPr>
          <m:t>)</m:t>
        </m:r>
        <m:r>
          <m:rPr>
            <m:sty m:val="p"/>
          </m:rPr>
          <m:t>=</m:t>
        </m:r>
        <m:r>
          <m:t>1</m:t>
        </m:r>
      </m:oMath>
      <w:r>
        <w:rPr>
          <w:i/>
          <w:iCs/>
        </w:rPr>
        <w:t xml:space="preserve"> </w:t>
      </w:r>
      <w:r>
        <w:rPr>
          <w:i/>
          <w:iCs/>
        </w:rPr>
        <w:t xml:space="preserve">in the sleep phase. The effective neuron parameters are</w:t>
      </w:r>
      <w:r>
        <w:rPr>
          <w:i/>
          <w:iCs/>
        </w:rPr>
        <w:t xml:space="preserve"> </w:t>
      </w:r>
      <m:oMathPara>
        <m:oMathParaPr>
          <m:jc m:val="center"/>
        </m:oMathParaPr>
        <m:oMath>
          <m:sSub>
            <m:e>
              <m:r>
                <m:t>β</m:t>
              </m:r>
            </m:e>
            <m:sub>
              <m:r>
                <m:rPr>
                  <m:sty m:val="p"/>
                </m:rPr>
                <m:t>e</m:t>
              </m:r>
              <m:r>
                <m:rPr>
                  <m:sty m:val="p"/>
                </m:rPr>
                <m:t>f</m:t>
              </m:r>
              <m:r>
                <m:rPr>
                  <m:sty m:val="p"/>
                </m:rPr>
                <m:t>f</m:t>
              </m:r>
            </m:sub>
          </m:sSub>
          <m:r>
            <m:rPr>
              <m:sty m:val="p"/>
            </m:rPr>
            <m:t>(</m:t>
          </m:r>
          <m:r>
            <m:t>t</m:t>
          </m:r>
          <m:r>
            <m:rPr>
              <m:sty m:val="p"/>
            </m:rPr>
            <m:t>)</m:t>
          </m:r>
          <m:r>
            <m:rPr>
              <m:sty m:val="p"/>
            </m:rPr>
            <m:t>=</m:t>
          </m:r>
          <m:sSub>
            <m:e>
              <m:r>
                <m:t>β</m:t>
              </m:r>
            </m:e>
            <m:sub>
              <m:r>
                <m:rPr>
                  <m:sty m:val="p"/>
                </m:rPr>
                <m:t>b</m:t>
              </m:r>
              <m:r>
                <m:rPr>
                  <m:sty m:val="p"/>
                </m:rPr>
                <m:t>a</m:t>
              </m:r>
              <m:r>
                <m:rPr>
                  <m:sty m:val="p"/>
                </m:rPr>
                <m:t>s</m:t>
              </m:r>
              <m:r>
                <m:rPr>
                  <m:sty m:val="p"/>
                </m:rPr>
                <m:t>e</m:t>
              </m:r>
            </m:sub>
          </m:sSub>
          <m:d>
            <m:dPr>
              <m:begChr m:val="("/>
              <m:sepChr m:val=""/>
              <m:endChr m:val=")"/>
              <m:grow/>
            </m:dPr>
            <m:e>
              <m:r>
                <m:t>1</m:t>
              </m:r>
              <m:r>
                <m:rPr>
                  <m:sty m:val="p"/>
                </m:rPr>
                <m:t>−</m:t>
              </m:r>
              <m:sSub>
                <m:e>
                  <m:r>
                    <m:t>λ</m:t>
                  </m:r>
                </m:e>
                <m:sub>
                  <m:r>
                    <m:rPr>
                      <m:sty m:val="p"/>
                    </m:rPr>
                    <m:t>l</m:t>
                  </m:r>
                  <m:r>
                    <m:rPr>
                      <m:sty m:val="p"/>
                    </m:rPr>
                    <m:t>e</m:t>
                  </m:r>
                  <m:r>
                    <m:rPr>
                      <m:sty m:val="p"/>
                    </m:rPr>
                    <m:t>a</m:t>
                  </m:r>
                  <m:r>
                    <m:rPr>
                      <m:sty m:val="p"/>
                    </m:rPr>
                    <m:t>k</m:t>
                  </m:r>
                </m:sub>
              </m:sSub>
              <m:r>
                <m:t>G</m:t>
              </m:r>
              <m:r>
                <m:rPr>
                  <m:sty m:val="p"/>
                </m:rPr>
                <m:t>(</m:t>
              </m:r>
              <m:r>
                <m:t>t</m:t>
              </m:r>
              <m:r>
                <m:rPr>
                  <m:sty m:val="p"/>
                </m:rPr>
                <m:t>)</m:t>
              </m:r>
            </m:e>
          </m:d>
          <m:r>
            <m:rPr>
              <m:sty m:val="p"/>
            </m:rPr>
            <m:t>,</m:t>
          </m:r>
          <m:r>
            <m:t>  </m:t>
          </m:r>
          <m:sSub>
            <m:e>
              <m:r>
                <m:t>V</m:t>
              </m:r>
            </m:e>
            <m:sub>
              <m:r>
                <m:rPr>
                  <m:sty m:val="p"/>
                </m:rPr>
                <m:t>t</m:t>
              </m:r>
              <m:r>
                <m:rPr>
                  <m:sty m:val="p"/>
                </m:rPr>
                <m:t>h</m:t>
              </m:r>
              <m:r>
                <m:rPr>
                  <m:sty m:val="p"/>
                </m:rPr>
                <m:t>,</m:t>
              </m:r>
              <m:r>
                <m:rPr>
                  <m:sty m:val="p"/>
                </m:rPr>
                <m:t>e</m:t>
              </m:r>
              <m:r>
                <m:rPr>
                  <m:sty m:val="p"/>
                </m:rPr>
                <m:t>f</m:t>
              </m:r>
              <m:r>
                <m:rPr>
                  <m:sty m:val="p"/>
                </m:rPr>
                <m:t>f</m:t>
              </m:r>
            </m:sub>
          </m:sSub>
          <m:r>
            <m:rPr>
              <m:sty m:val="p"/>
            </m:rPr>
            <m:t>(</m:t>
          </m:r>
          <m:r>
            <m:t>t</m:t>
          </m:r>
          <m:r>
            <m:rPr>
              <m:sty m:val="p"/>
            </m:rPr>
            <m:t>)</m:t>
          </m:r>
          <m:r>
            <m:rPr>
              <m:sty m:val="p"/>
            </m:rPr>
            <m:t>=</m:t>
          </m:r>
          <m:sSub>
            <m:e>
              <m:r>
                <m:t>V</m:t>
              </m:r>
            </m:e>
            <m:sub>
              <m:r>
                <m:rPr>
                  <m:sty m:val="p"/>
                </m:rPr>
                <m:t>t</m:t>
              </m:r>
              <m:r>
                <m:rPr>
                  <m:sty m:val="p"/>
                </m:rPr>
                <m:t>h</m:t>
              </m:r>
              <m:r>
                <m:rPr>
                  <m:sty m:val="p"/>
                </m:rPr>
                <m:t>,</m:t>
              </m:r>
              <m:r>
                <m:rPr>
                  <m:sty m:val="p"/>
                </m:rPr>
                <m:t>b</m:t>
              </m:r>
              <m:r>
                <m:rPr>
                  <m:sty m:val="p"/>
                </m:rPr>
                <m:t>a</m:t>
              </m:r>
              <m:r>
                <m:rPr>
                  <m:sty m:val="p"/>
                </m:rPr>
                <m:t>s</m:t>
              </m:r>
              <m:r>
                <m:rPr>
                  <m:sty m:val="p"/>
                </m:rPr>
                <m:t>e</m:t>
              </m:r>
            </m:sub>
          </m:sSub>
          <m:d>
            <m:dPr>
              <m:begChr m:val="("/>
              <m:sepChr m:val=""/>
              <m:endChr m:val=")"/>
              <m:grow/>
            </m:dPr>
            <m:e>
              <m:r>
                <m:t>1</m:t>
              </m:r>
              <m:r>
                <m:rPr>
                  <m:sty m:val="p"/>
                </m:rPr>
                <m:t>+</m:t>
              </m:r>
              <m:sSub>
                <m:e>
                  <m:r>
                    <m:t>λ</m:t>
                  </m:r>
                </m:e>
                <m:sub>
                  <m:r>
                    <m:rPr>
                      <m:sty m:val="p"/>
                    </m:rPr>
                    <m:t>t</m:t>
                  </m:r>
                  <m:r>
                    <m:rPr>
                      <m:sty m:val="p"/>
                    </m:rPr>
                    <m:t>h</m:t>
                  </m:r>
                  <m:r>
                    <m:rPr>
                      <m:sty m:val="p"/>
                    </m:rPr>
                    <m:t>r</m:t>
                  </m:r>
                  <m:r>
                    <m:rPr>
                      <m:sty m:val="p"/>
                    </m:rPr>
                    <m:t>e</m:t>
                  </m:r>
                  <m:r>
                    <m:rPr>
                      <m:sty m:val="p"/>
                    </m:rPr>
                    <m:t>s</m:t>
                  </m:r>
                  <m:r>
                    <m:rPr>
                      <m:sty m:val="p"/>
                    </m:rPr>
                    <m:t>h</m:t>
                  </m:r>
                </m:sub>
              </m:sSub>
              <m:r>
                <m:t>G</m:t>
              </m:r>
              <m:r>
                <m:rPr>
                  <m:sty m:val="p"/>
                </m:rPr>
                <m:t>(</m:t>
              </m:r>
              <m:r>
                <m:t>t</m:t>
              </m:r>
              <m:r>
                <m:rPr>
                  <m:sty m:val="p"/>
                </m:rPr>
                <m:t>)</m:t>
              </m:r>
            </m:e>
          </m:d>
          <m:r>
            <m:rPr>
              <m:sty m:val="p"/>
            </m:rPr>
            <m:t>,</m:t>
          </m:r>
        </m:oMath>
      </m:oMathPara>
      <w:r>
        <w:rPr>
          <w:i/>
          <w:iCs/>
        </w:rPr>
        <w:t xml:space="preserve"> </w:t>
      </w:r>
      <w:r>
        <w:rPr>
          <w:i/>
          <w:iCs/>
        </w:rPr>
        <w:t xml:space="preserve">with gating strengths</w:t>
      </w:r>
      <w:r>
        <w:rPr>
          <w:i/>
          <w:iCs/>
        </w:rPr>
        <w:t xml:space="preserve"> </w:t>
      </w:r>
      <m:oMath>
        <m:sSub>
          <m:e>
            <m:r>
              <m:t>λ</m:t>
            </m:r>
          </m:e>
          <m:sub>
            <m:r>
              <m:rPr>
                <m:sty m:val="p"/>
              </m:rPr>
              <m:t>l</m:t>
            </m:r>
            <m:r>
              <m:rPr>
                <m:sty m:val="p"/>
              </m:rPr>
              <m:t>e</m:t>
            </m:r>
            <m:r>
              <m:rPr>
                <m:sty m:val="p"/>
              </m:rPr>
              <m:t>a</m:t>
            </m:r>
            <m:r>
              <m:rPr>
                <m:sty m:val="p"/>
              </m:rPr>
              <m:t>k</m:t>
            </m:r>
          </m:sub>
        </m:sSub>
        <m:r>
          <m:rPr>
            <m:sty m:val="p"/>
          </m:rPr>
          <m:t>,</m:t>
        </m:r>
        <m:sSub>
          <m:e>
            <m:r>
              <m:t>λ</m:t>
            </m:r>
          </m:e>
          <m:sub>
            <m:r>
              <m:rPr>
                <m:sty m:val="p"/>
              </m:rPr>
              <m:t>t</m:t>
            </m:r>
            <m:r>
              <m:rPr>
                <m:sty m:val="p"/>
              </m:rPr>
              <m:t>h</m:t>
            </m:r>
            <m:r>
              <m:rPr>
                <m:sty m:val="p"/>
              </m:rPr>
              <m:t>r</m:t>
            </m:r>
            <m:r>
              <m:rPr>
                <m:sty m:val="p"/>
              </m:rPr>
              <m:t>e</m:t>
            </m:r>
            <m:r>
              <m:rPr>
                <m:sty m:val="p"/>
              </m:rPr>
              <m:t>s</m:t>
            </m:r>
            <m:r>
              <m:rPr>
                <m:sty m:val="p"/>
              </m:rPr>
              <m:t>h</m:t>
            </m:r>
          </m:sub>
        </m:sSub>
        <m:r>
          <m:rPr>
            <m:sty m:val="p"/>
          </m:rPr>
          <m:t>≥</m:t>
        </m:r>
        <m:r>
          <m:t>0</m:t>
        </m:r>
      </m:oMath>
      <w:r>
        <w:rPr>
          <w:i/>
          <w:iCs/>
        </w:rPr>
        <w:t xml:space="preserve">.</w:t>
      </w:r>
    </w:p>
    <w:p>
      <w:pPr>
        <w:pStyle w:val="FirstParagraph"/>
      </w:pPr>
      <w:r>
        <w:rPr>
          <w:b/>
          <w:bCs/>
        </w:rPr>
        <w:t xml:space="preserve">Definition 3</w:t>
      </w:r>
      <w:r>
        <w:t xml:space="preserve"> </w:t>
      </w:r>
      <w:r>
        <w:t xml:space="preserve">(Phase-conditioned spike rate).</w:t>
      </w:r>
      <w:r>
        <w:t xml:space="preserve"> </w:t>
      </w:r>
      <w:r>
        <w:t xml:space="preserve"> </w:t>
      </w:r>
      <w:r>
        <w:rPr>
          <w:i/>
          <w:iCs/>
        </w:rPr>
        <w:t xml:space="preserve">For a phase interval</w:t>
      </w:r>
      <w:r>
        <w:rPr>
          <w:i/>
          <w:iCs/>
        </w:rPr>
        <w:t xml:space="preserve"> </w:t>
      </w:r>
      <m:oMath>
        <m:r>
          <m:rPr>
            <m:scr m:val="script"/>
            <m:sty m:val="p"/>
          </m:rPr>
          <m:t>T</m:t>
        </m:r>
        <m:r>
          <m:rPr>
            <m:sty m:val="p"/>
          </m:rPr>
          <m:t>⊆</m:t>
        </m:r>
        <m:r>
          <m:rPr>
            <m:sty m:val="p"/>
          </m:rPr>
          <m:t>{</m:t>
        </m:r>
        <m:r>
          <m:t>1</m:t>
        </m:r>
        <m:r>
          <m:rPr>
            <m:sty m:val="p"/>
          </m:rPr>
          <m:t>,</m:t>
        </m:r>
        <m:r>
          <m:rPr>
            <m:sty m:val="p"/>
          </m:rPr>
          <m:t>…</m:t>
        </m:r>
        <m:r>
          <m:rPr>
            <m:sty m:val="p"/>
          </m:rPr>
          <m:t>,</m:t>
        </m:r>
        <m:r>
          <m:t>T</m:t>
        </m:r>
        <m:r>
          <m:rPr>
            <m:sty m:val="p"/>
          </m:rPr>
          <m:t>}</m:t>
        </m:r>
      </m:oMath>
      <w:r>
        <w:rPr>
          <w:i/>
          <w:iCs/>
        </w:rPr>
        <w:t xml:space="preserve">, define the mean spike rate</w:t>
      </w:r>
      <w:r>
        <w:rPr>
          <w:i/>
          <w:iCs/>
        </w:rPr>
        <w:t xml:space="preserve"> </w:t>
      </w:r>
      <m:oMathPara>
        <m:oMathParaPr>
          <m:jc m:val="center"/>
        </m:oMathParaPr>
        <m:oMath>
          <m:r>
            <m:t>R</m:t>
          </m:r>
          <m:r>
            <m:rPr>
              <m:sty m:val="p"/>
            </m:rPr>
            <m:t>(</m:t>
          </m:r>
          <m:r>
            <m:rPr>
              <m:scr m:val="script"/>
              <m:sty m:val="p"/>
            </m:rPr>
            <m:t>T</m:t>
          </m:r>
          <m:r>
            <m:rPr>
              <m:sty m:val="p"/>
            </m:rPr>
            <m:t>)</m:t>
          </m:r>
          <m:r>
            <m:rPr>
              <m:sty m:val="p"/>
            </m:rPr>
            <m:t>=</m:t>
          </m:r>
          <m:f>
            <m:fPr>
              <m:type m:val="bar"/>
            </m:fPr>
            <m:num>
              <m:r>
                <m:t>1</m:t>
              </m:r>
            </m:num>
            <m:den>
              <m:r>
                <m:rPr>
                  <m:sty m:val="p"/>
                </m:rPr>
                <m:t>|</m:t>
              </m:r>
              <m:r>
                <m:rPr>
                  <m:scr m:val="script"/>
                  <m:sty m:val="p"/>
                </m:rPr>
                <m:t>T</m:t>
              </m:r>
              <m:r>
                <m:rPr>
                  <m:sty m:val="p"/>
                </m:rPr>
                <m:t>|</m:t>
              </m:r>
              <m:r>
                <m:t> </m:t>
              </m:r>
              <m:r>
                <m:t>N</m:t>
              </m:r>
            </m:den>
          </m:f>
          <m:nary>
            <m:naryPr>
              <m:chr m:val="∑"/>
              <m:limLoc m:val="undOvr"/>
              <m:subHide m:val="off"/>
              <m:supHide m:val="on"/>
            </m:naryPr>
            <m:sub>
              <m:r>
                <m:t>t</m:t>
              </m:r>
              <m:r>
                <m:rPr>
                  <m:sty m:val="p"/>
                </m:rPr>
                <m:t>∈</m:t>
              </m:r>
              <m:r>
                <m:rPr>
                  <m:scr m:val="script"/>
                  <m:sty m:val="p"/>
                </m:rPr>
                <m:t>T</m:t>
              </m:r>
            </m:sub>
            <m:sup>
              <m:r>
                <m:t>​</m:t>
              </m:r>
            </m:sup>
            <m:e>
              <m:nary>
                <m:naryPr>
                  <m:chr m:val="∑"/>
                  <m:limLoc m:val="undOvr"/>
                  <m:subHide m:val="off"/>
                  <m:supHide m:val="off"/>
                </m:naryPr>
                <m:sub>
                  <m:r>
                    <m:t>i</m:t>
                  </m:r>
                  <m:r>
                    <m:rPr>
                      <m:sty m:val="p"/>
                    </m:rPr>
                    <m:t>=</m:t>
                  </m:r>
                  <m:r>
                    <m:t>1</m:t>
                  </m:r>
                </m:sub>
                <m:sup>
                  <m:r>
                    <m:t>N</m:t>
                  </m:r>
                </m:sup>
                <m:e>
                  <m:sSub>
                    <m:e>
                      <m:r>
                        <m:t>S</m:t>
                      </m:r>
                    </m:e>
                    <m:sub>
                      <m:r>
                        <m:t>i</m:t>
                      </m:r>
                    </m:sub>
                  </m:sSub>
                </m:e>
              </m:nary>
            </m:e>
          </m:nary>
          <m:r>
            <m:rPr>
              <m:sty m:val="p"/>
            </m:rPr>
            <m:t>[</m:t>
          </m:r>
          <m:r>
            <m:t>t</m:t>
          </m:r>
          <m:r>
            <m:rPr>
              <m:sty m:val="p"/>
            </m:rPr>
            <m:t>]</m:t>
          </m:r>
          <m:r>
            <m:rPr>
              <m:sty m:val="p"/>
            </m:rPr>
            <m:t>,</m:t>
          </m:r>
        </m:oMath>
      </m:oMathPara>
      <w:r>
        <w:rPr>
          <w:i/>
          <w:iCs/>
        </w:rPr>
        <w:t xml:space="preserve"> </w:t>
      </w:r>
      <w:r>
        <w:rPr>
          <w:i/>
          <w:iCs/>
        </w:rPr>
        <w:t xml:space="preserve">where</w:t>
      </w:r>
      <w:r>
        <w:rPr>
          <w:i/>
          <w:iCs/>
        </w:rPr>
        <w:t xml:space="preserve"> </w:t>
      </w:r>
      <m:oMath>
        <m:r>
          <m:t>N</m:t>
        </m:r>
      </m:oMath>
      <w:r>
        <w:rPr>
          <w:i/>
          <w:iCs/>
        </w:rPr>
        <w:t xml:space="preserve"> </w:t>
      </w:r>
      <w:r>
        <w:rPr>
          <w:i/>
          <w:iCs/>
        </w:rPr>
        <w:t xml:space="preserve">is the number of monitored neurons.</w:t>
      </w:r>
    </w:p>
    <w:p>
      <w:pPr>
        <w:pStyle w:val="FirstParagraph"/>
      </w:pPr>
      <w:r>
        <w:rPr>
          <w:b/>
          <w:bCs/>
        </w:rPr>
        <w:t xml:space="preserve">Definition 4</w:t>
      </w:r>
      <w:r>
        <w:t xml:space="preserve"> </w:t>
      </w:r>
      <w:r>
        <w:t xml:space="preserve">(Redundancy suppression ratio).</w:t>
      </w:r>
      <w:r>
        <w:t xml:space="preserve"> </w:t>
      </w:r>
      <w:r>
        <w:t xml:space="preserve"> </w:t>
      </w:r>
      <w:r>
        <w:rPr>
          <w:i/>
          <w:iCs/>
        </w:rPr>
        <w:t xml:space="preserve">Let</w:t>
      </w:r>
      <w:r>
        <w:rPr>
          <w:i/>
          <w:iCs/>
        </w:rPr>
        <w:t xml:space="preserve"> </w:t>
      </w:r>
      <m:oMath>
        <m:sSub>
          <m:e>
            <m:r>
              <m:rPr>
                <m:scr m:val="script"/>
                <m:sty m:val="p"/>
              </m:rPr>
              <m:t>T</m:t>
            </m:r>
          </m:e>
          <m:sub>
            <m:r>
              <m:t>W</m:t>
            </m:r>
          </m:sub>
        </m:sSub>
      </m:oMath>
      <w:r>
        <w:rPr>
          <w:i/>
          <w:iCs/>
        </w:rPr>
        <w:t xml:space="preserve"> </w:t>
      </w:r>
      <w:r>
        <w:rPr>
          <w:i/>
          <w:iCs/>
        </w:rPr>
        <w:t xml:space="preserve">and</w:t>
      </w:r>
      <w:r>
        <w:rPr>
          <w:i/>
          <w:iCs/>
        </w:rPr>
        <w:t xml:space="preserve"> </w:t>
      </w:r>
      <m:oMath>
        <m:sSub>
          <m:e>
            <m:r>
              <m:rPr>
                <m:scr m:val="script"/>
                <m:sty m:val="p"/>
              </m:rPr>
              <m:t>T</m:t>
            </m:r>
          </m:e>
          <m:sub>
            <m:r>
              <m:t>S</m:t>
            </m:r>
          </m:sub>
        </m:sSub>
      </m:oMath>
      <w:r>
        <w:rPr>
          <w:i/>
          <w:iCs/>
        </w:rPr>
        <w:t xml:space="preserve"> </w:t>
      </w:r>
      <w:r>
        <w:rPr>
          <w:i/>
          <w:iCs/>
        </w:rPr>
        <w:t xml:space="preserve">denote wake and sleep intervals. The redundancy suppression ratio is</w:t>
      </w:r>
      <w:r>
        <w:rPr>
          <w:i/>
          <w:iCs/>
        </w:rPr>
        <w:t xml:space="preserve"> </w:t>
      </w:r>
      <m:oMathPara>
        <m:oMathParaPr>
          <m:jc m:val="center"/>
        </m:oMathParaPr>
        <m:oMath>
          <m:sSub>
            <m:e>
              <m:r>
                <m:t>ρ</m:t>
              </m:r>
            </m:e>
            <m:sub>
              <m:r>
                <m:rPr>
                  <m:sty m:val="p"/>
                </m:rPr>
                <m:t>s</m:t>
              </m:r>
              <m:r>
                <m:rPr>
                  <m:sty m:val="p"/>
                </m:rPr>
                <m:t>u</m:t>
              </m:r>
              <m:r>
                <m:rPr>
                  <m:sty m:val="p"/>
                </m:rPr>
                <m:t>p</m:t>
              </m:r>
            </m:sub>
          </m:sSub>
          <m:r>
            <m:rPr>
              <m:sty m:val="p"/>
            </m:rPr>
            <m:t>=</m:t>
          </m:r>
          <m:r>
            <m:t>1</m:t>
          </m:r>
          <m:r>
            <m:rPr>
              <m:sty m:val="p"/>
            </m:rPr>
            <m:t>−</m:t>
          </m:r>
          <m:f>
            <m:fPr>
              <m:type m:val="bar"/>
            </m:fPr>
            <m:num>
              <m:r>
                <m:t>R</m:t>
              </m:r>
              <m:r>
                <m:rPr>
                  <m:sty m:val="p"/>
                </m:rPr>
                <m:t>(</m:t>
              </m:r>
              <m:sSub>
                <m:e>
                  <m:r>
                    <m:rPr>
                      <m:scr m:val="script"/>
                      <m:sty m:val="p"/>
                    </m:rPr>
                    <m:t>T</m:t>
                  </m:r>
                </m:e>
                <m:sub>
                  <m:r>
                    <m:t>S</m:t>
                  </m:r>
                </m:sub>
              </m:sSub>
              <m:r>
                <m:rPr>
                  <m:sty m:val="p"/>
                </m:rPr>
                <m:t>)</m:t>
              </m:r>
            </m:num>
            <m:den>
              <m:r>
                <m:t>R</m:t>
              </m:r>
              <m:r>
                <m:rPr>
                  <m:sty m:val="p"/>
                </m:rPr>
                <m:t>(</m:t>
              </m:r>
              <m:sSub>
                <m:e>
                  <m:r>
                    <m:rPr>
                      <m:scr m:val="script"/>
                      <m:sty m:val="p"/>
                    </m:rPr>
                    <m:t>T</m:t>
                  </m:r>
                </m:e>
                <m:sub>
                  <m:r>
                    <m:t>W</m:t>
                  </m:r>
                </m:sub>
              </m:sSub>
              <m:r>
                <m:rPr>
                  <m:sty m:val="p"/>
                </m:rPr>
                <m:t>)</m:t>
              </m:r>
              <m:r>
                <m:rPr>
                  <m:sty m:val="p"/>
                </m:rPr>
                <m:t>+</m:t>
              </m:r>
              <m:r>
                <m:t>ε</m:t>
              </m:r>
            </m:den>
          </m:f>
          <m:r>
            <m:rPr>
              <m:sty m:val="p"/>
            </m:rPr>
            <m:t>,</m:t>
          </m:r>
        </m:oMath>
      </m:oMathPara>
      <w:r>
        <w:rPr>
          <w:i/>
          <w:iCs/>
        </w:rPr>
        <w:t xml:space="preserve"> </w:t>
      </w:r>
      <w:r>
        <w:rPr>
          <w:i/>
          <w:iCs/>
        </w:rPr>
        <w:t xml:space="preserve">for small</w:t>
      </w:r>
      <w:r>
        <w:rPr>
          <w:i/>
          <w:iCs/>
        </w:rPr>
        <w:t xml:space="preserve"> </w:t>
      </w:r>
      <m:oMath>
        <m:r>
          <m:t>ε</m:t>
        </m:r>
        <m:r>
          <m:rPr>
            <m:sty m:val="p"/>
          </m:rPr>
          <m:t>&gt;</m:t>
        </m:r>
        <m:r>
          <m:t>0</m:t>
        </m:r>
      </m:oMath>
      <w:r>
        <w:rPr>
          <w:i/>
          <w:iCs/>
        </w:rPr>
        <w:t xml:space="preserve">. Larger</w:t>
      </w:r>
      <w:r>
        <w:rPr>
          <w:i/>
          <w:iCs/>
        </w:rPr>
        <w:t xml:space="preserve"> </w:t>
      </w:r>
      <m:oMath>
        <m:sSub>
          <m:e>
            <m:r>
              <m:t>ρ</m:t>
            </m:r>
          </m:e>
          <m:sub>
            <m:r>
              <m:rPr>
                <m:sty m:val="p"/>
              </m:rPr>
              <m:t>s</m:t>
            </m:r>
            <m:r>
              <m:rPr>
                <m:sty m:val="p"/>
              </m:rPr>
              <m:t>u</m:t>
            </m:r>
            <m:r>
              <m:rPr>
                <m:sty m:val="p"/>
              </m:rPr>
              <m:t>p</m:t>
            </m:r>
          </m:sub>
        </m:sSub>
      </m:oMath>
      <w:r>
        <w:rPr>
          <w:i/>
          <w:iCs/>
        </w:rPr>
        <w:t xml:space="preserve"> </w:t>
      </w:r>
      <w:r>
        <w:rPr>
          <w:i/>
          <w:iCs/>
        </w:rPr>
        <w:t xml:space="preserve">indicates stronger suppression of late-phase activity.</w:t>
      </w:r>
    </w:p>
    <w:p>
      <w:pPr>
        <w:pStyle w:val="FirstParagraph"/>
      </w:pPr>
      <w:r>
        <w:rPr>
          <w:b/>
          <w:bCs/>
        </w:rPr>
        <w:t xml:space="preserve">Definition 5</w:t>
      </w:r>
      <w:r>
        <w:t xml:space="preserve"> </w:t>
      </w:r>
      <w:r>
        <w:t xml:space="preserve">(Energy proxy).</w:t>
      </w:r>
      <w:r>
        <w:t xml:space="preserve"> </w:t>
      </w:r>
      <w:r>
        <w:t xml:space="preserve"> </w:t>
      </w:r>
      <w:r>
        <w:rPr>
          <w:i/>
          <w:iCs/>
        </w:rPr>
        <w:t xml:space="preserve">Using accumulate cost</w:t>
      </w:r>
      <w:r>
        <w:rPr>
          <w:i/>
          <w:iCs/>
        </w:rPr>
        <w:t xml:space="preserve"> </w:t>
      </w:r>
      <m:oMath>
        <m:sSub>
          <m:e>
            <m:r>
              <m:t>E</m:t>
            </m:r>
          </m:e>
          <m:sub>
            <m:r>
              <m:rPr>
                <m:sty m:val="p"/>
              </m:rPr>
              <m:t>A</m:t>
            </m:r>
            <m:r>
              <m:rPr>
                <m:sty m:val="p"/>
              </m:rPr>
              <m:t>C</m:t>
            </m:r>
          </m:sub>
        </m:sSub>
      </m:oMath>
      <w:r>
        <w:rPr>
          <w:i/>
          <w:iCs/>
        </w:rPr>
        <w:t xml:space="preserve"> </w:t>
      </w:r>
      <w:r>
        <w:rPr>
          <w:i/>
          <w:iCs/>
        </w:rPr>
        <w:t xml:space="preserve">and overhead multiply–accumulate cost</w:t>
      </w:r>
      <w:r>
        <w:rPr>
          <w:i/>
          <w:iCs/>
        </w:rPr>
        <w:t xml:space="preserve"> </w:t>
      </w:r>
      <m:oMath>
        <m:sSub>
          <m:e>
            <m:r>
              <m:t>E</m:t>
            </m:r>
          </m:e>
          <m:sub>
            <m:r>
              <m:rPr>
                <m:sty m:val="p"/>
              </m:rPr>
              <m:t>M</m:t>
            </m:r>
            <m:r>
              <m:rPr>
                <m:sty m:val="p"/>
              </m:rPr>
              <m:t>A</m:t>
            </m:r>
            <m:r>
              <m:rPr>
                <m:sty m:val="p"/>
              </m:rPr>
              <m:t>C</m:t>
            </m:r>
          </m:sub>
        </m:sSub>
      </m:oMath>
      <w:r>
        <w:rPr>
          <w:i/>
          <w:iCs/>
        </w:rPr>
        <w:t xml:space="preserve">, define</w:t>
      </w:r>
      <w:r>
        <w:rPr>
          <w:i/>
          <w:iCs/>
        </w:rPr>
        <w:t xml:space="preserve"> </w:t>
      </w:r>
      <m:oMathPara>
        <m:oMathParaPr>
          <m:jc m:val="center"/>
        </m:oMathParaPr>
        <m:oMath>
          <m:sSub>
            <m:e>
              <m:r>
                <m:t>E</m:t>
              </m:r>
            </m:e>
            <m:sub>
              <m:r>
                <m:rPr>
                  <m:sty m:val="p"/>
                </m:rPr>
                <m:t>t</m:t>
              </m:r>
              <m:r>
                <m:rPr>
                  <m:sty m:val="p"/>
                </m:rPr>
                <m:t>o</m:t>
              </m:r>
              <m:r>
                <m:rPr>
                  <m:sty m:val="p"/>
                </m:rPr>
                <m:t>t</m:t>
              </m:r>
            </m:sub>
          </m:sSub>
          <m:r>
            <m:rPr>
              <m:sty m:val="p"/>
            </m:rPr>
            <m:t>=</m:t>
          </m:r>
          <m:sSub>
            <m:e>
              <m:r>
                <m:t>N</m:t>
              </m:r>
            </m:e>
            <m:sub>
              <m:r>
                <m:rPr>
                  <m:sty m:val="p"/>
                </m:rPr>
                <m:t>s</m:t>
              </m:r>
              <m:r>
                <m:rPr>
                  <m:sty m:val="p"/>
                </m:rPr>
                <m:t>p</m:t>
              </m:r>
              <m:r>
                <m:rPr>
                  <m:sty m:val="p"/>
                </m:rPr>
                <m:t>i</m:t>
              </m:r>
              <m:r>
                <m:rPr>
                  <m:sty m:val="p"/>
                </m:rPr>
                <m:t>k</m:t>
              </m:r>
              <m:r>
                <m:rPr>
                  <m:sty m:val="p"/>
                </m:rPr>
                <m:t>e</m:t>
              </m:r>
              <m:r>
                <m:rPr>
                  <m:sty m:val="p"/>
                </m:rPr>
                <m:t>s</m:t>
              </m:r>
            </m:sub>
          </m:sSub>
          <m:sSub>
            <m:e>
              <m:r>
                <m:t>E</m:t>
              </m:r>
            </m:e>
            <m:sub>
              <m:r>
                <m:rPr>
                  <m:sty m:val="p"/>
                </m:rPr>
                <m:t>A</m:t>
              </m:r>
              <m:r>
                <m:rPr>
                  <m:sty m:val="p"/>
                </m:rPr>
                <m:t>C</m:t>
              </m:r>
            </m:sub>
          </m:sSub>
          <m:r>
            <m:rPr>
              <m:sty m:val="p"/>
            </m:rPr>
            <m:t>+</m:t>
          </m:r>
          <m:sSub>
            <m:e>
              <m:r>
                <m:t>N</m:t>
              </m:r>
            </m:e>
            <m:sub>
              <m:r>
                <m:rPr>
                  <m:sty m:val="p"/>
                </m:rPr>
                <m:t>o</m:t>
              </m:r>
              <m:r>
                <m:rPr>
                  <m:sty m:val="p"/>
                </m:rPr>
                <m:t>v</m:t>
              </m:r>
              <m:r>
                <m:rPr>
                  <m:sty m:val="p"/>
                </m:rPr>
                <m:t>e</m:t>
              </m:r>
              <m:r>
                <m:rPr>
                  <m:sty m:val="p"/>
                </m:rPr>
                <m:t>r</m:t>
              </m:r>
              <m:r>
                <m:rPr>
                  <m:sty m:val="p"/>
                </m:rPr>
                <m:t>h</m:t>
              </m:r>
              <m:r>
                <m:rPr>
                  <m:sty m:val="p"/>
                </m:rPr>
                <m:t>e</m:t>
              </m:r>
              <m:r>
                <m:rPr>
                  <m:sty m:val="p"/>
                </m:rPr>
                <m:t>a</m:t>
              </m:r>
              <m:r>
                <m:rPr>
                  <m:sty m:val="p"/>
                </m:rPr>
                <m:t>d</m:t>
              </m:r>
            </m:sub>
          </m:sSub>
          <m:sSub>
            <m:e>
              <m:r>
                <m:t>E</m:t>
              </m:r>
            </m:e>
            <m:sub>
              <m:r>
                <m:rPr>
                  <m:sty m:val="p"/>
                </m:rPr>
                <m:t>M</m:t>
              </m:r>
              <m:r>
                <m:rPr>
                  <m:sty m:val="p"/>
                </m:rPr>
                <m:t>A</m:t>
              </m:r>
              <m:r>
                <m:rPr>
                  <m:sty m:val="p"/>
                </m:rPr>
                <m:t>C</m:t>
              </m:r>
            </m:sub>
          </m:sSub>
          <m:r>
            <m:rPr>
              <m:sty m:val="p"/>
            </m:rPr>
            <m:t>.</m:t>
          </m:r>
        </m:oMath>
      </m:oMathPara>
      <w:r>
        <w:rPr>
          <w:i/>
          <w:iCs/>
        </w:rPr>
        <w:t xml:space="preserve"> </w:t>
      </w:r>
      <w:r>
        <w:rPr>
          <w:i/>
          <w:iCs/>
        </w:rPr>
        <w:t xml:space="preserve">This is the declared energy proxy for cross-model comparison in the current manuscript.</w:t>
      </w:r>
    </w:p>
    <w:bookmarkStart w:id="11" w:name="tab:nsn-notation"/>
    <w:p>
      <w:pPr>
        <w:pStyle w:val="TableCaption"/>
      </w:pPr>
      <w:r>
        <w:t xml:space="preserve">Core notation for Neuro-Spike SegNet.</w:t>
      </w:r>
    </w:p>
    <w:tbl>
      <w:tblPr>
        <w:tblStyle w:val="Table"/>
        <w:tblW w:type="auto" w:w="0"/>
        <w:tblLook w:firstRow="1" w:lastRow="0" w:firstColumn="0" w:lastColumn="0" w:noHBand="0" w:noVBand="0" w:val="0020"/>
        <w:tblCaption w:val="Core notation for Neuro-Spike SegNet."/>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G</m:t>
              </m:r>
              <m:r>
                <m:rPr>
                  <m:sty m:val="p"/>
                </m:rPr>
                <m:t>(</m:t>
              </m:r>
              <m:r>
                <m:t>t</m:t>
              </m:r>
              <m:r>
                <m:rPr>
                  <m:sty m:val="p"/>
                </m:rPr>
                <m:t>)</m:t>
              </m:r>
            </m:oMath>
          </w:p>
        </w:tc>
        <w:tc>
          <w:tcPr/>
          <w:p>
            <w:pPr>
              <w:pStyle w:val="Compact"/>
              <w:jc w:val="left"/>
            </w:pPr>
            <w:r>
              <w:t xml:space="preserve">sleep–wake phase indicator</w:t>
            </w:r>
          </w:p>
        </w:tc>
      </w:tr>
      <w:tr>
        <w:tc>
          <w:tcPr/>
          <w:p>
            <w:pPr>
              <w:pStyle w:val="Compact"/>
              <w:jc w:val="left"/>
            </w:pPr>
            <m:oMath>
              <m:sSub>
                <m:e>
                  <m:r>
                    <m:t>β</m:t>
                  </m:r>
                </m:e>
                <m:sub>
                  <m:r>
                    <m:rPr>
                      <m:sty m:val="p"/>
                    </m:rPr>
                    <m:t>e</m:t>
                  </m:r>
                  <m:r>
                    <m:rPr>
                      <m:sty m:val="p"/>
                    </m:rPr>
                    <m:t>f</m:t>
                  </m:r>
                  <m:r>
                    <m:rPr>
                      <m:sty m:val="p"/>
                    </m:rPr>
                    <m:t>f</m:t>
                  </m:r>
                </m:sub>
              </m:sSub>
              <m:r>
                <m:rPr>
                  <m:sty m:val="p"/>
                </m:rPr>
                <m:t>(</m:t>
              </m:r>
              <m:r>
                <m:t>t</m:t>
              </m:r>
              <m:r>
                <m:rPr>
                  <m:sty m:val="p"/>
                </m:rPr>
                <m:t>)</m:t>
              </m:r>
            </m:oMath>
          </w:p>
        </w:tc>
        <w:tc>
          <w:tcPr/>
          <w:p>
            <w:pPr>
              <w:pStyle w:val="Compact"/>
              <w:jc w:val="left"/>
            </w:pPr>
            <w:r>
              <w:t xml:space="preserve">effective leak factor under gating</w:t>
            </w:r>
          </w:p>
        </w:tc>
      </w:tr>
      <w:tr>
        <w:tc>
          <w:tcPr/>
          <w:p>
            <w:pPr>
              <w:pStyle w:val="Compact"/>
              <w:jc w:val="left"/>
            </w:pPr>
            <m:oMath>
              <m:sSub>
                <m:e>
                  <m:r>
                    <m:t>V</m:t>
                  </m:r>
                </m:e>
                <m:sub>
                  <m:r>
                    <m:rPr>
                      <m:sty m:val="p"/>
                    </m:rPr>
                    <m:t>t</m:t>
                  </m:r>
                  <m:r>
                    <m:rPr>
                      <m:sty m:val="p"/>
                    </m:rPr>
                    <m:t>h</m:t>
                  </m:r>
                  <m:r>
                    <m:rPr>
                      <m:sty m:val="p"/>
                    </m:rPr>
                    <m:t>,</m:t>
                  </m:r>
                  <m:r>
                    <m:rPr>
                      <m:sty m:val="p"/>
                    </m:rPr>
                    <m:t>e</m:t>
                  </m:r>
                  <m:r>
                    <m:rPr>
                      <m:sty m:val="p"/>
                    </m:rPr>
                    <m:t>f</m:t>
                  </m:r>
                  <m:r>
                    <m:rPr>
                      <m:sty m:val="p"/>
                    </m:rPr>
                    <m:t>f</m:t>
                  </m:r>
                </m:sub>
              </m:sSub>
              <m:r>
                <m:rPr>
                  <m:sty m:val="p"/>
                </m:rPr>
                <m:t>(</m:t>
              </m:r>
              <m:r>
                <m:t>t</m:t>
              </m:r>
              <m:r>
                <m:rPr>
                  <m:sty m:val="p"/>
                </m:rPr>
                <m:t>)</m:t>
              </m:r>
            </m:oMath>
          </w:p>
        </w:tc>
        <w:tc>
          <w:tcPr/>
          <w:p>
            <w:pPr>
              <w:pStyle w:val="Compact"/>
              <w:jc w:val="left"/>
            </w:pPr>
            <w:r>
              <w:t xml:space="preserve">effective threshold under gating</w:t>
            </w:r>
          </w:p>
        </w:tc>
      </w:tr>
      <w:tr>
        <w:tc>
          <w:tcPr/>
          <w:p>
            <w:pPr>
              <w:pStyle w:val="Compact"/>
              <w:jc w:val="left"/>
            </w:pPr>
            <m:oMath>
              <m:r>
                <m:t>R</m:t>
              </m:r>
              <m:r>
                <m:rPr>
                  <m:sty m:val="p"/>
                </m:rPr>
                <m:t>(</m:t>
              </m:r>
              <m:r>
                <m:rPr>
                  <m:scr m:val="script"/>
                  <m:sty m:val="p"/>
                </m:rPr>
                <m:t>T</m:t>
              </m:r>
              <m:r>
                <m:rPr>
                  <m:sty m:val="p"/>
                </m:rPr>
                <m:t>)</m:t>
              </m:r>
            </m:oMath>
          </w:p>
        </w:tc>
        <w:tc>
          <w:tcPr/>
          <w:p>
            <w:pPr>
              <w:pStyle w:val="Compact"/>
              <w:jc w:val="left"/>
            </w:pPr>
            <w:r>
              <w:t xml:space="preserve">phase-conditioned mean spike rate</w:t>
            </w:r>
          </w:p>
        </w:tc>
      </w:tr>
      <w:tr>
        <w:tc>
          <w:tcPr/>
          <w:p>
            <w:pPr>
              <w:pStyle w:val="Compact"/>
              <w:jc w:val="left"/>
            </w:pPr>
            <m:oMath>
              <m:sSub>
                <m:e>
                  <m:r>
                    <m:t>ρ</m:t>
                  </m:r>
                </m:e>
                <m:sub>
                  <m:r>
                    <m:rPr>
                      <m:sty m:val="p"/>
                    </m:rPr>
                    <m:t>s</m:t>
                  </m:r>
                  <m:r>
                    <m:rPr>
                      <m:sty m:val="p"/>
                    </m:rPr>
                    <m:t>u</m:t>
                  </m:r>
                  <m:r>
                    <m:rPr>
                      <m:sty m:val="p"/>
                    </m:rPr>
                    <m:t>p</m:t>
                  </m:r>
                </m:sub>
              </m:sSub>
            </m:oMath>
          </w:p>
        </w:tc>
        <w:tc>
          <w:tcPr/>
          <w:p>
            <w:pPr>
              <w:pStyle w:val="Compact"/>
              <w:jc w:val="left"/>
            </w:pPr>
            <w:r>
              <w:t xml:space="preserve">redundancy suppression ratio</w:t>
            </w:r>
          </w:p>
        </w:tc>
      </w:tr>
      <w:tr>
        <w:tc>
          <w:tcPr/>
          <w:p>
            <w:pPr>
              <w:pStyle w:val="Compact"/>
              <w:jc w:val="left"/>
            </w:pPr>
            <m:oMath>
              <m:sSub>
                <m:e>
                  <m:r>
                    <m:t>E</m:t>
                  </m:r>
                </m:e>
                <m:sub>
                  <m:r>
                    <m:rPr>
                      <m:sty m:val="p"/>
                    </m:rPr>
                    <m:t>t</m:t>
                  </m:r>
                  <m:r>
                    <m:rPr>
                      <m:sty m:val="p"/>
                    </m:rPr>
                    <m:t>o</m:t>
                  </m:r>
                  <m:r>
                    <m:rPr>
                      <m:sty m:val="p"/>
                    </m:rPr>
                    <m:t>t</m:t>
                  </m:r>
                </m:sub>
              </m:sSub>
            </m:oMath>
          </w:p>
        </w:tc>
        <w:tc>
          <w:tcPr/>
          <w:p>
            <w:pPr>
              <w:pStyle w:val="Compact"/>
              <w:jc w:val="left"/>
            </w:pPr>
            <w:r>
              <w:t xml:space="preserve">declared inference-energy proxy</w:t>
            </w:r>
          </w:p>
        </w:tc>
      </w:tr>
      <w:tr>
        <w:tc>
          <w:tcPr/>
          <w:p>
            <w:pPr>
              <w:pStyle w:val="Compact"/>
              <w:jc w:val="left"/>
            </w:pPr>
            <m:oMath>
              <m:sSub>
                <m:e>
                  <m:r>
                    <m:rPr>
                      <m:sty m:val="p"/>
                    </m:rPr>
                    <m:t>Δ</m:t>
                  </m:r>
                </m:e>
                <m:sub>
                  <m:r>
                    <m:rPr>
                      <m:sty m:val="p"/>
                    </m:rPr>
                    <m:t>m</m:t>
                  </m:r>
                  <m:r>
                    <m:rPr>
                      <m:sty m:val="p"/>
                    </m:rPr>
                    <m:t>I</m:t>
                  </m:r>
                  <m:r>
                    <m:rPr>
                      <m:sty m:val="p"/>
                    </m:rPr>
                    <m:t>o</m:t>
                  </m:r>
                  <m:r>
                    <m:rPr>
                      <m:sty m:val="p"/>
                    </m:rPr>
                    <m:t>U</m:t>
                  </m:r>
                </m:sub>
              </m:sSub>
            </m:oMath>
          </w:p>
        </w:tc>
        <w:tc>
          <w:tcPr/>
          <w:p>
            <w:pPr>
              <w:pStyle w:val="Compact"/>
              <w:jc w:val="left"/>
            </w:pPr>
            <w:r>
              <w:t xml:space="preserve">segmentation accuracy retention gap</w:t>
            </w:r>
          </w:p>
        </w:tc>
      </w:tr>
    </w:tbl>
    <w:bookmarkEnd w:id="11"/>
    <w:bookmarkEnd w:id="12"/>
    <w:bookmarkStart w:id="15" w:name="assumptions-and-propositions"/>
    <w:p>
      <w:pPr>
        <w:pStyle w:val="Heading1"/>
      </w:pPr>
      <w:r>
        <w:t xml:space="preserve">Assumptions and propositions</w:t>
      </w:r>
    </w:p>
    <w:p>
      <w:pPr>
        <w:pStyle w:val="FirstParagraph"/>
      </w:pPr>
      <w:r>
        <w:rPr>
          <w:b/>
          <w:bCs/>
        </w:rPr>
        <w:t xml:space="preserve">Assumption 1</w:t>
      </w:r>
      <w:r>
        <w:t xml:space="preserve"> </w:t>
      </w:r>
      <w:r>
        <w:t xml:space="preserve">(Late-phase redundancy).</w:t>
      </w:r>
      <w:r>
        <w:t xml:space="preserve"> </w:t>
      </w:r>
      <w:r>
        <w:t xml:space="preserve"> </w:t>
      </w:r>
      <w:r>
        <w:rPr>
          <w:i/>
          <w:iCs/>
        </w:rPr>
        <w:t xml:space="preserve">For static or slowly changing scenes, a nontrivial fraction of spikes emitted in the second half of the inference window are redundant with respect to the semantic output map.</w:t>
      </w:r>
    </w:p>
    <w:p>
      <w:pPr>
        <w:pStyle w:val="BodyText"/>
      </w:pPr>
      <w:r>
        <w:rPr>
          <w:b/>
          <w:bCs/>
        </w:rPr>
        <w:t xml:space="preserve">Assumption 2</w:t>
      </w:r>
      <w:r>
        <w:t xml:space="preserve"> </w:t>
      </w:r>
      <w:r>
        <w:t xml:space="preserve">(Saliency persistence).</w:t>
      </w:r>
      <w:r>
        <w:t xml:space="preserve"> </w:t>
      </w:r>
      <w:r>
        <w:t xml:space="preserve"> </w:t>
      </w:r>
      <w:r>
        <w:rPr>
          <w:i/>
          <w:iCs/>
        </w:rPr>
        <w:t xml:space="preserve">Semantically important structures produce stronger and more temporally consistent currents than background noise or redundant residual activity.</w:t>
      </w:r>
    </w:p>
    <w:p>
      <w:pPr>
        <w:pStyle w:val="BodyText"/>
      </w:pPr>
      <w:r>
        <w:rPr>
          <w:b/>
          <w:bCs/>
        </w:rPr>
        <w:t xml:space="preserve">Assumption 3</w:t>
      </w:r>
      <w:r>
        <w:t xml:space="preserve"> </w:t>
      </w:r>
      <w:r>
        <w:t xml:space="preserve">(Operational separability).</w:t>
      </w:r>
      <w:r>
        <w:t xml:space="preserve"> </w:t>
      </w:r>
      <w:r>
        <w:t xml:space="preserve"> </w:t>
      </w:r>
      <w:r>
        <w:rPr>
          <w:i/>
          <w:iCs/>
        </w:rPr>
        <w:t xml:space="preserve">Energy reduction and segmentation degradation can be measured separately enough that a favorable trade-off is empirically meaningful.</w:t>
      </w:r>
    </w:p>
    <w:p>
      <w:pPr>
        <w:pStyle w:val="BodyText"/>
      </w:pPr>
      <w:r>
        <w:rPr>
          <w:b/>
          <w:bCs/>
        </w:rPr>
        <w:t xml:space="preserve">Proposition 1</w:t>
      </w:r>
      <w:r>
        <w:t xml:space="preserve"> </w:t>
      </w:r>
      <w:r>
        <w:t xml:space="preserve">(Phase suppression).</w:t>
      </w:r>
      <w:r>
        <w:t xml:space="preserve"> </w:t>
      </w:r>
      <w:r>
        <w:t xml:space="preserve"> </w:t>
      </w:r>
      <w:r>
        <w:rPr>
          <w:i/>
          <w:iCs/>
        </w:rPr>
        <w:t xml:space="preserve">If late-phase redundancy exists and gating is properly calibrated, then</w:t>
      </w:r>
      <w:r>
        <w:rPr>
          <w:i/>
          <w:iCs/>
        </w:rPr>
        <w:t xml:space="preserve"> </w:t>
      </w:r>
      <m:oMathPara>
        <m:oMathParaPr>
          <m:jc m:val="center"/>
        </m:oMathParaPr>
        <m:oMath>
          <m:sSub>
            <m:e>
              <m:r>
                <m:t>R</m:t>
              </m:r>
            </m:e>
            <m:sub>
              <m:r>
                <m:rPr>
                  <m:nor/>
                  <m:sty m:val="p"/>
                </m:rPr>
                <m:t>gated</m:t>
              </m:r>
            </m:sub>
          </m:sSub>
          <m:r>
            <m:rPr>
              <m:sty m:val="p"/>
            </m:rPr>
            <m:t>(</m:t>
          </m:r>
          <m:sSub>
            <m:e>
              <m:r>
                <m:rPr>
                  <m:scr m:val="script"/>
                  <m:sty m:val="p"/>
                </m:rPr>
                <m:t>T</m:t>
              </m:r>
            </m:e>
            <m:sub>
              <m:r>
                <m:t>S</m:t>
              </m:r>
            </m:sub>
          </m:sSub>
          <m:r>
            <m:rPr>
              <m:sty m:val="p"/>
            </m:rPr>
            <m:t>)</m:t>
          </m:r>
          <m:r>
            <m:rPr>
              <m:sty m:val="p"/>
            </m:rPr>
            <m:t>&lt;</m:t>
          </m:r>
          <m:sSub>
            <m:e>
              <m:r>
                <m:t>R</m:t>
              </m:r>
            </m:e>
            <m:sub>
              <m:r>
                <m:rPr>
                  <m:nor/>
                  <m:sty m:val="p"/>
                </m:rPr>
                <m:t>baseline</m:t>
              </m:r>
            </m:sub>
          </m:sSub>
          <m:r>
            <m:rPr>
              <m:sty m:val="p"/>
            </m:rPr>
            <m:t>(</m:t>
          </m:r>
          <m:sSub>
            <m:e>
              <m:r>
                <m:rPr>
                  <m:scr m:val="script"/>
                  <m:sty m:val="p"/>
                </m:rPr>
                <m:t>T</m:t>
              </m:r>
            </m:e>
            <m:sub>
              <m:r>
                <m:t>S</m:t>
              </m:r>
            </m:sub>
          </m:sSub>
          <m:r>
            <m:rPr>
              <m:sty m:val="p"/>
            </m:rPr>
            <m:t>)</m:t>
          </m:r>
        </m:oMath>
      </m:oMathPara>
      <w:r>
        <w:rPr>
          <w:i/>
          <w:iCs/>
        </w:rPr>
        <w:t xml:space="preserve"> </w:t>
      </w:r>
      <w:r>
        <w:rPr>
          <w:i/>
          <w:iCs/>
        </w:rPr>
        <w:t xml:space="preserve">while the wake-phase rates remain approximately unchanged.</w:t>
      </w:r>
    </w:p>
    <w:p>
      <w:pPr>
        <w:pStyle w:val="FirstParagraph"/>
      </w:pPr>
      <w:r>
        <w:rPr>
          <w:b/>
          <w:bCs/>
        </w:rPr>
        <w:t xml:space="preserve">Proposition 2</w:t>
      </w:r>
      <w:r>
        <w:t xml:space="preserve"> </w:t>
      </w:r>
      <w:r>
        <w:t xml:space="preserve">(Efficiency gain).</w:t>
      </w:r>
      <w:r>
        <w:t xml:space="preserve"> </w:t>
      </w:r>
      <w:r>
        <w:t xml:space="preserve"> </w:t>
      </w:r>
      <w:r>
        <w:rPr>
          <w:i/>
          <w:iCs/>
        </w:rPr>
        <w:t xml:space="preserve">If sleep-phase suppression reduces spike count more than it increases overhead, then</w:t>
      </w:r>
      <w:r>
        <w:rPr>
          <w:i/>
          <w:iCs/>
        </w:rPr>
        <w:t xml:space="preserve"> </w:t>
      </w:r>
      <m:oMathPara>
        <m:oMathParaPr>
          <m:jc m:val="center"/>
        </m:oMathParaPr>
        <m:oMath>
          <m:sSubSup>
            <m:e>
              <m:r>
                <m:t>E</m:t>
              </m:r>
            </m:e>
            <m:sub>
              <m:r>
                <m:rPr>
                  <m:sty m:val="p"/>
                </m:rPr>
                <m:t>t</m:t>
              </m:r>
              <m:r>
                <m:rPr>
                  <m:sty m:val="p"/>
                </m:rPr>
                <m:t>o</m:t>
              </m:r>
              <m:r>
                <m:rPr>
                  <m:sty m:val="p"/>
                </m:rPr>
                <m:t>t</m:t>
              </m:r>
            </m:sub>
            <m:sup>
              <m:r>
                <m:rPr>
                  <m:sty m:val="p"/>
                </m:rPr>
                <m:t>g</m:t>
              </m:r>
              <m:r>
                <m:rPr>
                  <m:sty m:val="p"/>
                </m:rPr>
                <m:t>a</m:t>
              </m:r>
              <m:r>
                <m:rPr>
                  <m:sty m:val="p"/>
                </m:rPr>
                <m:t>t</m:t>
              </m:r>
              <m:r>
                <m:rPr>
                  <m:sty m:val="p"/>
                </m:rPr>
                <m:t>e</m:t>
              </m:r>
              <m:r>
                <m:rPr>
                  <m:sty m:val="p"/>
                </m:rPr>
                <m:t>d</m:t>
              </m:r>
            </m:sup>
          </m:sSubSup>
          <m:r>
            <m:rPr>
              <m:sty m:val="p"/>
            </m:rPr>
            <m:t>&lt;</m:t>
          </m:r>
          <m:sSubSup>
            <m:e>
              <m:r>
                <m:t>E</m:t>
              </m:r>
            </m:e>
            <m:sub>
              <m:r>
                <m:rPr>
                  <m:sty m:val="p"/>
                </m:rPr>
                <m:t>t</m:t>
              </m:r>
              <m:r>
                <m:rPr>
                  <m:sty m:val="p"/>
                </m:rPr>
                <m:t>o</m:t>
              </m:r>
              <m:r>
                <m:rPr>
                  <m:sty m:val="p"/>
                </m:rPr>
                <m:t>t</m:t>
              </m:r>
            </m:sub>
            <m:sup>
              <m:r>
                <m:rPr>
                  <m:sty m:val="p"/>
                </m:rPr>
                <m:t>b</m:t>
              </m:r>
              <m:r>
                <m:rPr>
                  <m:sty m:val="p"/>
                </m:rPr>
                <m:t>a</m:t>
              </m:r>
              <m:r>
                <m:rPr>
                  <m:sty m:val="p"/>
                </m:rPr>
                <m:t>s</m:t>
              </m:r>
              <m:r>
                <m:rPr>
                  <m:sty m:val="p"/>
                </m:rPr>
                <m:t>e</m:t>
              </m:r>
              <m:r>
                <m:rPr>
                  <m:sty m:val="p"/>
                </m:rPr>
                <m:t>l</m:t>
              </m:r>
              <m:r>
                <m:rPr>
                  <m:sty m:val="p"/>
                </m:rPr>
                <m:t>i</m:t>
              </m:r>
              <m:r>
                <m:rPr>
                  <m:sty m:val="p"/>
                </m:rPr>
                <m:t>n</m:t>
              </m:r>
              <m:r>
                <m:rPr>
                  <m:sty m:val="p"/>
                </m:rPr>
                <m:t>e</m:t>
              </m:r>
            </m:sup>
          </m:sSubSup>
          <m:r>
            <m:rPr>
              <m:sty m:val="p"/>
            </m:rPr>
            <m:t>.</m:t>
          </m:r>
        </m:oMath>
      </m:oMathPara>
    </w:p>
    <w:p>
      <w:pPr>
        <w:pStyle w:val="FirstParagraph"/>
      </w:pPr>
      <w:r>
        <w:rPr>
          <w:b/>
          <w:bCs/>
        </w:rPr>
        <w:t xml:space="preserve">Proposition 3</w:t>
      </w:r>
      <w:r>
        <w:t xml:space="preserve"> </w:t>
      </w:r>
      <w:r>
        <w:t xml:space="preserve">(Retention condition).</w:t>
      </w:r>
      <w:r>
        <w:t xml:space="preserve"> </w:t>
      </w:r>
      <w:r>
        <w:t xml:space="preserve"> </w:t>
      </w:r>
      <w:r>
        <w:rPr>
          <w:i/>
          <w:iCs/>
        </w:rPr>
        <w:t xml:space="preserve">Let</w:t>
      </w:r>
      <w:r>
        <w:rPr>
          <w:i/>
          <w:iCs/>
        </w:rPr>
        <w:t xml:space="preserve"> </w:t>
      </w:r>
      <m:oMath>
        <m:sSub>
          <m:e>
            <m:r>
              <m:rPr>
                <m:sty m:val="p"/>
              </m:rPr>
              <m:t>m</m:t>
            </m:r>
            <m:r>
              <m:rPr>
                <m:sty m:val="p"/>
              </m:rPr>
              <m:t>I</m:t>
            </m:r>
            <m:r>
              <m:rPr>
                <m:sty m:val="p"/>
              </m:rPr>
              <m:t>o</m:t>
            </m:r>
            <m:r>
              <m:rPr>
                <m:sty m:val="p"/>
              </m:rPr>
              <m:t>U</m:t>
            </m:r>
          </m:e>
          <m:sub>
            <m:r>
              <m:rPr>
                <m:sty m:val="p"/>
              </m:rPr>
              <m:t>g</m:t>
            </m:r>
            <m:r>
              <m:rPr>
                <m:sty m:val="p"/>
              </m:rPr>
              <m:t>a</m:t>
            </m:r>
            <m:r>
              <m:rPr>
                <m:sty m:val="p"/>
              </m:rPr>
              <m:t>t</m:t>
            </m:r>
            <m:r>
              <m:rPr>
                <m:sty m:val="p"/>
              </m:rPr>
              <m:t>e</m:t>
            </m:r>
            <m:r>
              <m:rPr>
                <m:sty m:val="p"/>
              </m:rPr>
              <m:t>d</m:t>
            </m:r>
          </m:sub>
        </m:sSub>
      </m:oMath>
      <w:r>
        <w:rPr>
          <w:i/>
          <w:iCs/>
        </w:rPr>
        <w:t xml:space="preserve"> </w:t>
      </w:r>
      <w:r>
        <w:rPr>
          <w:i/>
          <w:iCs/>
        </w:rPr>
        <w:t xml:space="preserve">and</w:t>
      </w:r>
      <w:r>
        <w:rPr>
          <w:i/>
          <w:iCs/>
        </w:rPr>
        <w:t xml:space="preserve"> </w:t>
      </w:r>
      <m:oMath>
        <m:sSub>
          <m:e>
            <m:r>
              <m:rPr>
                <m:sty m:val="p"/>
              </m:rPr>
              <m:t>m</m:t>
            </m:r>
            <m:r>
              <m:rPr>
                <m:sty m:val="p"/>
              </m:rPr>
              <m:t>I</m:t>
            </m:r>
            <m:r>
              <m:rPr>
                <m:sty m:val="p"/>
              </m:rPr>
              <m:t>o</m:t>
            </m:r>
            <m:r>
              <m:rPr>
                <m:sty m:val="p"/>
              </m:rPr>
              <m:t>U</m:t>
            </m:r>
          </m:e>
          <m:sub>
            <m:r>
              <m:rPr>
                <m:sty m:val="p"/>
              </m:rPr>
              <m:t>b</m:t>
            </m:r>
            <m:r>
              <m:rPr>
                <m:sty m:val="p"/>
              </m:rPr>
              <m:t>a</m:t>
            </m:r>
            <m:r>
              <m:rPr>
                <m:sty m:val="p"/>
              </m:rPr>
              <m:t>s</m:t>
            </m:r>
            <m:r>
              <m:rPr>
                <m:sty m:val="p"/>
              </m:rPr>
              <m:t>e</m:t>
            </m:r>
          </m:sub>
        </m:sSub>
      </m:oMath>
      <w:r>
        <w:rPr>
          <w:i/>
          <w:iCs/>
        </w:rPr>
        <w:t xml:space="preserve"> </w:t>
      </w:r>
      <w:r>
        <w:rPr>
          <w:i/>
          <w:iCs/>
        </w:rPr>
        <w:t xml:space="preserve">denote segmentation quality under identical data and decoding settings. A useful gating regime satisfies</w:t>
      </w:r>
      <w:r>
        <w:rPr>
          <w:i/>
          <w:iCs/>
        </w:rPr>
        <w:t xml:space="preserve"> </w:t>
      </w:r>
      <m:oMathPara>
        <m:oMathParaPr>
          <m:jc m:val="center"/>
        </m:oMathParaPr>
        <m:oMath>
          <m:sSub>
            <m:e>
              <m:r>
                <m:rPr>
                  <m:sty m:val="p"/>
                </m:rPr>
                <m:t>Δ</m:t>
              </m:r>
            </m:e>
            <m:sub>
              <m:r>
                <m:rPr>
                  <m:sty m:val="p"/>
                </m:rPr>
                <m:t>m</m:t>
              </m:r>
              <m:r>
                <m:rPr>
                  <m:sty m:val="p"/>
                </m:rPr>
                <m:t>I</m:t>
              </m:r>
              <m:r>
                <m:rPr>
                  <m:sty m:val="p"/>
                </m:rPr>
                <m:t>o</m:t>
              </m:r>
              <m:r>
                <m:rPr>
                  <m:sty m:val="p"/>
                </m:rPr>
                <m:t>U</m:t>
              </m:r>
            </m:sub>
          </m:sSub>
          <m:r>
            <m:rPr>
              <m:sty m:val="p"/>
            </m:rPr>
            <m:t>=</m:t>
          </m:r>
          <m:sSub>
            <m:e>
              <m:r>
                <m:rPr>
                  <m:sty m:val="p"/>
                </m:rPr>
                <m:t>m</m:t>
              </m:r>
              <m:r>
                <m:rPr>
                  <m:sty m:val="p"/>
                </m:rPr>
                <m:t>I</m:t>
              </m:r>
              <m:r>
                <m:rPr>
                  <m:sty m:val="p"/>
                </m:rPr>
                <m:t>o</m:t>
              </m:r>
              <m:r>
                <m:rPr>
                  <m:sty m:val="p"/>
                </m:rPr>
                <m:t>U</m:t>
              </m:r>
            </m:e>
            <m:sub>
              <m:r>
                <m:rPr>
                  <m:sty m:val="p"/>
                </m:rPr>
                <m:t>b</m:t>
              </m:r>
              <m:r>
                <m:rPr>
                  <m:sty m:val="p"/>
                </m:rPr>
                <m:t>a</m:t>
              </m:r>
              <m:r>
                <m:rPr>
                  <m:sty m:val="p"/>
                </m:rPr>
                <m:t>s</m:t>
              </m:r>
              <m:r>
                <m:rPr>
                  <m:sty m:val="p"/>
                </m:rPr>
                <m:t>e</m:t>
              </m:r>
            </m:sub>
          </m:sSub>
          <m:r>
            <m:rPr>
              <m:sty m:val="p"/>
            </m:rPr>
            <m:t>−</m:t>
          </m:r>
          <m:sSub>
            <m:e>
              <m:r>
                <m:rPr>
                  <m:sty m:val="p"/>
                </m:rPr>
                <m:t>m</m:t>
              </m:r>
              <m:r>
                <m:rPr>
                  <m:sty m:val="p"/>
                </m:rPr>
                <m:t>I</m:t>
              </m:r>
              <m:r>
                <m:rPr>
                  <m:sty m:val="p"/>
                </m:rPr>
                <m:t>o</m:t>
              </m:r>
              <m:r>
                <m:rPr>
                  <m:sty m:val="p"/>
                </m:rPr>
                <m:t>U</m:t>
              </m:r>
            </m:e>
            <m:sub>
              <m:r>
                <m:rPr>
                  <m:sty m:val="p"/>
                </m:rPr>
                <m:t>g</m:t>
              </m:r>
              <m:r>
                <m:rPr>
                  <m:sty m:val="p"/>
                </m:rPr>
                <m:t>a</m:t>
              </m:r>
              <m:r>
                <m:rPr>
                  <m:sty m:val="p"/>
                </m:rPr>
                <m:t>t</m:t>
              </m:r>
              <m:r>
                <m:rPr>
                  <m:sty m:val="p"/>
                </m:rPr>
                <m:t>e</m:t>
              </m:r>
              <m:r>
                <m:rPr>
                  <m:sty m:val="p"/>
                </m:rPr>
                <m:t>d</m:t>
              </m:r>
            </m:sub>
          </m:sSub>
          <m:r>
            <m:rPr>
              <m:sty m:val="p"/>
            </m:rPr>
            <m:t>≤</m:t>
          </m:r>
          <m:r>
            <m:t>δ</m:t>
          </m:r>
        </m:oMath>
      </m:oMathPara>
      <w:r>
        <w:rPr>
          <w:i/>
          <w:iCs/>
        </w:rPr>
        <w:t xml:space="preserve"> </w:t>
      </w:r>
      <w:r>
        <w:rPr>
          <w:i/>
          <w:iCs/>
        </w:rPr>
        <w:t xml:space="preserve">for an application-specific tolerance</w:t>
      </w:r>
      <w:r>
        <w:rPr>
          <w:i/>
          <w:iCs/>
        </w:rPr>
        <w:t xml:space="preserve"> </w:t>
      </w:r>
      <m:oMath>
        <m:r>
          <m:t>δ</m:t>
        </m:r>
      </m:oMath>
      <w:r>
        <w:rPr>
          <w:i/>
          <w:iCs/>
        </w:rPr>
        <w:t xml:space="preserve">.</w:t>
      </w:r>
    </w:p>
    <w:bookmarkStart w:id="13" w:name="null-hypothesis"/>
    <w:p>
      <w:pPr>
        <w:pStyle w:val="Heading2"/>
      </w:pPr>
      <w:r>
        <w:t xml:space="preserve">Null hypothesis</w:t>
      </w:r>
    </w:p>
    <w:p>
      <w:pPr>
        <w:pStyle w:val="FirstParagraph"/>
      </w:pPr>
      <w:r>
        <w:t xml:space="preserve">Sleep–wake membrane gating does not reduce late-phase spike rate or energy relative to a matched LIF baseline once segmentation retention is controlled.</w:t>
      </w:r>
    </w:p>
    <w:bookmarkEnd w:id="13"/>
    <w:bookmarkStart w:id="14" w:name="effect-size-target"/>
    <w:p>
      <w:pPr>
        <w:pStyle w:val="Heading2"/>
      </w:pPr>
      <w:r>
        <w:t xml:space="preserve">Effect-size target</w:t>
      </w:r>
    </w:p>
    <w:p>
      <w:pPr>
        <w:pStyle w:val="FirstParagraph"/>
      </w:pPr>
      <w:r>
        <w:t xml:space="preserve">The original report implies a practically meaningful target of at least</w:t>
      </w:r>
      <w:r>
        <w:t xml:space="preserve"> </w:t>
      </w:r>
      <m:oMath>
        <m:r>
          <m:t>30</m:t>
        </m:r>
        <m:r>
          <m:rPr>
            <m:sty m:val="p"/>
          </m:rPr>
          <m:t>%</m:t>
        </m:r>
      </m:oMath>
      <w:r>
        <w:t xml:space="preserve"> </w:t>
      </w:r>
      <w:r>
        <w:t xml:space="preserve">total spike-rate reduction with less than</w:t>
      </w:r>
      <w:r>
        <w:t xml:space="preserve"> </w:t>
      </w:r>
      <m:oMath>
        <m:r>
          <m:t>2</m:t>
        </m:r>
      </m:oMath>
      <w:r>
        <w:t xml:space="preserve"> </w:t>
      </w:r>
      <w:r>
        <w:t xml:space="preserve">percentage points loss in mIoU.</w:t>
      </w:r>
    </w:p>
    <w:bookmarkEnd w:id="14"/>
    <w:bookmarkEnd w:id="15"/>
    <w:bookmarkStart w:id="17" w:name="architecture-and-mechanism"/>
    <w:p>
      <w:pPr>
        <w:pStyle w:val="Heading1"/>
      </w:pPr>
      <w:r>
        <w:t xml:space="preserve">Architecture and mechanism</w:t>
      </w:r>
    </w:p>
    <w:p>
      <w:pPr>
        <w:pStyle w:val="FirstParagraph"/>
      </w:pPr>
      <w:r>
        <w:t xml:space="preserve">Neuro-Spike SegNet uses an encoder–decoder segmentation pipeline in which all convolutional blocks are replaced by spiking counterparts. The encoder contracts spatial resolution and accumulates hierarchical features, the bottleneck integrates broader context, and the decoder restores resolution through transposed spiking convolutions with skip connections.</w:t>
      </w:r>
    </w:p>
    <w:bookmarkStart w:id="16" w:name="fig:nsn-pipeline"/>
    <w:tbl>
      <w:tblPr>
        <w:tblStyle w:val="FigureTable"/>
        <w:tblW w:type="auto" w:w="0"/>
        <w:jc w:val="center"/>
        <w:tblLook w:firstRow="0" w:lastRow="0" w:firstColumn="0" w:lastColumn="0"/>
      </w:tblPr>
      <w:tblGrid/>
    </w:tbl>
    <w:p>
      <w:pPr>
        <w:pStyle w:val="ImageCaption"/>
      </w:pPr>
      <w:r>
        <w:t xml:space="preserve">Conceptual Neuro-Spike SegNet pipeline. Gating alters membrane dynamics in the latter half of inference rather than only during training.</w:t>
      </w:r>
    </w:p>
    <w:bookmarkEnd w:id="16"/>
    <w:p>
      <w:pPr>
        <w:pStyle w:val="BodyText"/>
      </w:pPr>
      <w:r>
        <w:t xml:space="preserve">The mechanism is intentionally global in its current form: a shared phase controller changes the effective leak and threshold for all monitored units during the sleep interval. This keeps the hypothesis simple. Future variants could make the gate spatially adaptive or neuron-specific.</w:t>
      </w:r>
    </w:p>
    <w:bookmarkEnd w:id="17"/>
    <w:bookmarkStart w:id="25" w:name="methodology"/>
    <w:p>
      <w:pPr>
        <w:pStyle w:val="Heading1"/>
      </w:pPr>
      <w:r>
        <w:t xml:space="preserve">Methodology</w:t>
      </w:r>
    </w:p>
    <w:bookmarkStart w:id="18" w:name="input-coding-and-simulation-protocol"/>
    <w:p>
      <w:pPr>
        <w:pStyle w:val="Heading2"/>
      </w:pPr>
      <w:r>
        <w:t xml:space="preserve">Input coding and simulation protocol</w:t>
      </w:r>
    </w:p>
    <w:p>
      <w:pPr>
        <w:pStyle w:val="FirstParagraph"/>
      </w:pPr>
      <w:r>
        <w:t xml:space="preserve">The source manuscript uses Poisson rate coding for grayscale inputs, with simulation horizon</w:t>
      </w:r>
      <w:r>
        <w:t xml:space="preserve"> </w:t>
      </w:r>
      <m:oMath>
        <m:r>
          <m:t>T</m:t>
        </m:r>
        <m:r>
          <m:rPr>
            <m:sty m:val="p"/>
          </m:rPr>
          <m:t>=</m:t>
        </m:r>
        <m:r>
          <m:t>60</m:t>
        </m:r>
      </m:oMath>
      <w:r>
        <w:t xml:space="preserve"> </w:t>
      </w:r>
      <w:r>
        <w:t xml:space="preserve">time steps. Wake and sleep phases each occupy half of the inference window. Training is described with AdamW, cosine annealing, and spike-MSE supervision on segmentation outputs.</w:t>
      </w:r>
    </w:p>
    <w:bookmarkEnd w:id="18"/>
    <w:bookmarkStart w:id="19" w:name="primary-estimands"/>
    <w:p>
      <w:pPr>
        <w:pStyle w:val="Heading2"/>
      </w:pPr>
      <w:r>
        <w:t xml:space="preserve">Primary estimands</w:t>
      </w:r>
    </w:p>
    <w:p>
      <w:pPr>
        <w:pStyle w:val="FirstParagraph"/>
      </w:pPr>
      <w:r>
        <w:t xml:space="preserve">We formalize three main estimands:</w:t>
      </w:r>
    </w:p>
    <w:p>
      <w:pPr>
        <w:pStyle w:val="BodyText"/>
      </w:pPr>
      <m:oMathPara>
        <m:oMathParaPr>
          <m:jc m:val="center"/>
        </m:oMathParaPr>
        <m:oMath>
          <m:sSub>
            <m:e>
              <m:r>
                <m:t>T</m:t>
              </m:r>
            </m:e>
            <m:sub>
              <m:r>
                <m:t>R</m:t>
              </m:r>
            </m:sub>
          </m:sSub>
          <m:r>
            <m:rPr>
              <m:sty m:val="p"/>
            </m:rPr>
            <m:t>=</m:t>
          </m:r>
          <m:sSub>
            <m:e>
              <m:r>
                <m:t>R</m:t>
              </m:r>
            </m:e>
            <m:sub>
              <m:r>
                <m:rPr>
                  <m:sty m:val="p"/>
                </m:rPr>
                <m:t>b</m:t>
              </m:r>
              <m:r>
                <m:rPr>
                  <m:sty m:val="p"/>
                </m:rPr>
                <m:t>a</m:t>
              </m:r>
              <m:r>
                <m:rPr>
                  <m:sty m:val="p"/>
                </m:rPr>
                <m:t>s</m:t>
              </m:r>
              <m:r>
                <m:rPr>
                  <m:sty m:val="p"/>
                </m:rPr>
                <m:t>e</m:t>
              </m:r>
            </m:sub>
          </m:sSub>
          <m:r>
            <m:rPr>
              <m:sty m:val="p"/>
            </m:rPr>
            <m:t>(</m:t>
          </m:r>
          <m:sSub>
            <m:e>
              <m:r>
                <m:rPr>
                  <m:scr m:val="script"/>
                  <m:sty m:val="p"/>
                </m:rPr>
                <m:t>T</m:t>
              </m:r>
            </m:e>
            <m:sub>
              <m:r>
                <m:t>S</m:t>
              </m:r>
            </m:sub>
          </m:sSub>
          <m:r>
            <m:rPr>
              <m:sty m:val="p"/>
            </m:rPr>
            <m:t>)</m:t>
          </m:r>
          <m:r>
            <m:rPr>
              <m:sty m:val="p"/>
            </m:rPr>
            <m:t>−</m:t>
          </m:r>
          <m:sSub>
            <m:e>
              <m:r>
                <m:t>R</m:t>
              </m:r>
            </m:e>
            <m:sub>
              <m:r>
                <m:rPr>
                  <m:sty m:val="p"/>
                </m:rPr>
                <m:t>g</m:t>
              </m:r>
              <m:r>
                <m:rPr>
                  <m:sty m:val="p"/>
                </m:rPr>
                <m:t>a</m:t>
              </m:r>
              <m:r>
                <m:rPr>
                  <m:sty m:val="p"/>
                </m:rPr>
                <m:t>t</m:t>
              </m:r>
              <m:r>
                <m:rPr>
                  <m:sty m:val="p"/>
                </m:rPr>
                <m:t>e</m:t>
              </m:r>
              <m:r>
                <m:rPr>
                  <m:sty m:val="p"/>
                </m:rPr>
                <m:t>d</m:t>
              </m:r>
            </m:sub>
          </m:sSub>
          <m:r>
            <m:rPr>
              <m:sty m:val="p"/>
            </m:rPr>
            <m:t>(</m:t>
          </m:r>
          <m:sSub>
            <m:e>
              <m:r>
                <m:rPr>
                  <m:scr m:val="script"/>
                  <m:sty m:val="p"/>
                </m:rPr>
                <m:t>T</m:t>
              </m:r>
            </m:e>
            <m:sub>
              <m:r>
                <m:t>S</m:t>
              </m:r>
            </m:sub>
          </m:sSub>
          <m:r>
            <m:rPr>
              <m:sty m:val="p"/>
            </m:rPr>
            <m:t>)</m:t>
          </m:r>
          <m:r>
            <m:rPr>
              <m:sty m:val="p"/>
            </m:rPr>
            <m:t>,</m:t>
          </m:r>
        </m:oMath>
      </m:oMathPara>
    </w:p>
    <w:p>
      <w:pPr>
        <w:pStyle w:val="FirstParagraph"/>
      </w:pPr>
      <m:oMathPara>
        <m:oMathParaPr>
          <m:jc m:val="center"/>
        </m:oMathParaPr>
        <m:oMath>
          <m:sSub>
            <m:e>
              <m:r>
                <m:t>T</m:t>
              </m:r>
            </m:e>
            <m:sub>
              <m:r>
                <m:t>E</m:t>
              </m:r>
            </m:sub>
          </m:sSub>
          <m:r>
            <m:rPr>
              <m:sty m:val="p"/>
            </m:rPr>
            <m:t>=</m:t>
          </m:r>
          <m:sSubSup>
            <m:e>
              <m:r>
                <m:t>E</m:t>
              </m:r>
            </m:e>
            <m:sub>
              <m:r>
                <m:rPr>
                  <m:sty m:val="p"/>
                </m:rPr>
                <m:t>t</m:t>
              </m:r>
              <m:r>
                <m:rPr>
                  <m:sty m:val="p"/>
                </m:rPr>
                <m:t>o</m:t>
              </m:r>
              <m:r>
                <m:rPr>
                  <m:sty m:val="p"/>
                </m:rPr>
                <m:t>t</m:t>
              </m:r>
            </m:sub>
            <m:sup>
              <m:r>
                <m:rPr>
                  <m:sty m:val="p"/>
                </m:rPr>
                <m:t>b</m:t>
              </m:r>
              <m:r>
                <m:rPr>
                  <m:sty m:val="p"/>
                </m:rPr>
                <m:t>a</m:t>
              </m:r>
              <m:r>
                <m:rPr>
                  <m:sty m:val="p"/>
                </m:rPr>
                <m:t>s</m:t>
              </m:r>
              <m:r>
                <m:rPr>
                  <m:sty m:val="p"/>
                </m:rPr>
                <m:t>e</m:t>
              </m:r>
            </m:sup>
          </m:sSubSup>
          <m:r>
            <m:rPr>
              <m:sty m:val="p"/>
            </m:rPr>
            <m:t>−</m:t>
          </m:r>
          <m:sSubSup>
            <m:e>
              <m:r>
                <m:t>E</m:t>
              </m:r>
            </m:e>
            <m:sub>
              <m:r>
                <m:rPr>
                  <m:sty m:val="p"/>
                </m:rPr>
                <m:t>t</m:t>
              </m:r>
              <m:r>
                <m:rPr>
                  <m:sty m:val="p"/>
                </m:rPr>
                <m:t>o</m:t>
              </m:r>
              <m:r>
                <m:rPr>
                  <m:sty m:val="p"/>
                </m:rPr>
                <m:t>t</m:t>
              </m:r>
            </m:sub>
            <m:sup>
              <m:r>
                <m:rPr>
                  <m:sty m:val="p"/>
                </m:rPr>
                <m:t>g</m:t>
              </m:r>
              <m:r>
                <m:rPr>
                  <m:sty m:val="p"/>
                </m:rPr>
                <m:t>a</m:t>
              </m:r>
              <m:r>
                <m:rPr>
                  <m:sty m:val="p"/>
                </m:rPr>
                <m:t>t</m:t>
              </m:r>
              <m:r>
                <m:rPr>
                  <m:sty m:val="p"/>
                </m:rPr>
                <m:t>e</m:t>
              </m:r>
              <m:r>
                <m:rPr>
                  <m:sty m:val="p"/>
                </m:rPr>
                <m:t>d</m:t>
              </m:r>
            </m:sup>
          </m:sSubSup>
          <m:r>
            <m:rPr>
              <m:sty m:val="p"/>
            </m:rPr>
            <m:t>,</m:t>
          </m:r>
        </m:oMath>
      </m:oMathPara>
    </w:p>
    <w:p>
      <w:pPr>
        <w:pStyle w:val="FirstParagraph"/>
      </w:pPr>
      <w:r>
        <w:t xml:space="preserve">and</w:t>
      </w:r>
    </w:p>
    <w:p>
      <w:pPr>
        <w:pStyle w:val="BodyText"/>
      </w:pPr>
      <m:oMathPara>
        <m:oMathParaPr>
          <m:jc m:val="center"/>
        </m:oMathParaPr>
        <m:oMath>
          <m:sSub>
            <m:e>
              <m:r>
                <m:t>T</m:t>
              </m:r>
            </m:e>
            <m:sub>
              <m:r>
                <m:t>Q</m:t>
              </m:r>
            </m:sub>
          </m:sSub>
          <m:r>
            <m:rPr>
              <m:sty m:val="p"/>
            </m:rPr>
            <m:t>=</m:t>
          </m:r>
          <m:sSub>
            <m:e>
              <m:r>
                <m:rPr>
                  <m:sty m:val="p"/>
                </m:rPr>
                <m:t>m</m:t>
              </m:r>
              <m:r>
                <m:rPr>
                  <m:sty m:val="p"/>
                </m:rPr>
                <m:t>I</m:t>
              </m:r>
              <m:r>
                <m:rPr>
                  <m:sty m:val="p"/>
                </m:rPr>
                <m:t>o</m:t>
              </m:r>
              <m:r>
                <m:rPr>
                  <m:sty m:val="p"/>
                </m:rPr>
                <m:t>U</m:t>
              </m:r>
            </m:e>
            <m:sub>
              <m:r>
                <m:rPr>
                  <m:sty m:val="p"/>
                </m:rPr>
                <m:t>g</m:t>
              </m:r>
              <m:r>
                <m:rPr>
                  <m:sty m:val="p"/>
                </m:rPr>
                <m:t>a</m:t>
              </m:r>
              <m:r>
                <m:rPr>
                  <m:sty m:val="p"/>
                </m:rPr>
                <m:t>t</m:t>
              </m:r>
              <m:r>
                <m:rPr>
                  <m:sty m:val="p"/>
                </m:rPr>
                <m:t>e</m:t>
              </m:r>
              <m:r>
                <m:rPr>
                  <m:sty m:val="p"/>
                </m:rPr>
                <m:t>d</m:t>
              </m:r>
            </m:sub>
          </m:sSub>
          <m:r>
            <m:rPr>
              <m:sty m:val="p"/>
            </m:rPr>
            <m:t>−</m:t>
          </m:r>
          <m:sSub>
            <m:e>
              <m:r>
                <m:rPr>
                  <m:sty m:val="p"/>
                </m:rPr>
                <m:t>m</m:t>
              </m:r>
              <m:r>
                <m:rPr>
                  <m:sty m:val="p"/>
                </m:rPr>
                <m:t>I</m:t>
              </m:r>
              <m:r>
                <m:rPr>
                  <m:sty m:val="p"/>
                </m:rPr>
                <m:t>o</m:t>
              </m:r>
              <m:r>
                <m:rPr>
                  <m:sty m:val="p"/>
                </m:rPr>
                <m:t>U</m:t>
              </m:r>
            </m:e>
            <m:sub>
              <m:r>
                <m:rPr>
                  <m:sty m:val="p"/>
                </m:rPr>
                <m:t>b</m:t>
              </m:r>
              <m:r>
                <m:rPr>
                  <m:sty m:val="p"/>
                </m:rPr>
                <m:t>a</m:t>
              </m:r>
              <m:r>
                <m:rPr>
                  <m:sty m:val="p"/>
                </m:rPr>
                <m:t>s</m:t>
              </m:r>
              <m:r>
                <m:rPr>
                  <m:sty m:val="p"/>
                </m:rPr>
                <m:t>e</m:t>
              </m:r>
            </m:sub>
          </m:sSub>
          <m:r>
            <m:rPr>
              <m:sty m:val="p"/>
            </m:rPr>
            <m:t>.</m:t>
          </m:r>
        </m:oMath>
      </m:oMathPara>
    </w:p>
    <w:p>
      <w:pPr>
        <w:pStyle w:val="FirstParagraph"/>
      </w:pPr>
      <w:r>
        <w:t xml:space="preserve">The manuscript is supported when</w:t>
      </w:r>
      <w:r>
        <w:t xml:space="preserve"> </w:t>
      </w:r>
      <m:oMath>
        <m:sSub>
          <m:e>
            <m:r>
              <m:t>T</m:t>
            </m:r>
          </m:e>
          <m:sub>
            <m:r>
              <m:t>R</m:t>
            </m:r>
          </m:sub>
        </m:sSub>
        <m:r>
          <m:rPr>
            <m:sty m:val="p"/>
          </m:rPr>
          <m:t>&gt;</m:t>
        </m:r>
        <m:r>
          <m:t>0</m:t>
        </m:r>
      </m:oMath>
      <w:r>
        <w:t xml:space="preserve"> </w:t>
      </w:r>
      <w:r>
        <w:t xml:space="preserve">and</w:t>
      </w:r>
      <w:r>
        <w:t xml:space="preserve"> </w:t>
      </w:r>
      <m:oMath>
        <m:sSub>
          <m:e>
            <m:r>
              <m:t>T</m:t>
            </m:r>
          </m:e>
          <m:sub>
            <m:r>
              <m:t>E</m:t>
            </m:r>
          </m:sub>
        </m:sSub>
        <m:r>
          <m:rPr>
            <m:sty m:val="p"/>
          </m:rPr>
          <m:t>&gt;</m:t>
        </m:r>
        <m:r>
          <m:t>0</m:t>
        </m:r>
      </m:oMath>
      <w:r>
        <w:t xml:space="preserve"> </w:t>
      </w:r>
      <w:r>
        <w:t xml:space="preserve">while</w:t>
      </w:r>
      <w:r>
        <w:t xml:space="preserve"> </w:t>
      </w:r>
      <m:oMath>
        <m:sSub>
          <m:e>
            <m:r>
              <m:t>T</m:t>
            </m:r>
          </m:e>
          <m:sub>
            <m:r>
              <m:t>Q</m:t>
            </m:r>
          </m:sub>
        </m:sSub>
      </m:oMath>
      <w:r>
        <w:t xml:space="preserve"> </w:t>
      </w:r>
      <w:r>
        <w:t xml:space="preserve">remains near zero from an application standpoint.</w:t>
      </w:r>
    </w:p>
    <w:bookmarkEnd w:id="19"/>
    <w:bookmarkStart w:id="20" w:name="phase-normalized-contrasts"/>
    <w:p>
      <w:pPr>
        <w:pStyle w:val="Heading2"/>
      </w:pPr>
      <w:r>
        <w:t xml:space="preserve">Phase-normalized contrasts</w:t>
      </w:r>
    </w:p>
    <w:p>
      <w:pPr>
        <w:pStyle w:val="FirstParagraph"/>
      </w:pPr>
      <w:r>
        <w:t xml:space="preserve">To ensure that suppression is specific to the sleep interval rather than a global firing-rate collapse, define</w:t>
      </w:r>
    </w:p>
    <w:p>
      <w:pPr>
        <w:pStyle w:val="BodyText"/>
      </w:pPr>
      <m:oMathPara>
        <m:oMathParaPr>
          <m:jc m:val="center"/>
        </m:oMathParaPr>
        <m:oMath>
          <m:sSubSup>
            <m:e>
              <m:r>
                <m:rPr>
                  <m:sty m:val="p"/>
                </m:rPr>
                <m:t>Δ</m:t>
              </m:r>
            </m:e>
            <m:sub>
              <m:r>
                <m:t>R</m:t>
              </m:r>
            </m:sub>
            <m:sup>
              <m:r>
                <m:t>W</m:t>
              </m:r>
            </m:sup>
          </m:sSubSup>
          <m:r>
            <m:rPr>
              <m:sty m:val="p"/>
            </m:rPr>
            <m:t>=</m:t>
          </m:r>
          <m:sSub>
            <m:e>
              <m:r>
                <m:t>R</m:t>
              </m:r>
            </m:e>
            <m:sub>
              <m:r>
                <m:rPr>
                  <m:sty m:val="p"/>
                </m:rPr>
                <m:t>b</m:t>
              </m:r>
              <m:r>
                <m:rPr>
                  <m:sty m:val="p"/>
                </m:rPr>
                <m:t>a</m:t>
              </m:r>
              <m:r>
                <m:rPr>
                  <m:sty m:val="p"/>
                </m:rPr>
                <m:t>s</m:t>
              </m:r>
              <m:r>
                <m:rPr>
                  <m:sty m:val="p"/>
                </m:rPr>
                <m:t>e</m:t>
              </m:r>
            </m:sub>
          </m:sSub>
          <m:r>
            <m:rPr>
              <m:sty m:val="p"/>
            </m:rPr>
            <m:t>(</m:t>
          </m:r>
          <m:sSub>
            <m:e>
              <m:r>
                <m:rPr>
                  <m:scr m:val="script"/>
                  <m:sty m:val="p"/>
                </m:rPr>
                <m:t>T</m:t>
              </m:r>
            </m:e>
            <m:sub>
              <m:r>
                <m:t>W</m:t>
              </m:r>
            </m:sub>
          </m:sSub>
          <m:r>
            <m:rPr>
              <m:sty m:val="p"/>
            </m:rPr>
            <m:t>)</m:t>
          </m:r>
          <m:r>
            <m:rPr>
              <m:sty m:val="p"/>
            </m:rPr>
            <m:t>−</m:t>
          </m:r>
          <m:sSub>
            <m:e>
              <m:r>
                <m:t>R</m:t>
              </m:r>
            </m:e>
            <m:sub>
              <m:r>
                <m:rPr>
                  <m:sty m:val="p"/>
                </m:rPr>
                <m:t>g</m:t>
              </m:r>
              <m:r>
                <m:rPr>
                  <m:sty m:val="p"/>
                </m:rPr>
                <m:t>a</m:t>
              </m:r>
              <m:r>
                <m:rPr>
                  <m:sty m:val="p"/>
                </m:rPr>
                <m:t>t</m:t>
              </m:r>
              <m:r>
                <m:rPr>
                  <m:sty m:val="p"/>
                </m:rPr>
                <m:t>e</m:t>
              </m:r>
              <m:r>
                <m:rPr>
                  <m:sty m:val="p"/>
                </m:rPr>
                <m:t>d</m:t>
              </m:r>
            </m:sub>
          </m:sSub>
          <m:r>
            <m:rPr>
              <m:sty m:val="p"/>
            </m:rPr>
            <m:t>(</m:t>
          </m:r>
          <m:sSub>
            <m:e>
              <m:r>
                <m:rPr>
                  <m:scr m:val="script"/>
                  <m:sty m:val="p"/>
                </m:rPr>
                <m:t>T</m:t>
              </m:r>
            </m:e>
            <m:sub>
              <m:r>
                <m:t>W</m:t>
              </m:r>
            </m:sub>
          </m:sSub>
          <m:r>
            <m:rPr>
              <m:sty m:val="p"/>
            </m:rPr>
            <m:t>)</m:t>
          </m:r>
          <m:r>
            <m:rPr>
              <m:sty m:val="p"/>
            </m:rPr>
            <m:t>,</m:t>
          </m:r>
          <m:r>
            <m:t>  </m:t>
          </m:r>
          <m:sSubSup>
            <m:e>
              <m:r>
                <m:rPr>
                  <m:sty m:val="p"/>
                </m:rPr>
                <m:t>Δ</m:t>
              </m:r>
            </m:e>
            <m:sub>
              <m:r>
                <m:t>R</m:t>
              </m:r>
            </m:sub>
            <m:sup>
              <m:r>
                <m:t>S</m:t>
              </m:r>
            </m:sup>
          </m:sSubSup>
          <m:r>
            <m:rPr>
              <m:sty m:val="p"/>
            </m:rPr>
            <m:t>=</m:t>
          </m:r>
          <m:sSub>
            <m:e>
              <m:r>
                <m:t>R</m:t>
              </m:r>
            </m:e>
            <m:sub>
              <m:r>
                <m:rPr>
                  <m:sty m:val="p"/>
                </m:rPr>
                <m:t>b</m:t>
              </m:r>
              <m:r>
                <m:rPr>
                  <m:sty m:val="p"/>
                </m:rPr>
                <m:t>a</m:t>
              </m:r>
              <m:r>
                <m:rPr>
                  <m:sty m:val="p"/>
                </m:rPr>
                <m:t>s</m:t>
              </m:r>
              <m:r>
                <m:rPr>
                  <m:sty m:val="p"/>
                </m:rPr>
                <m:t>e</m:t>
              </m:r>
            </m:sub>
          </m:sSub>
          <m:r>
            <m:rPr>
              <m:sty m:val="p"/>
            </m:rPr>
            <m:t>(</m:t>
          </m:r>
          <m:sSub>
            <m:e>
              <m:r>
                <m:rPr>
                  <m:scr m:val="script"/>
                  <m:sty m:val="p"/>
                </m:rPr>
                <m:t>T</m:t>
              </m:r>
            </m:e>
            <m:sub>
              <m:r>
                <m:t>S</m:t>
              </m:r>
            </m:sub>
          </m:sSub>
          <m:r>
            <m:rPr>
              <m:sty m:val="p"/>
            </m:rPr>
            <m:t>)</m:t>
          </m:r>
          <m:r>
            <m:rPr>
              <m:sty m:val="p"/>
            </m:rPr>
            <m:t>−</m:t>
          </m:r>
          <m:sSub>
            <m:e>
              <m:r>
                <m:t>R</m:t>
              </m:r>
            </m:e>
            <m:sub>
              <m:r>
                <m:rPr>
                  <m:sty m:val="p"/>
                </m:rPr>
                <m:t>g</m:t>
              </m:r>
              <m:r>
                <m:rPr>
                  <m:sty m:val="p"/>
                </m:rPr>
                <m:t>a</m:t>
              </m:r>
              <m:r>
                <m:rPr>
                  <m:sty m:val="p"/>
                </m:rPr>
                <m:t>t</m:t>
              </m:r>
              <m:r>
                <m:rPr>
                  <m:sty m:val="p"/>
                </m:rPr>
                <m:t>e</m:t>
              </m:r>
              <m:r>
                <m:rPr>
                  <m:sty m:val="p"/>
                </m:rPr>
                <m:t>d</m:t>
              </m:r>
            </m:sub>
          </m:sSub>
          <m:r>
            <m:rPr>
              <m:sty m:val="p"/>
            </m:rPr>
            <m:t>(</m:t>
          </m:r>
          <m:sSub>
            <m:e>
              <m:r>
                <m:rPr>
                  <m:scr m:val="script"/>
                  <m:sty m:val="p"/>
                </m:rPr>
                <m:t>T</m:t>
              </m:r>
            </m:e>
            <m:sub>
              <m:r>
                <m:t>S</m:t>
              </m:r>
            </m:sub>
          </m:sSub>
          <m:r>
            <m:rPr>
              <m:sty m:val="p"/>
            </m:rPr>
            <m:t>)</m:t>
          </m:r>
          <m:r>
            <m:rPr>
              <m:sty m:val="p"/>
            </m:rPr>
            <m:t>.</m:t>
          </m:r>
        </m:oMath>
      </m:oMathPara>
    </w:p>
    <w:p>
      <w:pPr>
        <w:pStyle w:val="FirstParagraph"/>
      </w:pPr>
      <w:r>
        <w:t xml:space="preserve">The intended mechanism predicts</w:t>
      </w:r>
      <w:r>
        <w:t xml:space="preserve"> </w:t>
      </w:r>
      <m:oMath>
        <m:sSubSup>
          <m:e>
            <m:r>
              <m:rPr>
                <m:sty m:val="p"/>
              </m:rPr>
              <m:t>Δ</m:t>
            </m:r>
          </m:e>
          <m:sub>
            <m:r>
              <m:t>R</m:t>
            </m:r>
          </m:sub>
          <m:sup>
            <m:r>
              <m:t>S</m:t>
            </m:r>
          </m:sup>
        </m:sSubSup>
        <m:r>
          <m:rPr>
            <m:sty m:val="p"/>
          </m:rPr>
          <m:t>≫</m:t>
        </m:r>
        <m:sSubSup>
          <m:e>
            <m:r>
              <m:rPr>
                <m:sty m:val="p"/>
              </m:rPr>
              <m:t>Δ</m:t>
            </m:r>
          </m:e>
          <m:sub>
            <m:r>
              <m:t>R</m:t>
            </m:r>
          </m:sub>
          <m:sup>
            <m:r>
              <m:t>W</m:t>
            </m:r>
          </m:sup>
        </m:sSubSup>
      </m:oMath>
      <w:r>
        <w:t xml:space="preserve">.</w:t>
      </w:r>
    </w:p>
    <w:bookmarkEnd w:id="20"/>
    <w:bookmarkStart w:id="21" w:name="pareto-admissibility"/>
    <w:p>
      <w:pPr>
        <w:pStyle w:val="Heading2"/>
      </w:pPr>
      <w:r>
        <w:t xml:space="preserve">Pareto admissibility</w:t>
      </w:r>
    </w:p>
    <w:p>
      <w:pPr>
        <w:pStyle w:val="FirstParagraph"/>
      </w:pPr>
      <w:r>
        <w:t xml:space="preserve">For deployment, a parameter setting</w:t>
      </w:r>
      <w:r>
        <w:t xml:space="preserve"> </w:t>
      </w:r>
      <m:oMath>
        <m:r>
          <m:rPr>
            <m:sty m:val="p"/>
          </m:rPr>
          <m:t>(</m:t>
        </m:r>
        <m:sSub>
          <m:e>
            <m:r>
              <m:t>λ</m:t>
            </m:r>
          </m:e>
          <m:sub>
            <m:r>
              <m:rPr>
                <m:sty m:val="p"/>
              </m:rPr>
              <m:t>l</m:t>
            </m:r>
            <m:r>
              <m:rPr>
                <m:sty m:val="p"/>
              </m:rPr>
              <m:t>e</m:t>
            </m:r>
            <m:r>
              <m:rPr>
                <m:sty m:val="p"/>
              </m:rPr>
              <m:t>a</m:t>
            </m:r>
            <m:r>
              <m:rPr>
                <m:sty m:val="p"/>
              </m:rPr>
              <m:t>k</m:t>
            </m:r>
          </m:sub>
        </m:sSub>
        <m:r>
          <m:rPr>
            <m:sty m:val="p"/>
          </m:rPr>
          <m:t>,</m:t>
        </m:r>
        <m:sSub>
          <m:e>
            <m:r>
              <m:t>λ</m:t>
            </m:r>
          </m:e>
          <m:sub>
            <m:r>
              <m:rPr>
                <m:sty m:val="p"/>
              </m:rPr>
              <m:t>t</m:t>
            </m:r>
            <m:r>
              <m:rPr>
                <m:sty m:val="p"/>
              </m:rPr>
              <m:t>h</m:t>
            </m:r>
            <m:r>
              <m:rPr>
                <m:sty m:val="p"/>
              </m:rPr>
              <m:t>r</m:t>
            </m:r>
            <m:r>
              <m:rPr>
                <m:sty m:val="p"/>
              </m:rPr>
              <m:t>e</m:t>
            </m:r>
            <m:r>
              <m:rPr>
                <m:sty m:val="p"/>
              </m:rPr>
              <m:t>s</m:t>
            </m:r>
            <m:r>
              <m:rPr>
                <m:sty m:val="p"/>
              </m:rPr>
              <m:t>h</m:t>
            </m:r>
          </m:sub>
        </m:sSub>
        <m:r>
          <m:rPr>
            <m:sty m:val="p"/>
          </m:rPr>
          <m:t>)</m:t>
        </m:r>
      </m:oMath>
      <w:r>
        <w:t xml:space="preserve"> </w:t>
      </w:r>
      <w:r>
        <w:t xml:space="preserve">is admissible only if no alternative setting yields both lower energy and higher mIoU. This converts the ablation into a Pareto-screening problem rather than an isolated hyperparameter sweep.</w:t>
      </w:r>
    </w:p>
    <w:bookmarkEnd w:id="21"/>
    <w:bookmarkStart w:id="22" w:name="inference-protocol"/>
    <w:p>
      <w:pPr>
        <w:pStyle w:val="Heading2"/>
      </w:pPr>
      <w:r>
        <w:t xml:space="preserve">Inference protocol</w:t>
      </w:r>
    </w:p>
    <w:p>
      <w:pPr>
        <w:pStyle w:val="FirstParagraph"/>
      </w:pPr>
      <w:r>
        <w:t xml:space="preserve">For replicated runs, each scene or sequence should be evaluated under multiple random encoding seeds, and uncertainty for</w:t>
      </w:r>
      <w:r>
        <w:t xml:space="preserve"> </w:t>
      </w:r>
      <m:oMath>
        <m:sSub>
          <m:e>
            <m:r>
              <m:t>T</m:t>
            </m:r>
          </m:e>
          <m:sub>
            <m:r>
              <m:t>R</m:t>
            </m:r>
          </m:sub>
        </m:sSub>
      </m:oMath>
      <w:r>
        <w:t xml:space="preserve">,</w:t>
      </w:r>
      <w:r>
        <w:t xml:space="preserve"> </w:t>
      </w:r>
      <m:oMath>
        <m:sSub>
          <m:e>
            <m:r>
              <m:t>T</m:t>
            </m:r>
          </m:e>
          <m:sub>
            <m:r>
              <m:t>E</m:t>
            </m:r>
          </m:sub>
        </m:sSub>
      </m:oMath>
      <w:r>
        <w:t xml:space="preserve">, and</w:t>
      </w:r>
      <w:r>
        <w:t xml:space="preserve"> </w:t>
      </w:r>
      <m:oMath>
        <m:sSub>
          <m:e>
            <m:r>
              <m:t>T</m:t>
            </m:r>
          </m:e>
          <m:sub>
            <m:r>
              <m:t>Q</m:t>
            </m:r>
          </m:sub>
        </m:sSub>
      </m:oMath>
      <w:r>
        <w:t xml:space="preserve"> </w:t>
      </w:r>
      <w:r>
        <w:t xml:space="preserve">should be reported with scene-level bootstrap intervals. Scene-level resampling is the relevant unit because per-time-step spikes are not independent observations.</w:t>
      </w:r>
    </w:p>
    <w:bookmarkEnd w:id="22"/>
    <w:bookmarkStart w:id="23" w:name="control-condition"/>
    <w:p>
      <w:pPr>
        <w:pStyle w:val="Heading2"/>
      </w:pPr>
      <w:r>
        <w:t xml:space="preserve">Control condition</w:t>
      </w:r>
    </w:p>
    <w:p>
      <w:pPr>
        <w:pStyle w:val="FirstParagraph"/>
      </w:pPr>
      <w:r>
        <w:t xml:space="preserve">The relevant control is a matched SNN segmentation model with identical topology, coding scheme, and simulation horizon but without phase-dependent modulation of leak and threshold.</w:t>
      </w:r>
    </w:p>
    <w:bookmarkEnd w:id="23"/>
    <w:bookmarkStart w:id="24" w:name="confounds-and-falsifiers"/>
    <w:p>
      <w:pPr>
        <w:pStyle w:val="Heading2"/>
      </w:pPr>
      <w:r>
        <w:t xml:space="preserve">Confounds and falsifiers</w:t>
      </w:r>
    </w:p>
    <w:p>
      <w:pPr>
        <w:numPr>
          <w:ilvl w:val="0"/>
          <w:numId w:val="1002"/>
        </w:numPr>
      </w:pPr>
      <w:r>
        <w:t xml:space="preserve">improvements caused by reduced simulation time rather than gating,</w:t>
      </w:r>
    </w:p>
    <w:p>
      <w:pPr>
        <w:numPr>
          <w:ilvl w:val="0"/>
          <w:numId w:val="1002"/>
        </w:numPr>
      </w:pPr>
      <w:r>
        <w:t xml:space="preserve">gains driven by scene simplicity alone,</w:t>
      </w:r>
    </w:p>
    <w:p>
      <w:pPr>
        <w:numPr>
          <w:ilvl w:val="0"/>
          <w:numId w:val="1002"/>
        </w:numPr>
      </w:pPr>
      <w:r>
        <w:t xml:space="preserve">energy accounting that ignores gating overhead,</w:t>
      </w:r>
    </w:p>
    <w:p>
      <w:pPr>
        <w:numPr>
          <w:ilvl w:val="0"/>
          <w:numId w:val="1002"/>
        </w:numPr>
      </w:pPr>
      <w:r>
        <w:t xml:space="preserve">apparent robustness caused by oversmoothing rather than selective pruning.</w:t>
      </w:r>
    </w:p>
    <w:p>
      <w:pPr>
        <w:pStyle w:val="FirstParagraph"/>
      </w:pPr>
      <w:r>
        <w:t xml:space="preserve">The theory is weakened if gated suppression appears equally strong on dynamic scenes with continually changing evidence, or if energy gains vanish after controller overhead is fully counted.</w:t>
      </w:r>
    </w:p>
    <w:p>
      <w:pPr>
        <w:pStyle w:val="BodyText"/>
      </w:pPr>
      <w:r>
        <w:t xml:space="preserve">An additional falsifier is wake-phase collapse: if</w:t>
      </w:r>
      <w:r>
        <w:t xml:space="preserve"> </w:t>
      </w:r>
      <m:oMath>
        <m:sSubSup>
          <m:e>
            <m:r>
              <m:rPr>
                <m:sty m:val="p"/>
              </m:rPr>
              <m:t>Δ</m:t>
            </m:r>
          </m:e>
          <m:sub>
            <m:r>
              <m:t>R</m:t>
            </m:r>
          </m:sub>
          <m:sup>
            <m:r>
              <m:t>W</m:t>
            </m:r>
          </m:sup>
        </m:sSubSup>
      </m:oMath>
      <w:r>
        <w:t xml:space="preserve"> </w:t>
      </w:r>
      <w:r>
        <w:t xml:space="preserve">is large, the mechanism is not selectively pruning late redundancy but simply reducing excitability everywhere.</w:t>
      </w:r>
    </w:p>
    <w:bookmarkEnd w:id="24"/>
    <w:bookmarkEnd w:id="25"/>
    <w:bookmarkStart w:id="36" w:name="reported-evidence-from-the-source-paper"/>
    <w:p>
      <w:pPr>
        <w:pStyle w:val="Heading1"/>
      </w:pPr>
      <w:r>
        <w:t xml:space="preserve">Reported evidence from the source paper</w:t>
      </w:r>
    </w:p>
    <w:p>
      <w:pPr>
        <w:pStyle w:val="FirstParagraph"/>
      </w:pPr>
      <w:r>
        <w:t xml:space="preserve">The provided PDF reports a substantial reduction in sleep-phase activity and lower energy footprint relative to baselines. We preserve those observations here as structured evidence rather than as new experiments.</w:t>
      </w:r>
    </w:p>
    <w:bookmarkStart w:id="26" w:name="tab:nsn-spike-rates"/>
    <w:p>
      <w:pPr>
        <w:pStyle w:val="TableCaption"/>
      </w:pPr>
      <w:r>
        <w:t xml:space="preserve">Average spike rates reported in the source manuscript.</w:t>
      </w:r>
    </w:p>
    <w:tbl>
      <w:tblPr>
        <w:tblStyle w:val="Table"/>
        <w:tblW w:type="auto" w:w="0"/>
        <w:tblLook w:firstRow="1" w:lastRow="0" w:firstColumn="0" w:lastColumn="0" w:noHBand="0" w:noVBand="0" w:val="0020"/>
        <w:tblCaption w:val="Average spike rates reported in the source manuscript."/>
      </w:tblPr>
      <w:tblGrid>
        <w:gridCol w:w="1980"/>
        <w:gridCol w:w="1980"/>
        <w:gridCol w:w="1980"/>
        <w:gridCol w:w="1980"/>
      </w:tblGrid>
      <w:tr>
        <w:trPr>
          <w:tblHeader w:val="on"/>
        </w:trPr>
        <w:tc>
          <w:tcPr/>
          <w:p>
            <w:pPr>
              <w:pStyle w:val="Compact"/>
              <w:jc w:val="left"/>
            </w:pPr>
            <w:r>
              <w:t xml:space="preserve">Phase</w:t>
            </w:r>
          </w:p>
        </w:tc>
        <w:tc>
          <w:tcPr/>
          <w:p>
            <w:pPr>
              <w:pStyle w:val="Compact"/>
              <w:jc w:val="center"/>
            </w:pPr>
            <w:r>
              <w:t xml:space="preserve">Baseline SNN</w:t>
            </w:r>
          </w:p>
        </w:tc>
        <w:tc>
          <w:tcPr/>
          <w:p>
            <w:pPr>
              <w:pStyle w:val="Compact"/>
              <w:jc w:val="center"/>
            </w:pPr>
            <w:r>
              <w:t xml:space="preserve">Neuro-Spike</w:t>
            </w:r>
          </w:p>
        </w:tc>
        <w:tc>
          <w:tcPr/>
          <w:p>
            <w:pPr>
              <w:pStyle w:val="Compact"/>
              <w:jc w:val="center"/>
            </w:pPr>
            <w:r>
              <w:t xml:space="preserve">Reduction</w:t>
            </w:r>
          </w:p>
        </w:tc>
      </w:tr>
      <w:tr>
        <w:tc>
          <w:tcPr/>
          <w:p>
            <w:pPr>
              <w:pStyle w:val="Compact"/>
              <w:jc w:val="left"/>
            </w:pPr>
            <w:r>
              <w:t xml:space="preserve">Wake (0–30 ms)</w:t>
            </w:r>
          </w:p>
        </w:tc>
        <w:tc>
          <w:tcPr/>
          <w:p>
            <w:pPr>
              <w:pStyle w:val="Compact"/>
              <w:jc w:val="center"/>
            </w:pPr>
            <w:r>
              <w:t xml:space="preserve">28.4 Hz</w:t>
            </w:r>
          </w:p>
        </w:tc>
        <w:tc>
          <w:tcPr/>
          <w:p>
            <w:pPr>
              <w:pStyle w:val="Compact"/>
              <w:jc w:val="center"/>
            </w:pPr>
            <w:r>
              <w:t xml:space="preserve">28.2 Hz</w:t>
            </w:r>
          </w:p>
        </w:tc>
        <w:tc>
          <w:tcPr/>
          <w:p>
            <w:pPr>
              <w:pStyle w:val="Compact"/>
              <w:jc w:val="center"/>
            </w:pPr>
            <m:oMath>
              <m:r>
                <m:rPr>
                  <m:sty m:val="p"/>
                </m:rPr>
                <m:t>∼</m:t>
              </m:r>
              <m:r>
                <m:t>0</m:t>
              </m:r>
              <m:r>
                <m:rPr>
                  <m:sty m:val="p"/>
                </m:rPr>
                <m:t>%</m:t>
              </m:r>
            </m:oMath>
          </w:p>
        </w:tc>
      </w:tr>
      <w:tr>
        <w:tc>
          <w:tcPr/>
          <w:p>
            <w:pPr>
              <w:pStyle w:val="Compact"/>
              <w:jc w:val="left"/>
            </w:pPr>
            <w:r>
              <w:t xml:space="preserve">Sleep (30–60 ms)</w:t>
            </w:r>
          </w:p>
        </w:tc>
        <w:tc>
          <w:tcPr/>
          <w:p>
            <w:pPr>
              <w:pStyle w:val="Compact"/>
              <w:jc w:val="center"/>
            </w:pPr>
            <w:r>
              <w:t xml:space="preserve">27.9 Hz</w:t>
            </w:r>
          </w:p>
        </w:tc>
        <w:tc>
          <w:tcPr/>
          <w:p>
            <w:pPr>
              <w:pStyle w:val="Compact"/>
              <w:jc w:val="center"/>
            </w:pPr>
            <w:r>
              <w:t xml:space="preserve">8.4 Hz</w:t>
            </w:r>
          </w:p>
        </w:tc>
        <w:tc>
          <w:tcPr/>
          <w:p>
            <w:pPr>
              <w:pStyle w:val="Compact"/>
              <w:jc w:val="center"/>
            </w:pPr>
            <w:r>
              <w:t xml:space="preserve">69.8%</w:t>
            </w:r>
          </w:p>
        </w:tc>
      </w:tr>
      <w:tr>
        <w:tc>
          <w:tcPr/>
          <w:p>
            <w:pPr>
              <w:pStyle w:val="Compact"/>
              <w:jc w:val="left"/>
            </w:pPr>
            <w:r>
              <w:t xml:space="preserve">Total average</w:t>
            </w:r>
          </w:p>
        </w:tc>
        <w:tc>
          <w:tcPr/>
          <w:p>
            <w:pPr>
              <w:pStyle w:val="Compact"/>
              <w:jc w:val="center"/>
            </w:pPr>
            <w:r>
              <w:t xml:space="preserve">28.1 Hz</w:t>
            </w:r>
          </w:p>
        </w:tc>
        <w:tc>
          <w:tcPr/>
          <w:p>
            <w:pPr>
              <w:pStyle w:val="Compact"/>
              <w:jc w:val="center"/>
            </w:pPr>
            <w:r>
              <w:t xml:space="preserve">18.3 Hz</w:t>
            </w:r>
          </w:p>
        </w:tc>
        <w:tc>
          <w:tcPr/>
          <w:p>
            <w:pPr>
              <w:pStyle w:val="Compact"/>
              <w:jc w:val="center"/>
            </w:pPr>
            <w:r>
              <w:t xml:space="preserve">34.8%</w:t>
            </w:r>
          </w:p>
        </w:tc>
      </w:tr>
    </w:tbl>
    <w:bookmarkEnd w:id="26"/>
    <w:bookmarkStart w:id="27" w:name="tab:nsn-ablation"/>
    <w:p>
      <w:pPr>
        <w:pStyle w:val="TableCaption"/>
      </w:pPr>
      <w:r>
        <w:t xml:space="preserve">Reported gating-strength trade-off from the source manuscript.</w:t>
      </w:r>
    </w:p>
    <w:tbl>
      <w:tblPr>
        <w:tblStyle w:val="Table"/>
        <w:tblW w:type="auto" w:w="0"/>
        <w:tblLook w:firstRow="1" w:lastRow="0" w:firstColumn="0" w:lastColumn="0" w:noHBand="0" w:noVBand="0" w:val="0020"/>
        <w:tblCaption w:val="Reported gating-strength trade-off from the source manuscript."/>
      </w:tblPr>
      <w:tblGrid>
        <w:gridCol w:w="2640"/>
        <w:gridCol w:w="2640"/>
        <w:gridCol w:w="2640"/>
      </w:tblGrid>
      <w:tr>
        <w:trPr>
          <w:tblHeader w:val="on"/>
        </w:trPr>
        <w:tc>
          <w:tcPr/>
          <w:p>
            <w:pPr>
              <w:pStyle w:val="Compact"/>
              <w:jc w:val="left"/>
            </w:pPr>
            <w:r>
              <w:t xml:space="preserve">Threshold multiplier</w:t>
            </w:r>
            <w:r>
              <w:t xml:space="preserve"> </w:t>
            </w:r>
            <m:oMath>
              <m:r>
                <m:t>γ</m:t>
              </m:r>
            </m:oMath>
          </w:p>
        </w:tc>
        <w:tc>
          <w:tcPr/>
          <w:p>
            <w:pPr>
              <w:pStyle w:val="Compact"/>
              <w:jc w:val="center"/>
            </w:pPr>
            <w:r>
              <w:t xml:space="preserve">mIoU</w:t>
            </w:r>
          </w:p>
        </w:tc>
        <w:tc>
          <w:tcPr/>
          <w:p>
            <w:pPr>
              <w:pStyle w:val="Compact"/>
              <w:jc w:val="center"/>
            </w:pPr>
            <w:r>
              <w:t xml:space="preserve">Qualitative energy</w:t>
            </w:r>
          </w:p>
        </w:tc>
      </w:tr>
      <w:tr>
        <w:tc>
          <w:tcPr/>
          <w:p>
            <w:pPr>
              <w:pStyle w:val="Compact"/>
              <w:jc w:val="left"/>
            </w:pPr>
            <w:r>
              <w:t xml:space="preserve">0.0 (no gating)</w:t>
            </w:r>
          </w:p>
        </w:tc>
        <w:tc>
          <w:tcPr/>
          <w:p>
            <w:pPr>
              <w:pStyle w:val="Compact"/>
              <w:jc w:val="center"/>
            </w:pPr>
            <w:r>
              <w:t xml:space="preserve">68.4%</w:t>
            </w:r>
          </w:p>
        </w:tc>
        <w:tc>
          <w:tcPr/>
          <w:p>
            <w:pPr>
              <w:pStyle w:val="Compact"/>
              <w:jc w:val="center"/>
            </w:pPr>
            <w:r>
              <w:t xml:space="preserve">high</w:t>
            </w:r>
          </w:p>
        </w:tc>
      </w:tr>
      <w:tr>
        <w:tc>
          <w:tcPr/>
          <w:p>
            <w:pPr>
              <w:pStyle w:val="Compact"/>
              <w:jc w:val="left"/>
            </w:pPr>
            <w:r>
              <w:t xml:space="preserve">0.5 (reported optimum)</w:t>
            </w:r>
          </w:p>
        </w:tc>
        <w:tc>
          <w:tcPr/>
          <w:p>
            <w:pPr>
              <w:pStyle w:val="Compact"/>
              <w:jc w:val="center"/>
            </w:pPr>
            <w:r>
              <w:t xml:space="preserve">67.5%</w:t>
            </w:r>
          </w:p>
        </w:tc>
        <w:tc>
          <w:tcPr/>
          <w:p>
            <w:pPr>
              <w:pStyle w:val="Compact"/>
              <w:jc w:val="center"/>
            </w:pPr>
            <w:r>
              <w:t xml:space="preserve">low</w:t>
            </w:r>
          </w:p>
        </w:tc>
      </w:tr>
      <w:tr>
        <w:tc>
          <w:tcPr/>
          <w:p>
            <w:pPr>
              <w:pStyle w:val="Compact"/>
              <w:jc w:val="left"/>
            </w:pPr>
            <w:r>
              <w:t xml:space="preserve">1.0 (aggressive)</w:t>
            </w:r>
          </w:p>
        </w:tc>
        <w:tc>
          <w:tcPr/>
          <w:p>
            <w:pPr>
              <w:pStyle w:val="Compact"/>
              <w:jc w:val="center"/>
            </w:pPr>
            <w:r>
              <w:t xml:space="preserve">52.1%</w:t>
            </w:r>
          </w:p>
        </w:tc>
        <w:tc>
          <w:tcPr/>
          <w:p>
            <w:pPr>
              <w:pStyle w:val="Compact"/>
              <w:jc w:val="center"/>
            </w:pPr>
            <w:r>
              <w:t xml:space="preserve">lowest</w:t>
            </w:r>
          </w:p>
        </w:tc>
      </w:tr>
    </w:tbl>
    <w:bookmarkEnd w:id="27"/>
    <w:bookmarkStart w:id="31" w:name="fig:nsn-raster"/>
    <w:p>
      <w:pPr>
        <w:pStyle w:val="CaptionedFigure"/>
      </w:pPr>
      <w:r>
        <w:drawing>
          <wp:inline>
            <wp:extent cx="4907280" cy="2453640"/>
            <wp:effectExtent b="0" l="0" r="0" t="0"/>
            <wp:docPr descr="" title="" id="29" name="Picture"/>
            <a:graphic>
              <a:graphicData uri="http://schemas.openxmlformats.org/drawingml/2006/picture">
                <pic:pic>
                  <pic:nvPicPr>
                    <pic:cNvPr descr="figures/page5_img1_rotated.png" id="30" name="Picture"/>
                    <pic:cNvPicPr>
                      <a:picLocks noChangeArrowheads="1" noChangeAspect="1"/>
                    </pic:cNvPicPr>
                  </pic:nvPicPr>
                  <pic:blipFill>
                    <a:blip r:embed="rId28"/>
                    <a:stretch>
                      <a:fillRect/>
                    </a:stretch>
                  </pic:blipFill>
                  <pic:spPr bwMode="auto">
                    <a:xfrm>
                      <a:off x="0" y="0"/>
                      <a:ext cx="4907280" cy="2453640"/>
                    </a:xfrm>
                    <a:prstGeom prst="rect">
                      <a:avLst/>
                    </a:prstGeom>
                    <a:noFill/>
                    <a:ln w="9525">
                      <a:noFill/>
                      <a:headEnd/>
                      <a:tailEnd/>
                    </a:ln>
                  </pic:spPr>
                </pic:pic>
              </a:graphicData>
            </a:graphic>
          </wp:inline>
        </w:drawing>
      </w:r>
    </w:p>
    <w:p>
      <w:pPr>
        <w:pStyle w:val="ImageCaption"/>
      </w:pPr>
      <w:r>
        <w:t xml:space="preserve">Raster plot extracted from the source PDF. The dashed line marks the onset of the sleep phase; activity becomes markedly sparser afterward.</w:t>
      </w:r>
    </w:p>
    <w:bookmarkEnd w:id="31"/>
    <w:bookmarkStart w:id="35" w:name="fig:nsn-energy"/>
    <w:p>
      <w:pPr>
        <w:pStyle w:val="CaptionedFigure"/>
      </w:pPr>
      <w:r>
        <w:drawing>
          <wp:inline>
            <wp:extent cx="4373880" cy="3280410"/>
            <wp:effectExtent b="0" l="0" r="0" t="0"/>
            <wp:docPr descr="" title="" id="33" name="Picture"/>
            <a:graphic>
              <a:graphicData uri="http://schemas.openxmlformats.org/drawingml/2006/picture">
                <pic:pic>
                  <pic:nvPicPr>
                    <pic:cNvPr descr="figures/page6_img1.png" id="34" name="Picture"/>
                    <pic:cNvPicPr>
                      <a:picLocks noChangeArrowheads="1" noChangeAspect="1"/>
                    </pic:cNvPicPr>
                  </pic:nvPicPr>
                  <pic:blipFill>
                    <a:blip r:embed="rId32"/>
                    <a:stretch>
                      <a:fillRect/>
                    </a:stretch>
                  </pic:blipFill>
                  <pic:spPr bwMode="auto">
                    <a:xfrm>
                      <a:off x="0" y="0"/>
                      <a:ext cx="4373880" cy="3280410"/>
                    </a:xfrm>
                    <a:prstGeom prst="rect">
                      <a:avLst/>
                    </a:prstGeom>
                    <a:noFill/>
                    <a:ln w="9525">
                      <a:noFill/>
                      <a:headEnd/>
                      <a:tailEnd/>
                    </a:ln>
                  </pic:spPr>
                </pic:pic>
              </a:graphicData>
            </a:graphic>
          </wp:inline>
        </w:drawing>
      </w:r>
    </w:p>
    <w:p>
      <w:pPr>
        <w:pStyle w:val="ImageCaption"/>
      </w:pPr>
      <w:r>
        <w:t xml:space="preserve">Energy comparison extracted from the source PDF. The gated model is reported as the lowest-energy configuration among the compared variants.</w:t>
      </w:r>
    </w:p>
    <w:bookmarkEnd w:id="35"/>
    <w:bookmarkEnd w:id="36"/>
    <w:bookmarkStart w:id="37" w:name="discussion"/>
    <w:p>
      <w:pPr>
        <w:pStyle w:val="Heading1"/>
      </w:pPr>
      <w:r>
        <w:t xml:space="preserve">Discussion</w:t>
      </w:r>
    </w:p>
    <w:p>
      <w:pPr>
        <w:pStyle w:val="FirstParagraph"/>
      </w:pPr>
      <w:r>
        <w:t xml:space="preserve">The appealing feature of Neuro-Spike SegNet is that it treats redundancy as something the dynamics can actively suppress, not merely something training hopes will disappear. That is a stronger systems claim than generic sparsity regularization. The wake phase accumulates enough evidence to establish a dense segmentation hypothesis, while the sleep phase functions as a controlled consolidation stage that forces only high-confidence structures to remain metabolically active.</w:t>
      </w:r>
    </w:p>
    <w:p>
      <w:pPr>
        <w:pStyle w:val="BodyText"/>
      </w:pPr>
      <w:r>
        <w:t xml:space="preserve">This idea also gives the architecture a clearer niche within spiking vision research. Existing efficiency improvements often act through weight learning, surrogate gradients, or architectural compression</w:t>
      </w:r>
      <w:r>
        <w:t xml:space="preserve"> </w:t>
      </w:r>
      <w:r>
        <w:t xml:space="preserve">. The present mechanism instead intervenes at inference time by changing the physical interpretation of the neuron. That distinction is publishable in principle because it leads to different falsifiers and different deployment knobs.</w:t>
      </w:r>
    </w:p>
    <w:bookmarkEnd w:id="37"/>
    <w:bookmarkStart w:id="38" w:name="limitations-and-future-work"/>
    <w:p>
      <w:pPr>
        <w:pStyle w:val="Heading1"/>
      </w:pPr>
      <w:r>
        <w:t xml:space="preserve">Limitations and future work</w:t>
      </w:r>
    </w:p>
    <w:p>
      <w:pPr>
        <w:pStyle w:val="FirstParagraph"/>
      </w:pPr>
      <w:r>
        <w:t xml:space="preserve">The current manuscript is still limited by its dependence on source-reported experiments rather than a fresh replication package. Several gaps remain:</w:t>
      </w:r>
    </w:p>
    <w:p>
      <w:pPr>
        <w:numPr>
          <w:ilvl w:val="0"/>
          <w:numId w:val="1003"/>
        </w:numPr>
      </w:pPr>
      <w:r>
        <w:t xml:space="preserve">the energy model is proxy-based rather than hardware-measured,</w:t>
      </w:r>
    </w:p>
    <w:p>
      <w:pPr>
        <w:numPr>
          <w:ilvl w:val="0"/>
          <w:numId w:val="1003"/>
        </w:numPr>
      </w:pPr>
      <w:r>
        <w:t xml:space="preserve">the reported evidence emphasizes static scenes more than dynamic ones,</w:t>
      </w:r>
    </w:p>
    <w:p>
      <w:pPr>
        <w:numPr>
          <w:ilvl w:val="0"/>
          <w:numId w:val="1003"/>
        </w:numPr>
      </w:pPr>
      <w:r>
        <w:t xml:space="preserve">the global gate may be too coarse for heterogeneous scenes, and</w:t>
      </w:r>
    </w:p>
    <w:p>
      <w:pPr>
        <w:numPr>
          <w:ilvl w:val="0"/>
          <w:numId w:val="1003"/>
        </w:numPr>
      </w:pPr>
      <w:r>
        <w:t xml:space="preserve">the segmentation benchmark needs broader dataset reporting beyond the summarized examples.</w:t>
      </w:r>
    </w:p>
    <w:p>
      <w:pPr>
        <w:pStyle w:val="FirstParagraph"/>
      </w:pPr>
      <w:r>
        <w:t xml:space="preserve">The next serious step is to reproduce the reported results with explicit code, per-layer spike accounting, and latency measurements. A stronger follow-up would also compare global gating against spatially adaptive gating and against rate-regularized baselines.</w:t>
      </w:r>
    </w:p>
    <w:bookmarkEnd w:id="38"/>
    <w:bookmarkStart w:id="39" w:name="conclusion"/>
    <w:p>
      <w:pPr>
        <w:pStyle w:val="Heading1"/>
      </w:pPr>
      <w:r>
        <w:t xml:space="preserve">Conclusion</w:t>
      </w:r>
    </w:p>
    <w:p>
      <w:pPr>
        <w:pStyle w:val="FirstParagraph"/>
      </w:pPr>
      <w:r>
        <w:t xml:space="preserve">Neuro-Spike SegNet is most interesting when interpreted not as a loose biological metaphor but as a concrete dynamical hypothesis: late-phase spikes in dense spiking segmentation can be selectively suppressed through phase-dependent membrane control. The original PDF provides promising evidence for that claim, and this rebuild organizes it into a more formal manuscript foundation for later experimental expansion.</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Neuro-Spike SegNet: Biomimetic Sleep–Wake Gating for Redundancy-Suppressed Spiking Segmentation</dc:title>
  <dc:creator>Aryan Singh Chandel  RJIT (Rustamji Institute of Technology), Gwalior, India aryansingh19gh@gmail.com</dc:creator>
  <cp:keywords/>
  <dcterms:created xsi:type="dcterms:W3CDTF">2026-06-26T14:20:55Z</dcterms:created>
  <dcterms:modified xsi:type="dcterms:W3CDTF">2026-06-26T14:20:55Z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Spiking neural networks are often presented as energy-efficient alternatives to conventional dense vision models, yet dense prediction workloads remain difficult because high spatial fidelity encourages persistent firing. This paper refines the core idea behind Neuro-Spike SegNet by framing spike redundancy as a controllable dynamical quantity rather than an unavoidable by-product of segmentation. We introduce a sleep–wake membrane-gating rule that changes the effective leak and threshold during inference, derive measurable endpoints for spike suppression, energy reduction, and segmentation preservation, and organize the architecture as a formal biomimetic hypothesis. The resulting manuscript turns the original concept into a more submission-ready theory paper: it clarifies the governing equations, states explicit assumptions and falsifiers, and ties the reported gains to quantities that can be audited in future replication studies.</vt:lpwstr>
  </property>
  <property fmtid="{D5CDD505-2E9C-101B-9397-08002B2CF9AE}" pid="3" name="bibliography">
    <vt:lpwstr/>
  </property>
  <property fmtid="{D5CDD505-2E9C-101B-9397-08002B2CF9AE}" pid="4" name="date">
    <vt:lpwstr>June 26, 2026</vt:lpwstr>
  </property>
</Properties>
</file>