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4E79"/>
          <w:sz w:val="52"/>
          <w:szCs w:val="52"/>
        </w:rPr>
        <w:t xml:space="preserve">LOW LEVEL DESIGN</w:t>
      </w:r>
    </w:p>
    <w:p>
      <w:pPr>
        <w:spacing w:after="240" w:before="0"/>
        <w:jc w:val="center"/>
      </w:pPr>
      <w:r>
        <w:rPr>
          <w:b/>
          <w:bCs/>
          <w:color w:val="2E74B5"/>
          <w:sz w:val="36"/>
          <w:szCs w:val="36"/>
        </w:rPr>
        <w:t xml:space="preserve">Interface Architecture Document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Interface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INT-[SOURCE]-[TARGET]-[TYPE]-001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[Source System Name]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System(s)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[Target System Name(s)]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[DD MMM YYYY]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Document Administration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1.1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480"/>
        <w:gridCol w:w="348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Draft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1.2 Document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[Org]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Introduction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2.1 Overview</w:t>
      </w:r>
    </w:p>
    <w:p>
      <w:pPr>
        <w:spacing w:after="60" w:before="60"/>
      </w:pPr>
      <w:r>
        <w:rPr>
          <w:i/>
          <w:iCs/>
          <w:color w:val="808080"/>
          <w:sz w:val="22"/>
          <w:szCs w:val="22"/>
        </w:rPr>
        <w:t xml:space="preserve">[Brief description of the integration — what it does, why it exists, which systems are connected]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2.2 Business Requirements and Context</w:t>
      </w:r>
    </w:p>
    <w:p>
      <w:pPr>
        <w:spacing w:after="60" w:before="60"/>
      </w:pPr>
      <w:r>
        <w:rPr>
          <w:i/>
          <w:iCs/>
          <w:color w:val="808080"/>
          <w:sz w:val="22"/>
          <w:szCs w:val="22"/>
        </w:rPr>
        <w:t xml:space="preserve">[Business driver for this interface. Reference the business requirement or epic ID.]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[Req ID / Epic]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[Business Team]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2.3 Technology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Azure Service Bus — guaranteed message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Azure Event Hub — high-volume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Azure Kubernetes Service (AKS) — microservice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Azure API Management — 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[Add / remove as applicable]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Design Overview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3.3 Architectural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CIS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[Pattern Name from CIS Catalogue]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Pattern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/ Batch / Pub-Sub / Request-Reply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/ Async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3.4 Service Name / Interface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Interface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INT-[SOURCE]-[TARGET]-[TYPE]-001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[AKS Microservice Name]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[Azure Namespace]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3.5 Overview</w:t>
      </w:r>
    </w:p>
    <w:p>
      <w:pPr>
        <w:spacing w:after="60" w:before="60"/>
      </w:pPr>
      <w:r>
        <w:rPr>
          <w:i/>
          <w:iCs/>
          <w:color w:val="808080"/>
          <w:sz w:val="22"/>
          <w:szCs w:val="22"/>
        </w:rPr>
        <w:t xml:space="preserve">[2-3 paragraph narrative describing the end-to-end integration flow]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3.6 Context Diagram</w:t>
      </w:r>
    </w:p>
    <w:p>
      <w:pPr>
        <w:spacing w:after="60" w:before="60"/>
      </w:pPr>
      <w:r>
        <w:rPr>
          <w:i/>
          <w:iCs/>
          <w:color w:val="808080"/>
          <w:sz w:val="22"/>
          <w:szCs w:val="22"/>
        </w:rPr>
        <w:t xml:space="preserve">[Insert context diagram here — showing source, middleware, broker, and consumer systems]</w:t>
      </w:r>
    </w:p>
    <w:p>
      <w:pPr>
        <w:spacing w:after="80" w:before="80"/>
      </w:pPr>
      <w:r>
        <w:rPr>
          <w:i/>
          <w:iCs/>
          <w:color w:val="5B9BD5"/>
          <w:sz w:val="22"/>
          <w:szCs w:val="22"/>
        </w:rPr>
        <w:t xml:space="preserve">PlantUML source: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@startuml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[Source System] --&gt; [Ingestion MS] : payload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[Ingestion MS] --&gt; [Transform MS] : validated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[Transform MS] --&gt; [Service Bus] : canonical JSON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[Service Bus] --&gt; [Target System] : event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@enduml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3.7 Sequence Diagram</w:t>
      </w:r>
    </w:p>
    <w:p>
      <w:pPr>
        <w:spacing w:after="60" w:before="60"/>
      </w:pPr>
      <w:r>
        <w:rPr>
          <w:i/>
          <w:iCs/>
          <w:color w:val="808080"/>
          <w:sz w:val="22"/>
          <w:szCs w:val="22"/>
        </w:rPr>
        <w:t xml:space="preserve">[Insert sequence diagram here — step-by-step message flow with activation bars]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5. Component Flow Description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5.1 Overall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Source system sends payload to Ingestion 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Ingestion MS authenticates, validates schema, logs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Transform MS maps fields to canonical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Routing MS publishes to Service Bus / Event Hub topic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Consumer(s) receive and process the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Dead-letter queue captures failed messages after 3 retries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5.3 AKS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Replicas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 Limits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CPU: 500m / Mem: 512Mi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Transform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CPU: 500m / Mem: 512Mi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Routing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CPU: 500m / Mem: 512Mi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7. Data Model &amp;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Field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Field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[source_field_1]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[target_field_1]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[source_field_2]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[target_field_2]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 8601 conversion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[source_field_3]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[target_field_3]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Currency normalisation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9. Logging and Error Handling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Retry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 Retries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Backoff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Exponential (1s, 2s, 4s)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Dead-letter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DLQ per subscription</w:t>
            </w:r>
          </w:p>
        </w:tc>
      </w:tr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DLQ 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Monitor → PagerDuty after 5 messages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Log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INFO  — successful message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WARN  — retry attempt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ERROR — dead-letter, schema validation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DEBUG — full payload (non-production only)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10. Operational View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10.1 Monitoring and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Dead-letter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5 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PagerDuty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60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to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Pod 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Auto-scale 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raised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10.2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Managed Identity — no hardcoded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RBAC — least privilege per microservice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TLS 1.2+ — all service-to-service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Key Vault — all secrets and connection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Network Policy — AKS pod-to-pod restricted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2026-05-11T07:14:51.394Z</dcterms:created>
  <dcterms:modified xsi:type="dcterms:W3CDTF">2026-05-11T07:14:51.394Z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