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610BF" w14:textId="77777777" w:rsidR="00C72AFD" w:rsidRPr="00C72AFD" w:rsidRDefault="00875134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Below</w:t>
      </w:r>
      <w:r w:rsidR="00C72AFD" w:rsidRPr="00C72AFD">
        <w:rPr>
          <w:rFonts w:eastAsia="Times New Roman" w:cs="Times New Roman"/>
          <w:color w:val="222222"/>
          <w:sz w:val="24"/>
          <w:szCs w:val="24"/>
        </w:rPr>
        <w:t xml:space="preserve"> are a few comments for the SAMPL5 comparison paper:</w:t>
      </w:r>
    </w:p>
    <w:p w14:paraId="48DD5B49" w14:textId="77777777"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14:paraId="6F03D6F5" w14:textId="77777777"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C72AFD">
        <w:rPr>
          <w:rFonts w:eastAsia="Times New Roman" w:cs="Times New Roman"/>
          <w:color w:val="222222"/>
          <w:sz w:val="24"/>
          <w:szCs w:val="24"/>
        </w:rPr>
        <w:t>(1) Page 6: "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octa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>-acid OAH host" and "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octa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 xml:space="preserve">-acid 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OAMe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 xml:space="preserve"> host".</w:t>
      </w:r>
    </w:p>
    <w:p w14:paraId="015A743C" w14:textId="77777777"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14:paraId="0629E5C3" w14:textId="77777777"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C72AFD">
        <w:rPr>
          <w:rFonts w:eastAsia="Times New Roman" w:cs="Times New Roman"/>
          <w:color w:val="222222"/>
          <w:sz w:val="24"/>
          <w:szCs w:val="24"/>
        </w:rPr>
        <w:t xml:space="preserve">OAH and </w:t>
      </w:r>
      <w:proofErr w:type="spellStart"/>
      <w:r w:rsidRPr="00C72AFD">
        <w:rPr>
          <w:rFonts w:eastAsia="Times New Roman" w:cs="Times New Roman"/>
          <w:color w:val="222222"/>
          <w:sz w:val="24"/>
          <w:szCs w:val="24"/>
        </w:rPr>
        <w:t>OAMe</w:t>
      </w:r>
      <w:proofErr w:type="spellEnd"/>
      <w:r w:rsidRPr="00C72AFD">
        <w:rPr>
          <w:rFonts w:eastAsia="Times New Roman" w:cs="Times New Roman"/>
          <w:color w:val="222222"/>
          <w:sz w:val="24"/>
          <w:szCs w:val="24"/>
        </w:rPr>
        <w:t xml:space="preserve"> are names assigned specifically for the SAMPL5 challenge, but they have different names in the </w:t>
      </w:r>
      <w:r>
        <w:rPr>
          <w:rFonts w:eastAsia="Times New Roman" w:cs="Times New Roman"/>
          <w:color w:val="222222"/>
          <w:sz w:val="24"/>
          <w:szCs w:val="24"/>
        </w:rPr>
        <w:t xml:space="preserve">earlier </w:t>
      </w:r>
      <w:r w:rsidRPr="00C72AFD">
        <w:rPr>
          <w:rFonts w:eastAsia="Times New Roman" w:cs="Times New Roman"/>
          <w:color w:val="222222"/>
          <w:sz w:val="24"/>
          <w:szCs w:val="24"/>
        </w:rPr>
        <w:t>experimental studies. Here is how we describe</w:t>
      </w:r>
      <w:r w:rsidR="00875134">
        <w:rPr>
          <w:rFonts w:eastAsia="Times New Roman" w:cs="Times New Roman"/>
          <w:color w:val="222222"/>
          <w:sz w:val="24"/>
          <w:szCs w:val="24"/>
        </w:rPr>
        <w:t>d</w:t>
      </w:r>
      <w:r w:rsidRPr="00C72AFD">
        <w:rPr>
          <w:rFonts w:eastAsia="Times New Roman" w:cs="Times New Roman"/>
          <w:color w:val="222222"/>
          <w:sz w:val="24"/>
          <w:szCs w:val="24"/>
        </w:rPr>
        <w:t xml:space="preserve"> them in the overview paper:</w:t>
      </w:r>
    </w:p>
    <w:p w14:paraId="106013A7" w14:textId="77777777" w:rsidR="00C72AFD" w:rsidRPr="00C72AFD" w:rsidRDefault="00C72AFD" w:rsidP="00C72AFD">
      <w:pPr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14:paraId="50DEBA47" w14:textId="77777777" w:rsidR="009A2623" w:rsidRPr="00C72AFD" w:rsidRDefault="00C72AFD" w:rsidP="00C72AFD">
      <w:pPr>
        <w:rPr>
          <w:sz w:val="24"/>
          <w:szCs w:val="24"/>
        </w:rPr>
      </w:pPr>
      <w:r w:rsidRPr="00C72AFD">
        <w:rPr>
          <w:sz w:val="24"/>
          <w:szCs w:val="24"/>
        </w:rPr>
        <w:t xml:space="preserve">“The first two hosts, OAH [32] and </w:t>
      </w:r>
      <w:proofErr w:type="spellStart"/>
      <w:r w:rsidRPr="00C72AFD">
        <w:rPr>
          <w:sz w:val="24"/>
          <w:szCs w:val="24"/>
        </w:rPr>
        <w:t>OAMe</w:t>
      </w:r>
      <w:proofErr w:type="spellEnd"/>
      <w:r w:rsidRPr="00C72AFD">
        <w:rPr>
          <w:sz w:val="24"/>
          <w:szCs w:val="24"/>
        </w:rPr>
        <w:t xml:space="preserve">, from the Gibb laboratory, are also known as </w:t>
      </w:r>
      <w:proofErr w:type="spellStart"/>
      <w:r w:rsidRPr="00C72AFD">
        <w:rPr>
          <w:sz w:val="24"/>
          <w:szCs w:val="24"/>
        </w:rPr>
        <w:t>octa</w:t>
      </w:r>
      <w:proofErr w:type="spellEnd"/>
      <w:r w:rsidRPr="00C72AFD">
        <w:rPr>
          <w:sz w:val="24"/>
          <w:szCs w:val="24"/>
        </w:rPr>
        <w:t>-acid (OA) and tetra-</w:t>
      </w:r>
      <w:proofErr w:type="spellStart"/>
      <w:r w:rsidRPr="00C72AFD">
        <w:rPr>
          <w:sz w:val="24"/>
          <w:szCs w:val="24"/>
        </w:rPr>
        <w:t>endo</w:t>
      </w:r>
      <w:proofErr w:type="spellEnd"/>
      <w:r w:rsidRPr="00C72AFD">
        <w:rPr>
          <w:sz w:val="24"/>
          <w:szCs w:val="24"/>
        </w:rPr>
        <w:t xml:space="preserve">-methyl </w:t>
      </w:r>
      <w:proofErr w:type="spellStart"/>
      <w:r w:rsidRPr="00C72AFD">
        <w:rPr>
          <w:sz w:val="24"/>
          <w:szCs w:val="24"/>
        </w:rPr>
        <w:t>octa</w:t>
      </w:r>
      <w:proofErr w:type="spellEnd"/>
      <w:r w:rsidRPr="00C72AFD">
        <w:rPr>
          <w:sz w:val="24"/>
          <w:szCs w:val="24"/>
        </w:rPr>
        <w:t>-acid (TEMOA).”</w:t>
      </w:r>
    </w:p>
    <w:p w14:paraId="0B9D10BE" w14:textId="77777777" w:rsidR="00C72AFD" w:rsidRDefault="00C72AFD" w:rsidP="00C72AFD">
      <w:pPr>
        <w:rPr>
          <w:sz w:val="24"/>
          <w:szCs w:val="24"/>
        </w:rPr>
      </w:pPr>
      <w:r w:rsidRPr="00C72AFD">
        <w:rPr>
          <w:sz w:val="24"/>
          <w:szCs w:val="24"/>
        </w:rPr>
        <w:t>You might want to introduce the compounds along those lines.</w:t>
      </w:r>
    </w:p>
    <w:p w14:paraId="2397F1A3" w14:textId="77777777" w:rsidR="00C72AFD" w:rsidRDefault="00C72AFD" w:rsidP="00C72AFD">
      <w:pPr>
        <w:rPr>
          <w:sz w:val="24"/>
          <w:szCs w:val="24"/>
        </w:rPr>
      </w:pPr>
    </w:p>
    <w:p w14:paraId="171DBEED" w14:textId="77777777" w:rsidR="00C72AFD" w:rsidRPr="002B7B27" w:rsidRDefault="00C72AFD" w:rsidP="00C72AFD">
      <w:pPr>
        <w:rPr>
          <w:strike/>
          <w:sz w:val="24"/>
          <w:szCs w:val="24"/>
        </w:rPr>
      </w:pPr>
      <w:r w:rsidRPr="002B7B27">
        <w:rPr>
          <w:strike/>
          <w:sz w:val="24"/>
          <w:szCs w:val="24"/>
        </w:rPr>
        <w:t xml:space="preserve">The references are: </w:t>
      </w:r>
    </w:p>
    <w:p w14:paraId="6B32533A" w14:textId="77777777" w:rsidR="00C72AFD" w:rsidRPr="002B7B27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2B7B27">
        <w:rPr>
          <w:strike/>
          <w:sz w:val="24"/>
          <w:szCs w:val="24"/>
        </w:rPr>
        <w:t>OAH:</w:t>
      </w:r>
      <w:r w:rsidRPr="002B7B27">
        <w:rPr>
          <w:rFonts w:ascii="Calibri" w:hAnsi="Calibri" w:cs="Calibri"/>
          <w:strike/>
          <w:sz w:val="24"/>
          <w:szCs w:val="24"/>
        </w:rPr>
        <w:t xml:space="preserve"> </w:t>
      </w:r>
    </w:p>
    <w:p w14:paraId="04AFBCB4" w14:textId="77777777" w:rsidR="00C72AFD" w:rsidRPr="002B7B27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 xml:space="preserve">Gibb CLD, Gibb BC (2014) Binding of cyclic carboxylates to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octa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-acid deep-cavity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cavitand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>.</w:t>
      </w:r>
    </w:p>
    <w:p w14:paraId="64E6F6C4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 xml:space="preserve">J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Comput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Aided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Mol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Des 28:319–325.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doi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>: 10.1007/s10822-013-9690-2</w:t>
      </w:r>
    </w:p>
    <w:p w14:paraId="0B95B1F2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</w:p>
    <w:p w14:paraId="08D8443E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proofErr w:type="spellStart"/>
      <w:r w:rsidRPr="002B7B27">
        <w:rPr>
          <w:rFonts w:ascii="Calibri" w:hAnsi="Calibri" w:cs="Calibri"/>
          <w:strike/>
          <w:sz w:val="24"/>
          <w:szCs w:val="24"/>
        </w:rPr>
        <w:t>OAMe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>:</w:t>
      </w:r>
    </w:p>
    <w:p w14:paraId="6BBEC242" w14:textId="77777777" w:rsidR="00C72AFD" w:rsidRPr="002B7B27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proofErr w:type="spellStart"/>
      <w:r w:rsidRPr="002B7B27">
        <w:rPr>
          <w:rFonts w:ascii="Calibri" w:hAnsi="Calibri" w:cs="Calibri"/>
          <w:strike/>
          <w:sz w:val="24"/>
          <w:szCs w:val="24"/>
        </w:rPr>
        <w:t>Gan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H, Gibb BC (2013) Guest-mediated switching of the assembly state of a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watersoluble</w:t>
      </w:r>
      <w:proofErr w:type="spellEnd"/>
    </w:p>
    <w:p w14:paraId="102F3F9D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 xml:space="preserve">deep-cavity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cavitand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.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Chem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Commun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49:1395–1397.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doi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>: 10.1039/c2cc38227j</w:t>
      </w:r>
    </w:p>
    <w:p w14:paraId="7FA81138" w14:textId="77777777" w:rsidR="00C72AFD" w:rsidRPr="002B7B27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>Jordan JH, Gibb BC (2014) Molecular containers assembled through the hydrophobic</w:t>
      </w:r>
    </w:p>
    <w:p w14:paraId="6DA99178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 xml:space="preserve">effect.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Chem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Soc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Rev 44:547–585.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doi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>: 10.1039/c4cs00191e</w:t>
      </w:r>
    </w:p>
    <w:p w14:paraId="1D3E99D0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</w:p>
    <w:p w14:paraId="059F85BA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 xml:space="preserve">(2) Reference for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CBClip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>:</w:t>
      </w:r>
    </w:p>
    <w:p w14:paraId="53D9D6C8" w14:textId="77777777" w:rsidR="00C72AFD" w:rsidRPr="002B7B27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>Zhang B, Isaacs L (2014) Acyclic cucurbit[n]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uril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>-type molecular containers: Influence of</w:t>
      </w:r>
    </w:p>
    <w:p w14:paraId="6711A8EB" w14:textId="77777777" w:rsidR="00C72AFD" w:rsidRPr="002B7B27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>aromatic walls on their function as solubilizing excipients for insoluble drugs. J Med</w:t>
      </w:r>
    </w:p>
    <w:p w14:paraId="2B8A3FA6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proofErr w:type="spellStart"/>
      <w:r w:rsidRPr="002B7B27">
        <w:rPr>
          <w:rFonts w:ascii="Calibri" w:hAnsi="Calibri" w:cs="Calibri"/>
          <w:strike/>
          <w:sz w:val="24"/>
          <w:szCs w:val="24"/>
        </w:rPr>
        <w:t>Chem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57:9554–9563.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doi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: </w:t>
      </w:r>
      <w:bookmarkStart w:id="0" w:name="_GoBack"/>
      <w:r w:rsidRPr="002B7B27">
        <w:rPr>
          <w:rFonts w:ascii="Calibri" w:hAnsi="Calibri" w:cs="Calibri"/>
          <w:strike/>
          <w:sz w:val="24"/>
          <w:szCs w:val="24"/>
        </w:rPr>
        <w:t>10.1021/jm501276u</w:t>
      </w:r>
      <w:bookmarkEnd w:id="0"/>
    </w:p>
    <w:p w14:paraId="71B89BF1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</w:p>
    <w:p w14:paraId="5243682F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>(3) May need to cite MOE:</w:t>
      </w:r>
    </w:p>
    <w:p w14:paraId="7F00A1D2" w14:textId="77777777" w:rsidR="00C72AFD" w:rsidRPr="002B7B27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>Molecular Operating Environment (MOE) 2013.08 (2016) Chemical Computing Group</w:t>
      </w:r>
    </w:p>
    <w:p w14:paraId="564CF1D2" w14:textId="77777777" w:rsidR="00C72AFD" w:rsidRPr="002B7B27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2B7B27">
        <w:rPr>
          <w:rFonts w:ascii="Calibri" w:hAnsi="Calibri" w:cs="Calibri"/>
          <w:strike/>
          <w:sz w:val="24"/>
          <w:szCs w:val="24"/>
        </w:rPr>
        <w:t xml:space="preserve">Inc., 1010 </w:t>
      </w:r>
      <w:proofErr w:type="spellStart"/>
      <w:r w:rsidRPr="002B7B27">
        <w:rPr>
          <w:rFonts w:ascii="Calibri" w:hAnsi="Calibri" w:cs="Calibri"/>
          <w:strike/>
          <w:sz w:val="24"/>
          <w:szCs w:val="24"/>
        </w:rPr>
        <w:t>Sherbooke</w:t>
      </w:r>
      <w:proofErr w:type="spellEnd"/>
      <w:r w:rsidRPr="002B7B27">
        <w:rPr>
          <w:rFonts w:ascii="Calibri" w:hAnsi="Calibri" w:cs="Calibri"/>
          <w:strike/>
          <w:sz w:val="24"/>
          <w:szCs w:val="24"/>
        </w:rPr>
        <w:t xml:space="preserve"> St. West, Suite #910, Montreal, QC, Canada, H3A 2R7.</w:t>
      </w:r>
    </w:p>
    <w:p w14:paraId="60E5DAEE" w14:textId="77777777" w:rsidR="00825FF2" w:rsidRDefault="00825FF2" w:rsidP="00C72AFD">
      <w:pPr>
        <w:rPr>
          <w:rFonts w:ascii="Calibri" w:hAnsi="Calibri" w:cs="Calibri"/>
          <w:sz w:val="24"/>
          <w:szCs w:val="24"/>
        </w:rPr>
      </w:pPr>
    </w:p>
    <w:p w14:paraId="6D0CCDE6" w14:textId="77777777" w:rsidR="00C72AFD" w:rsidRPr="007B40DF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7B40DF">
        <w:rPr>
          <w:rFonts w:ascii="Calibri" w:hAnsi="Calibri" w:cs="Calibri"/>
          <w:strike/>
          <w:sz w:val="24"/>
          <w:szCs w:val="24"/>
        </w:rPr>
        <w:t>(4) Reference for AMEBR 14</w:t>
      </w:r>
    </w:p>
    <w:p w14:paraId="1F43F0E9" w14:textId="77777777" w:rsidR="00C72AFD" w:rsidRPr="007B40DF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7B40DF">
        <w:rPr>
          <w:rFonts w:ascii="Calibri" w:hAnsi="Calibri" w:cs="Calibri"/>
          <w:strike/>
          <w:sz w:val="24"/>
          <w:szCs w:val="24"/>
        </w:rPr>
        <w:lastRenderedPageBreak/>
        <w:t xml:space="preserve">Case, D. A.; Babin, </w:t>
      </w:r>
      <w:proofErr w:type="gramStart"/>
      <w:r w:rsidRPr="007B40DF">
        <w:rPr>
          <w:rFonts w:ascii="Calibri" w:hAnsi="Calibri" w:cs="Calibri"/>
          <w:strike/>
          <w:sz w:val="24"/>
          <w:szCs w:val="24"/>
        </w:rPr>
        <w:t>V. ;</w:t>
      </w:r>
      <w:proofErr w:type="gramEnd"/>
      <w:r w:rsidRPr="007B40DF">
        <w:rPr>
          <w:rFonts w:ascii="Calibri" w:hAnsi="Calibri" w:cs="Calibri"/>
          <w:strike/>
          <w:sz w:val="24"/>
          <w:szCs w:val="24"/>
        </w:rPr>
        <w:t xml:space="preserve"> Berryman, J. T. ; Betz, R. M.;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Cai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 Q.,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Cerutti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>, D. S.; Cheatham, T. E.,</w:t>
      </w:r>
    </w:p>
    <w:p w14:paraId="0C7DD3F8" w14:textId="77777777" w:rsidR="00C72AFD" w:rsidRPr="007B40DF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7B40DF">
        <w:rPr>
          <w:rFonts w:ascii="Calibri" w:hAnsi="Calibri" w:cs="Calibri"/>
          <w:strike/>
          <w:sz w:val="24"/>
          <w:szCs w:val="24"/>
        </w:rPr>
        <w:t xml:space="preserve">III; Darden, T. A.; Duke RE.,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Gohlke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H.; Goetz, A. W.;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Gusarov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S.;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Homeyer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N.;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Janowski</w:t>
      </w:r>
      <w:proofErr w:type="spellEnd"/>
    </w:p>
    <w:p w14:paraId="523982D8" w14:textId="77777777" w:rsidR="00C72AFD" w:rsidRPr="007B40DF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7B40DF">
        <w:rPr>
          <w:rFonts w:ascii="Calibri" w:hAnsi="Calibri" w:cs="Calibri"/>
          <w:strike/>
          <w:sz w:val="24"/>
          <w:szCs w:val="24"/>
        </w:rPr>
        <w:t xml:space="preserve">P.,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Kaus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J.;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Kolossvary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I.;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Kovalenko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A.; Lee, T. S.;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LeGrand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S.;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Luchko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>, T.; Luo, R.;</w:t>
      </w:r>
    </w:p>
    <w:p w14:paraId="035D89B0" w14:textId="77777777" w:rsidR="00C72AFD" w:rsidRPr="007B40DF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proofErr w:type="spellStart"/>
      <w:r w:rsidRPr="007B40DF">
        <w:rPr>
          <w:rFonts w:ascii="Calibri" w:hAnsi="Calibri" w:cs="Calibri"/>
          <w:strike/>
          <w:sz w:val="24"/>
          <w:szCs w:val="24"/>
        </w:rPr>
        <w:t>Madej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B.;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Merz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K. M.;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Paesani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F.; Roe, D. R.;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Roitberg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A.;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Sagui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>, C.; Salomon-Ferrer, R.;</w:t>
      </w:r>
    </w:p>
    <w:p w14:paraId="3677EA06" w14:textId="77777777" w:rsidR="00C72AFD" w:rsidRPr="007B40DF" w:rsidRDefault="00C72AFD" w:rsidP="00C72A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proofErr w:type="spellStart"/>
      <w:r w:rsidRPr="007B40DF">
        <w:rPr>
          <w:rFonts w:ascii="Calibri" w:hAnsi="Calibri" w:cs="Calibri"/>
          <w:strike/>
          <w:sz w:val="24"/>
          <w:szCs w:val="24"/>
        </w:rPr>
        <w:t>Seabra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G.;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Simmerling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 xml:space="preserve">, C. L.; Smith, W.; </w:t>
      </w:r>
      <w:proofErr w:type="spellStart"/>
      <w:r w:rsidRPr="007B40DF">
        <w:rPr>
          <w:rFonts w:ascii="Calibri" w:hAnsi="Calibri" w:cs="Calibri"/>
          <w:strike/>
          <w:sz w:val="24"/>
          <w:szCs w:val="24"/>
        </w:rPr>
        <w:t>Swails</w:t>
      </w:r>
      <w:proofErr w:type="spellEnd"/>
      <w:r w:rsidRPr="007B40DF">
        <w:rPr>
          <w:rFonts w:ascii="Calibri" w:hAnsi="Calibri" w:cs="Calibri"/>
          <w:strike/>
          <w:sz w:val="24"/>
          <w:szCs w:val="24"/>
        </w:rPr>
        <w:t>, J.; Walker, R. C.; Wang, PA AMBER 14;</w:t>
      </w:r>
    </w:p>
    <w:p w14:paraId="3159ADCA" w14:textId="77777777" w:rsidR="00C72AFD" w:rsidRPr="007B40DF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7B40DF">
        <w:rPr>
          <w:rFonts w:ascii="Calibri" w:hAnsi="Calibri" w:cs="Calibri"/>
          <w:strike/>
          <w:sz w:val="24"/>
          <w:szCs w:val="24"/>
        </w:rPr>
        <w:t>University of California, San Francisco, 2014.</w:t>
      </w:r>
    </w:p>
    <w:p w14:paraId="586CEE68" w14:textId="77777777" w:rsidR="00C72AFD" w:rsidRDefault="00C72AFD" w:rsidP="00C72AFD">
      <w:pPr>
        <w:rPr>
          <w:rFonts w:ascii="Calibri" w:hAnsi="Calibri" w:cs="Calibri"/>
          <w:sz w:val="24"/>
          <w:szCs w:val="24"/>
        </w:rPr>
      </w:pPr>
    </w:p>
    <w:p w14:paraId="6602E552" w14:textId="77777777" w:rsidR="00C72AFD" w:rsidRPr="007B40DF" w:rsidRDefault="00C72AFD" w:rsidP="00C72AFD">
      <w:pPr>
        <w:rPr>
          <w:rFonts w:ascii="Calibri" w:hAnsi="Calibri" w:cs="Calibri"/>
          <w:strike/>
          <w:sz w:val="24"/>
          <w:szCs w:val="24"/>
        </w:rPr>
      </w:pPr>
      <w:r w:rsidRPr="007B40DF">
        <w:rPr>
          <w:rFonts w:ascii="Calibri" w:hAnsi="Calibri" w:cs="Calibri"/>
          <w:strike/>
          <w:sz w:val="24"/>
          <w:szCs w:val="24"/>
        </w:rPr>
        <w:t xml:space="preserve">(5) </w:t>
      </w:r>
      <w:r w:rsidR="00B409A1" w:rsidRPr="007B40DF">
        <w:rPr>
          <w:rFonts w:ascii="Calibri" w:hAnsi="Calibri" w:cs="Calibri"/>
          <w:strike/>
          <w:sz w:val="24"/>
          <w:szCs w:val="24"/>
        </w:rPr>
        <w:t>Also on Page 6, it says “in the figures above”, but the paper does not contain a figure for the compound structures. Is it from the instruction file?</w:t>
      </w:r>
    </w:p>
    <w:p w14:paraId="182456F4" w14:textId="77777777" w:rsidR="00B409A1" w:rsidRPr="007B40DF" w:rsidRDefault="00875134" w:rsidP="00C72AFD">
      <w:pPr>
        <w:rPr>
          <w:rFonts w:ascii="Calibri" w:hAnsi="Calibri" w:cs="Calibri"/>
          <w:strike/>
          <w:sz w:val="24"/>
          <w:szCs w:val="24"/>
        </w:rPr>
      </w:pPr>
      <w:r w:rsidRPr="007B40DF">
        <w:rPr>
          <w:rFonts w:ascii="Calibri" w:hAnsi="Calibri" w:cs="Calibri"/>
          <w:strike/>
          <w:sz w:val="24"/>
          <w:szCs w:val="24"/>
        </w:rPr>
        <w:t xml:space="preserve">Another thing to note is this paragraph is only a description about </w:t>
      </w:r>
      <w:r w:rsidR="00B409A1" w:rsidRPr="007B40DF">
        <w:rPr>
          <w:rFonts w:ascii="Calibri" w:hAnsi="Calibri" w:cs="Calibri"/>
          <w:strike/>
          <w:sz w:val="24"/>
          <w:szCs w:val="24"/>
        </w:rPr>
        <w:t>how we treated the protonation states of the host</w:t>
      </w:r>
      <w:r w:rsidRPr="007B40DF">
        <w:rPr>
          <w:rFonts w:ascii="Calibri" w:hAnsi="Calibri" w:cs="Calibri"/>
          <w:strike/>
          <w:sz w:val="24"/>
          <w:szCs w:val="24"/>
        </w:rPr>
        <w:t>s</w:t>
      </w:r>
      <w:r w:rsidR="00B409A1" w:rsidRPr="007B40DF">
        <w:rPr>
          <w:rFonts w:ascii="Calibri" w:hAnsi="Calibri" w:cs="Calibri"/>
          <w:strike/>
          <w:sz w:val="24"/>
          <w:szCs w:val="24"/>
        </w:rPr>
        <w:t xml:space="preserve"> and guest</w:t>
      </w:r>
      <w:r w:rsidRPr="007B40DF">
        <w:rPr>
          <w:rFonts w:ascii="Calibri" w:hAnsi="Calibri" w:cs="Calibri"/>
          <w:strike/>
          <w:sz w:val="24"/>
          <w:szCs w:val="24"/>
        </w:rPr>
        <w:t>s</w:t>
      </w:r>
      <w:r w:rsidR="00B409A1" w:rsidRPr="007B40DF">
        <w:rPr>
          <w:rFonts w:ascii="Calibri" w:hAnsi="Calibri" w:cs="Calibri"/>
          <w:strike/>
          <w:sz w:val="24"/>
          <w:szCs w:val="24"/>
        </w:rPr>
        <w:t xml:space="preserve"> </w:t>
      </w:r>
      <w:r w:rsidRPr="007B40DF">
        <w:rPr>
          <w:rFonts w:ascii="Calibri" w:hAnsi="Calibri" w:cs="Calibri"/>
          <w:strike/>
          <w:sz w:val="24"/>
          <w:szCs w:val="24"/>
        </w:rPr>
        <w:t xml:space="preserve">for the standard input files, but </w:t>
      </w:r>
      <w:r w:rsidR="007D6EC8" w:rsidRPr="007B40DF">
        <w:rPr>
          <w:rFonts w:ascii="Calibri" w:hAnsi="Calibri" w:cs="Calibri"/>
          <w:strike/>
          <w:sz w:val="24"/>
          <w:szCs w:val="24"/>
        </w:rPr>
        <w:t>it was</w:t>
      </w:r>
      <w:r w:rsidR="00825FF2" w:rsidRPr="007B40DF">
        <w:rPr>
          <w:rFonts w:ascii="Calibri" w:hAnsi="Calibri" w:cs="Calibri"/>
          <w:strike/>
          <w:sz w:val="24"/>
          <w:szCs w:val="24"/>
        </w:rPr>
        <w:t xml:space="preserve"> totally</w:t>
      </w:r>
      <w:r w:rsidRPr="007B40DF">
        <w:rPr>
          <w:rFonts w:ascii="Calibri" w:hAnsi="Calibri" w:cs="Calibri"/>
          <w:strike/>
          <w:sz w:val="24"/>
          <w:szCs w:val="24"/>
        </w:rPr>
        <w:t xml:space="preserve"> up to </w:t>
      </w:r>
      <w:r w:rsidR="00825FF2" w:rsidRPr="007B40DF">
        <w:rPr>
          <w:rFonts w:ascii="Calibri" w:hAnsi="Calibri" w:cs="Calibri"/>
          <w:strike/>
          <w:sz w:val="24"/>
          <w:szCs w:val="24"/>
        </w:rPr>
        <w:t>the participants to decide on</w:t>
      </w:r>
      <w:r w:rsidRPr="007B40DF">
        <w:rPr>
          <w:rFonts w:ascii="Calibri" w:hAnsi="Calibri" w:cs="Calibri"/>
          <w:strike/>
          <w:sz w:val="24"/>
          <w:szCs w:val="24"/>
        </w:rPr>
        <w:t xml:space="preserve"> the protonati</w:t>
      </w:r>
      <w:r w:rsidR="00825FF2" w:rsidRPr="007B40DF">
        <w:rPr>
          <w:rFonts w:ascii="Calibri" w:hAnsi="Calibri" w:cs="Calibri"/>
          <w:strike/>
          <w:sz w:val="24"/>
          <w:szCs w:val="24"/>
        </w:rPr>
        <w:t>on states and whether there would</w:t>
      </w:r>
      <w:r w:rsidRPr="007B40DF">
        <w:rPr>
          <w:rFonts w:ascii="Calibri" w:hAnsi="Calibri" w:cs="Calibri"/>
          <w:strike/>
          <w:sz w:val="24"/>
          <w:szCs w:val="24"/>
        </w:rPr>
        <w:t xml:space="preserve"> be binding shifts</w:t>
      </w:r>
      <w:r w:rsidR="007D6EC8" w:rsidRPr="007B40DF">
        <w:rPr>
          <w:rFonts w:ascii="Calibri" w:hAnsi="Calibri" w:cs="Calibri"/>
          <w:strike/>
          <w:sz w:val="24"/>
          <w:szCs w:val="24"/>
        </w:rPr>
        <w:t xml:space="preserve"> in the </w:t>
      </w:r>
      <w:r w:rsidRPr="007B40DF">
        <w:rPr>
          <w:rFonts w:ascii="Calibri" w:hAnsi="Calibri" w:cs="Calibri"/>
          <w:strike/>
          <w:sz w:val="24"/>
          <w:szCs w:val="24"/>
        </w:rPr>
        <w:t xml:space="preserve">challenge. </w:t>
      </w:r>
    </w:p>
    <w:p w14:paraId="45289227" w14:textId="77777777" w:rsidR="00875134" w:rsidRDefault="00875134" w:rsidP="00C72AFD">
      <w:pPr>
        <w:rPr>
          <w:rFonts w:ascii="Calibri" w:hAnsi="Calibri" w:cs="Calibri"/>
          <w:sz w:val="24"/>
          <w:szCs w:val="24"/>
        </w:rPr>
      </w:pPr>
    </w:p>
    <w:p w14:paraId="407BAEE5" w14:textId="77777777" w:rsidR="00875134" w:rsidRPr="00484D06" w:rsidRDefault="00875134" w:rsidP="00C72AFD">
      <w:pPr>
        <w:rPr>
          <w:rFonts w:ascii="Calibri" w:hAnsi="Calibri" w:cs="Calibri"/>
          <w:strike/>
          <w:sz w:val="24"/>
          <w:szCs w:val="24"/>
        </w:rPr>
      </w:pPr>
      <w:r w:rsidRPr="00484D06">
        <w:rPr>
          <w:rFonts w:ascii="Calibri" w:hAnsi="Calibri" w:cs="Calibri"/>
          <w:strike/>
          <w:sz w:val="24"/>
          <w:szCs w:val="24"/>
        </w:rPr>
        <w:t>(6) On page 7:</w:t>
      </w:r>
      <w:r w:rsidR="007D6EC8" w:rsidRPr="00484D06">
        <w:rPr>
          <w:rFonts w:ascii="Calibri" w:hAnsi="Calibri" w:cs="Calibri"/>
          <w:strike/>
          <w:sz w:val="24"/>
          <w:szCs w:val="24"/>
        </w:rPr>
        <w:t xml:space="preserve"> “how short? What was done precisely?”</w:t>
      </w:r>
    </w:p>
    <w:p w14:paraId="63F16107" w14:textId="77777777" w:rsidR="00875134" w:rsidRPr="00484D06" w:rsidRDefault="007D6EC8" w:rsidP="00C72AFD">
      <w:pPr>
        <w:rPr>
          <w:rFonts w:ascii="Calibri" w:hAnsi="Calibri" w:cs="Calibri"/>
          <w:strike/>
          <w:sz w:val="24"/>
          <w:szCs w:val="24"/>
        </w:rPr>
      </w:pPr>
      <w:r w:rsidRPr="00484D06">
        <w:rPr>
          <w:rFonts w:ascii="Calibri" w:hAnsi="Calibri" w:cs="Calibri"/>
          <w:strike/>
          <w:sz w:val="24"/>
          <w:szCs w:val="24"/>
        </w:rPr>
        <w:t>It may be not worth a detailed description in the main text since it is just equilibration for the solvent. But the details are here:</w:t>
      </w:r>
    </w:p>
    <w:p w14:paraId="3E244194" w14:textId="77777777" w:rsidR="007D6EC8" w:rsidRPr="00484D06" w:rsidRDefault="007D6EC8" w:rsidP="00C72AFD">
      <w:pPr>
        <w:rPr>
          <w:rFonts w:ascii="Calibri" w:hAnsi="Calibri" w:cs="Calibri"/>
          <w:strike/>
          <w:sz w:val="24"/>
          <w:szCs w:val="24"/>
        </w:rPr>
      </w:pPr>
      <w:r w:rsidRPr="00484D06">
        <w:rPr>
          <w:rFonts w:ascii="Calibri" w:hAnsi="Calibri" w:cs="Calibri"/>
          <w:strike/>
          <w:sz w:val="24"/>
          <w:szCs w:val="24"/>
        </w:rPr>
        <w:t xml:space="preserve">First ran 1 </w:t>
      </w:r>
      <w:proofErr w:type="spellStart"/>
      <w:r w:rsidRPr="00484D06">
        <w:rPr>
          <w:rFonts w:ascii="Calibri" w:hAnsi="Calibri" w:cs="Calibri"/>
          <w:strike/>
          <w:sz w:val="24"/>
          <w:szCs w:val="24"/>
        </w:rPr>
        <w:t>ps</w:t>
      </w:r>
      <w:proofErr w:type="spellEnd"/>
      <w:r w:rsidRPr="00484D06">
        <w:rPr>
          <w:rFonts w:ascii="Calibri" w:hAnsi="Calibri" w:cs="Calibri"/>
          <w:strike/>
          <w:sz w:val="24"/>
          <w:szCs w:val="24"/>
        </w:rPr>
        <w:t xml:space="preserve"> NVT at 10 K, then a heating up phase from 10 K to 298</w:t>
      </w:r>
      <w:r w:rsidR="00825FF2" w:rsidRPr="00484D06">
        <w:rPr>
          <w:rFonts w:ascii="Calibri" w:hAnsi="Calibri" w:cs="Calibri"/>
          <w:strike/>
          <w:sz w:val="24"/>
          <w:szCs w:val="24"/>
        </w:rPr>
        <w:t>.15 K during</w:t>
      </w:r>
      <w:r w:rsidRPr="00484D06">
        <w:rPr>
          <w:rFonts w:ascii="Calibri" w:hAnsi="Calibri" w:cs="Calibri"/>
          <w:strike/>
          <w:sz w:val="24"/>
          <w:szCs w:val="24"/>
        </w:rPr>
        <w:t xml:space="preserve"> 50 </w:t>
      </w:r>
      <w:proofErr w:type="spellStart"/>
      <w:r w:rsidRPr="00484D06">
        <w:rPr>
          <w:rFonts w:ascii="Calibri" w:hAnsi="Calibri" w:cs="Calibri"/>
          <w:strike/>
          <w:sz w:val="24"/>
          <w:szCs w:val="24"/>
        </w:rPr>
        <w:t>ps</w:t>
      </w:r>
      <w:proofErr w:type="spellEnd"/>
      <w:r w:rsidRPr="00484D06">
        <w:rPr>
          <w:rFonts w:ascii="Calibri" w:hAnsi="Calibri" w:cs="Calibri"/>
          <w:strike/>
          <w:sz w:val="24"/>
          <w:szCs w:val="24"/>
        </w:rPr>
        <w:t xml:space="preserve"> NVT, and finally 1 ns NPT at 298.15 K.  </w:t>
      </w:r>
    </w:p>
    <w:p w14:paraId="0FF4A429" w14:textId="77777777" w:rsidR="00B409A1" w:rsidRDefault="00B409A1" w:rsidP="00C72AFD">
      <w:pPr>
        <w:rPr>
          <w:rFonts w:ascii="Calibri" w:hAnsi="Calibri" w:cs="Calibri"/>
          <w:sz w:val="24"/>
          <w:szCs w:val="24"/>
        </w:rPr>
      </w:pPr>
    </w:p>
    <w:p w14:paraId="374A60C2" w14:textId="77777777" w:rsidR="00606972" w:rsidRPr="00925692" w:rsidRDefault="00606972" w:rsidP="00C72AFD">
      <w:pPr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>(7) In Table 3, not sure if Antechamber is the right module to be listed along with other programs.</w:t>
      </w:r>
    </w:p>
    <w:p w14:paraId="3B6EBE3B" w14:textId="77777777" w:rsidR="00B43DFC" w:rsidRPr="00925692" w:rsidRDefault="00B43DFC" w:rsidP="00C72AFD">
      <w:pPr>
        <w:rPr>
          <w:rFonts w:ascii="Calibri" w:hAnsi="Calibri" w:cs="Calibri"/>
          <w:strike/>
          <w:sz w:val="24"/>
          <w:szCs w:val="24"/>
        </w:rPr>
      </w:pPr>
    </w:p>
    <w:p w14:paraId="2284A96A" w14:textId="77777777" w:rsidR="00B43DFC" w:rsidRPr="00925692" w:rsidRDefault="00B43DFC" w:rsidP="00C72AFD">
      <w:pPr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 xml:space="preserve">The coulomb constant was </w:t>
      </w:r>
      <w:r w:rsidR="00816923" w:rsidRPr="00925692">
        <w:rPr>
          <w:rFonts w:ascii="Calibri" w:hAnsi="Calibri" w:cs="Calibri"/>
          <w:strike/>
          <w:sz w:val="24"/>
          <w:szCs w:val="24"/>
        </w:rPr>
        <w:t xml:space="preserve">actually </w:t>
      </w:r>
      <w:r w:rsidRPr="00925692">
        <w:rPr>
          <w:rFonts w:ascii="Calibri" w:hAnsi="Calibri" w:cs="Calibri"/>
          <w:strike/>
          <w:sz w:val="24"/>
          <w:szCs w:val="24"/>
        </w:rPr>
        <w:t xml:space="preserve">defined in a module called </w:t>
      </w:r>
      <w:proofErr w:type="spellStart"/>
      <w:r w:rsidRPr="00925692">
        <w:rPr>
          <w:rFonts w:ascii="Calibri" w:hAnsi="Calibri" w:cs="Calibri"/>
          <w:strike/>
          <w:sz w:val="24"/>
          <w:szCs w:val="24"/>
        </w:rPr>
        <w:t>tleap</w:t>
      </w:r>
      <w:proofErr w:type="spellEnd"/>
      <w:r w:rsidRPr="00925692">
        <w:rPr>
          <w:rFonts w:ascii="Calibri" w:hAnsi="Calibri" w:cs="Calibri"/>
          <w:strike/>
          <w:sz w:val="24"/>
          <w:szCs w:val="24"/>
        </w:rPr>
        <w:t xml:space="preserve">. </w:t>
      </w:r>
    </w:p>
    <w:p w14:paraId="56640207" w14:textId="77777777" w:rsidR="00B43DFC" w:rsidRPr="00925692" w:rsidRDefault="00B43DFC" w:rsidP="00B43DFC">
      <w:pPr>
        <w:shd w:val="clear" w:color="auto" w:fill="FFFFFF"/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>You can find the constant</w:t>
      </w:r>
      <w:r w:rsidR="00C72AFD" w:rsidRPr="00925692">
        <w:rPr>
          <w:rFonts w:ascii="Calibri" w:hAnsi="Calibri" w:cs="Calibri"/>
          <w:strike/>
          <w:sz w:val="24"/>
          <w:szCs w:val="24"/>
        </w:rPr>
        <w:t xml:space="preserve"> </w:t>
      </w:r>
      <w:r w:rsidRPr="00925692">
        <w:rPr>
          <w:rFonts w:ascii="Calibri" w:hAnsi="Calibri" w:cs="Calibri"/>
          <w:strike/>
          <w:sz w:val="24"/>
          <w:szCs w:val="24"/>
        </w:rPr>
        <w:t>from $AMBERHOME/</w:t>
      </w:r>
      <w:proofErr w:type="spellStart"/>
      <w:r w:rsidRPr="00925692">
        <w:rPr>
          <w:rFonts w:ascii="Calibri" w:hAnsi="Calibri" w:cs="Calibri"/>
          <w:strike/>
          <w:sz w:val="24"/>
          <w:szCs w:val="24"/>
        </w:rPr>
        <w:t>AmberTools</w:t>
      </w:r>
      <w:proofErr w:type="spellEnd"/>
      <w:r w:rsidRPr="00925692">
        <w:rPr>
          <w:rFonts w:ascii="Calibri" w:hAnsi="Calibri" w:cs="Calibri"/>
          <w:strike/>
          <w:sz w:val="24"/>
          <w:szCs w:val="24"/>
        </w:rPr>
        <w:t>/</w:t>
      </w:r>
      <w:proofErr w:type="spellStart"/>
      <w:r w:rsidRPr="00925692">
        <w:rPr>
          <w:rFonts w:ascii="Calibri" w:hAnsi="Calibri" w:cs="Calibri"/>
          <w:strike/>
          <w:sz w:val="24"/>
          <w:szCs w:val="24"/>
        </w:rPr>
        <w:t>src</w:t>
      </w:r>
      <w:proofErr w:type="spellEnd"/>
      <w:r w:rsidRPr="00925692">
        <w:rPr>
          <w:rFonts w:ascii="Calibri" w:hAnsi="Calibri" w:cs="Calibri"/>
          <w:strike/>
          <w:sz w:val="24"/>
          <w:szCs w:val="24"/>
        </w:rPr>
        <w:t>/leap/</w:t>
      </w:r>
      <w:proofErr w:type="spellStart"/>
      <w:r w:rsidRPr="00925692">
        <w:rPr>
          <w:rFonts w:ascii="Calibri" w:hAnsi="Calibri" w:cs="Calibri"/>
          <w:strike/>
          <w:sz w:val="24"/>
          <w:szCs w:val="24"/>
        </w:rPr>
        <w:t>src</w:t>
      </w:r>
      <w:proofErr w:type="spellEnd"/>
      <w:r w:rsidRPr="00925692">
        <w:rPr>
          <w:rFonts w:ascii="Calibri" w:hAnsi="Calibri" w:cs="Calibri"/>
          <w:strike/>
          <w:sz w:val="24"/>
          <w:szCs w:val="24"/>
        </w:rPr>
        <w:t>/leap/</w:t>
      </w:r>
      <w:proofErr w:type="spellStart"/>
      <w:r w:rsidRPr="00925692">
        <w:rPr>
          <w:rFonts w:ascii="Calibri" w:hAnsi="Calibri" w:cs="Calibri"/>
          <w:strike/>
          <w:sz w:val="24"/>
          <w:szCs w:val="24"/>
        </w:rPr>
        <w:t>unitio.c</w:t>
      </w:r>
      <w:proofErr w:type="spellEnd"/>
    </w:p>
    <w:p w14:paraId="55AE9B10" w14:textId="77777777" w:rsidR="00B43DFC" w:rsidRPr="00925692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 xml:space="preserve">"#define </w:t>
      </w:r>
      <w:proofErr w:type="gramStart"/>
      <w:r w:rsidRPr="00925692">
        <w:rPr>
          <w:rFonts w:ascii="Calibri" w:hAnsi="Calibri" w:cs="Calibri"/>
          <w:strike/>
          <w:sz w:val="24"/>
          <w:szCs w:val="24"/>
        </w:rPr>
        <w:t>ELECTRONTOKCAL  18.2223</w:t>
      </w:r>
      <w:proofErr w:type="gramEnd"/>
      <w:r w:rsidRPr="00925692">
        <w:rPr>
          <w:rFonts w:ascii="Calibri" w:hAnsi="Calibri" w:cs="Calibri"/>
          <w:strike/>
          <w:sz w:val="24"/>
          <w:szCs w:val="24"/>
        </w:rPr>
        <w:t>"</w:t>
      </w:r>
    </w:p>
    <w:p w14:paraId="267F8A75" w14:textId="77777777" w:rsidR="00B43DFC" w:rsidRPr="00925692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trike/>
          <w:sz w:val="24"/>
          <w:szCs w:val="24"/>
        </w:rPr>
      </w:pPr>
    </w:p>
    <w:p w14:paraId="05EF7596" w14:textId="77777777" w:rsidR="00B43DFC" w:rsidRPr="00925692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>and it is not part of Antechamber. Maybe confirm</w:t>
      </w:r>
      <w:r w:rsidR="003A355D" w:rsidRPr="00925692">
        <w:rPr>
          <w:rFonts w:ascii="Calibri" w:hAnsi="Calibri" w:cs="Calibri"/>
          <w:strike/>
          <w:sz w:val="24"/>
          <w:szCs w:val="24"/>
        </w:rPr>
        <w:t xml:space="preserve"> with</w:t>
      </w:r>
      <w:r w:rsidRPr="00925692">
        <w:rPr>
          <w:rFonts w:ascii="Calibri" w:hAnsi="Calibri" w:cs="Calibri"/>
          <w:strike/>
          <w:sz w:val="24"/>
          <w:szCs w:val="24"/>
        </w:rPr>
        <w:t xml:space="preserve"> AMEBR experts </w:t>
      </w:r>
      <w:r w:rsidRPr="00925692">
        <w:rPr>
          <w:rFonts w:ascii="Calibri" w:hAnsi="Calibri" w:cs="Calibri"/>
          <w:strike/>
          <w:sz w:val="24"/>
          <w:szCs w:val="24"/>
        </w:rPr>
        <w:sym w:font="Wingdings" w:char="F04A"/>
      </w:r>
    </w:p>
    <w:p w14:paraId="4E7EAF1E" w14:textId="77777777" w:rsidR="003A355D" w:rsidRDefault="003A355D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10F181" w14:textId="77777777" w:rsidR="00B43DFC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E0DD960" w14:textId="77777777" w:rsidR="00B43DFC" w:rsidRPr="00925692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 xml:space="preserve">(8) </w:t>
      </w:r>
      <w:r w:rsidR="003A355D" w:rsidRPr="00925692">
        <w:rPr>
          <w:rFonts w:ascii="Calibri" w:hAnsi="Calibri" w:cs="Calibri"/>
          <w:strike/>
          <w:sz w:val="24"/>
          <w:szCs w:val="24"/>
        </w:rPr>
        <w:t>On page 9: Is this correct on the constraints, or were just H-bonds constrained?</w:t>
      </w:r>
    </w:p>
    <w:p w14:paraId="345906ED" w14:textId="77777777" w:rsidR="00B43DFC" w:rsidRPr="00925692" w:rsidRDefault="00B43DFC" w:rsidP="00B43DFC">
      <w:pPr>
        <w:shd w:val="clear" w:color="auto" w:fill="FFFFFF"/>
        <w:spacing w:after="0" w:line="240" w:lineRule="auto"/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 xml:space="preserve">  </w:t>
      </w:r>
    </w:p>
    <w:p w14:paraId="566B7DC6" w14:textId="77777777" w:rsidR="00C72AFD" w:rsidRPr="00925692" w:rsidRDefault="003A355D" w:rsidP="00C72AFD">
      <w:pPr>
        <w:rPr>
          <w:rFonts w:ascii="Calibri" w:hAnsi="Calibri" w:cs="Calibri"/>
          <w:strike/>
          <w:sz w:val="24"/>
          <w:szCs w:val="24"/>
        </w:rPr>
      </w:pPr>
      <w:r w:rsidRPr="00925692">
        <w:rPr>
          <w:rFonts w:ascii="Calibri" w:hAnsi="Calibri" w:cs="Calibri"/>
          <w:strike/>
          <w:sz w:val="24"/>
          <w:szCs w:val="24"/>
        </w:rPr>
        <w:t>Only bonds involving hydrogen are constrained.</w:t>
      </w:r>
    </w:p>
    <w:sectPr w:rsidR="00C72AFD" w:rsidRPr="0092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D8"/>
    <w:rsid w:val="002B7B27"/>
    <w:rsid w:val="002E72D8"/>
    <w:rsid w:val="00350FB7"/>
    <w:rsid w:val="003A355D"/>
    <w:rsid w:val="00484D06"/>
    <w:rsid w:val="00606972"/>
    <w:rsid w:val="007B40DF"/>
    <w:rsid w:val="007D6EC8"/>
    <w:rsid w:val="00816923"/>
    <w:rsid w:val="00825FF2"/>
    <w:rsid w:val="00875134"/>
    <w:rsid w:val="00925692"/>
    <w:rsid w:val="009A2623"/>
    <w:rsid w:val="00B409A1"/>
    <w:rsid w:val="00B43DFC"/>
    <w:rsid w:val="00C72AFD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B726"/>
  <w15:chartTrackingRefBased/>
  <w15:docId w15:val="{FD29CFD7-34C3-4845-B258-13E9F19C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Yin</dc:creator>
  <cp:keywords/>
  <dc:description/>
  <cp:lastModifiedBy>Microsoft Office User</cp:lastModifiedBy>
  <cp:revision>8</cp:revision>
  <dcterms:created xsi:type="dcterms:W3CDTF">2016-06-27T18:10:00Z</dcterms:created>
  <dcterms:modified xsi:type="dcterms:W3CDTF">2016-07-05T21:33:00Z</dcterms:modified>
</cp:coreProperties>
</file>