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2AFD" w:rsidRPr="00C72AFD" w:rsidRDefault="00875134" w:rsidP="00C72AFD">
      <w:pPr>
        <w:spacing w:after="0" w:line="240" w:lineRule="auto"/>
        <w:rPr>
          <w:rFonts w:eastAsia="Times New Roman" w:cs="Times New Roman"/>
          <w:color w:val="222222"/>
          <w:sz w:val="24"/>
          <w:szCs w:val="24"/>
        </w:rPr>
      </w:pPr>
      <w:r>
        <w:rPr>
          <w:rFonts w:eastAsia="Times New Roman" w:cs="Times New Roman"/>
          <w:color w:val="222222"/>
          <w:sz w:val="24"/>
          <w:szCs w:val="24"/>
        </w:rPr>
        <w:t>Below</w:t>
      </w:r>
      <w:r w:rsidR="00C72AFD" w:rsidRPr="00C72AFD">
        <w:rPr>
          <w:rFonts w:eastAsia="Times New Roman" w:cs="Times New Roman"/>
          <w:color w:val="222222"/>
          <w:sz w:val="24"/>
          <w:szCs w:val="24"/>
        </w:rPr>
        <w:t xml:space="preserve"> are a few comments for the SAMPL5 comparison paper:</w:t>
      </w:r>
    </w:p>
    <w:p w:rsidR="00C72AFD" w:rsidRPr="00C72AFD" w:rsidRDefault="00C72AFD" w:rsidP="00C72AFD">
      <w:pPr>
        <w:spacing w:after="0" w:line="240" w:lineRule="auto"/>
        <w:rPr>
          <w:rFonts w:eastAsia="Times New Roman" w:cs="Times New Roman"/>
          <w:color w:val="222222"/>
          <w:sz w:val="24"/>
          <w:szCs w:val="24"/>
        </w:rPr>
      </w:pPr>
    </w:p>
    <w:p w:rsidR="00C72AFD" w:rsidRPr="00C72AFD" w:rsidRDefault="00C72AFD" w:rsidP="00C72AFD">
      <w:pPr>
        <w:spacing w:after="0" w:line="240" w:lineRule="auto"/>
        <w:rPr>
          <w:rFonts w:eastAsia="Times New Roman" w:cs="Times New Roman"/>
          <w:color w:val="222222"/>
          <w:sz w:val="24"/>
          <w:szCs w:val="24"/>
        </w:rPr>
      </w:pPr>
      <w:r w:rsidRPr="00C72AFD">
        <w:rPr>
          <w:rFonts w:eastAsia="Times New Roman" w:cs="Times New Roman"/>
          <w:color w:val="222222"/>
          <w:sz w:val="24"/>
          <w:szCs w:val="24"/>
        </w:rPr>
        <w:t>(1) Page 6: "</w:t>
      </w:r>
      <w:proofErr w:type="spellStart"/>
      <w:r w:rsidRPr="00C72AFD">
        <w:rPr>
          <w:rFonts w:eastAsia="Times New Roman" w:cs="Times New Roman"/>
          <w:color w:val="222222"/>
          <w:sz w:val="24"/>
          <w:szCs w:val="24"/>
        </w:rPr>
        <w:t>octa</w:t>
      </w:r>
      <w:proofErr w:type="spellEnd"/>
      <w:r w:rsidRPr="00C72AFD">
        <w:rPr>
          <w:rFonts w:eastAsia="Times New Roman" w:cs="Times New Roman"/>
          <w:color w:val="222222"/>
          <w:sz w:val="24"/>
          <w:szCs w:val="24"/>
        </w:rPr>
        <w:t>-acid OAH host" and "</w:t>
      </w:r>
      <w:proofErr w:type="spellStart"/>
      <w:r w:rsidRPr="00C72AFD">
        <w:rPr>
          <w:rFonts w:eastAsia="Times New Roman" w:cs="Times New Roman"/>
          <w:color w:val="222222"/>
          <w:sz w:val="24"/>
          <w:szCs w:val="24"/>
        </w:rPr>
        <w:t>octa</w:t>
      </w:r>
      <w:proofErr w:type="spellEnd"/>
      <w:r w:rsidRPr="00C72AFD">
        <w:rPr>
          <w:rFonts w:eastAsia="Times New Roman" w:cs="Times New Roman"/>
          <w:color w:val="222222"/>
          <w:sz w:val="24"/>
          <w:szCs w:val="24"/>
        </w:rPr>
        <w:t xml:space="preserve">-acid </w:t>
      </w:r>
      <w:proofErr w:type="spellStart"/>
      <w:r w:rsidRPr="00C72AFD">
        <w:rPr>
          <w:rFonts w:eastAsia="Times New Roman" w:cs="Times New Roman"/>
          <w:color w:val="222222"/>
          <w:sz w:val="24"/>
          <w:szCs w:val="24"/>
        </w:rPr>
        <w:t>OAMe</w:t>
      </w:r>
      <w:proofErr w:type="spellEnd"/>
      <w:r w:rsidRPr="00C72AFD">
        <w:rPr>
          <w:rFonts w:eastAsia="Times New Roman" w:cs="Times New Roman"/>
          <w:color w:val="222222"/>
          <w:sz w:val="24"/>
          <w:szCs w:val="24"/>
        </w:rPr>
        <w:t xml:space="preserve"> host".</w:t>
      </w:r>
    </w:p>
    <w:p w:rsidR="00C72AFD" w:rsidRPr="00C72AFD" w:rsidRDefault="00C72AFD" w:rsidP="00C72AFD">
      <w:pPr>
        <w:spacing w:after="0" w:line="240" w:lineRule="auto"/>
        <w:rPr>
          <w:rFonts w:eastAsia="Times New Roman" w:cs="Times New Roman"/>
          <w:color w:val="222222"/>
          <w:sz w:val="24"/>
          <w:szCs w:val="24"/>
        </w:rPr>
      </w:pPr>
    </w:p>
    <w:p w:rsidR="00C72AFD" w:rsidRPr="00C72AFD" w:rsidRDefault="00C72AFD" w:rsidP="00C72AFD">
      <w:pPr>
        <w:spacing w:after="0" w:line="240" w:lineRule="auto"/>
        <w:rPr>
          <w:rFonts w:eastAsia="Times New Roman" w:cs="Times New Roman"/>
          <w:color w:val="222222"/>
          <w:sz w:val="24"/>
          <w:szCs w:val="24"/>
        </w:rPr>
      </w:pPr>
      <w:r w:rsidRPr="00C72AFD">
        <w:rPr>
          <w:rFonts w:eastAsia="Times New Roman" w:cs="Times New Roman"/>
          <w:color w:val="222222"/>
          <w:sz w:val="24"/>
          <w:szCs w:val="24"/>
        </w:rPr>
        <w:t xml:space="preserve">OAH and </w:t>
      </w:r>
      <w:proofErr w:type="spellStart"/>
      <w:r w:rsidRPr="00C72AFD">
        <w:rPr>
          <w:rFonts w:eastAsia="Times New Roman" w:cs="Times New Roman"/>
          <w:color w:val="222222"/>
          <w:sz w:val="24"/>
          <w:szCs w:val="24"/>
        </w:rPr>
        <w:t>OAMe</w:t>
      </w:r>
      <w:proofErr w:type="spellEnd"/>
      <w:r w:rsidRPr="00C72AFD">
        <w:rPr>
          <w:rFonts w:eastAsia="Times New Roman" w:cs="Times New Roman"/>
          <w:color w:val="222222"/>
          <w:sz w:val="24"/>
          <w:szCs w:val="24"/>
        </w:rPr>
        <w:t xml:space="preserve"> are names assigned specifically for the SAMPL5 challenge, but they have different names in the </w:t>
      </w:r>
      <w:r>
        <w:rPr>
          <w:rFonts w:eastAsia="Times New Roman" w:cs="Times New Roman"/>
          <w:color w:val="222222"/>
          <w:sz w:val="24"/>
          <w:szCs w:val="24"/>
        </w:rPr>
        <w:t xml:space="preserve">earlier </w:t>
      </w:r>
      <w:r w:rsidRPr="00C72AFD">
        <w:rPr>
          <w:rFonts w:eastAsia="Times New Roman" w:cs="Times New Roman"/>
          <w:color w:val="222222"/>
          <w:sz w:val="24"/>
          <w:szCs w:val="24"/>
        </w:rPr>
        <w:t>experimental studies. Here is how we describe</w:t>
      </w:r>
      <w:r w:rsidR="00875134">
        <w:rPr>
          <w:rFonts w:eastAsia="Times New Roman" w:cs="Times New Roman"/>
          <w:color w:val="222222"/>
          <w:sz w:val="24"/>
          <w:szCs w:val="24"/>
        </w:rPr>
        <w:t>d</w:t>
      </w:r>
      <w:r w:rsidRPr="00C72AFD">
        <w:rPr>
          <w:rFonts w:eastAsia="Times New Roman" w:cs="Times New Roman"/>
          <w:color w:val="222222"/>
          <w:sz w:val="24"/>
          <w:szCs w:val="24"/>
        </w:rPr>
        <w:t xml:space="preserve"> them in the overview paper:</w:t>
      </w:r>
    </w:p>
    <w:p w:rsidR="00C72AFD" w:rsidRPr="00C72AFD" w:rsidRDefault="00C72AFD" w:rsidP="00C72AFD">
      <w:pPr>
        <w:spacing w:after="0" w:line="240" w:lineRule="auto"/>
        <w:rPr>
          <w:rFonts w:eastAsia="Times New Roman" w:cs="Times New Roman"/>
          <w:color w:val="222222"/>
          <w:sz w:val="24"/>
          <w:szCs w:val="24"/>
        </w:rPr>
      </w:pPr>
    </w:p>
    <w:p w:rsidR="009A2623" w:rsidRPr="00C72AFD" w:rsidRDefault="00C72AFD" w:rsidP="00C72AFD">
      <w:pPr>
        <w:rPr>
          <w:sz w:val="24"/>
          <w:szCs w:val="24"/>
        </w:rPr>
      </w:pPr>
      <w:r w:rsidRPr="00C72AFD">
        <w:rPr>
          <w:sz w:val="24"/>
          <w:szCs w:val="24"/>
        </w:rPr>
        <w:t xml:space="preserve">“The first two hosts, OAH [32] and </w:t>
      </w:r>
      <w:proofErr w:type="spellStart"/>
      <w:r w:rsidRPr="00C72AFD">
        <w:rPr>
          <w:sz w:val="24"/>
          <w:szCs w:val="24"/>
        </w:rPr>
        <w:t>OAMe</w:t>
      </w:r>
      <w:proofErr w:type="spellEnd"/>
      <w:r w:rsidRPr="00C72AFD">
        <w:rPr>
          <w:sz w:val="24"/>
          <w:szCs w:val="24"/>
        </w:rPr>
        <w:t xml:space="preserve">, from the Gibb laboratory, are also known as </w:t>
      </w:r>
      <w:proofErr w:type="spellStart"/>
      <w:r w:rsidRPr="00C72AFD">
        <w:rPr>
          <w:sz w:val="24"/>
          <w:szCs w:val="24"/>
        </w:rPr>
        <w:t>octa</w:t>
      </w:r>
      <w:proofErr w:type="spellEnd"/>
      <w:r w:rsidRPr="00C72AFD">
        <w:rPr>
          <w:sz w:val="24"/>
          <w:szCs w:val="24"/>
        </w:rPr>
        <w:t xml:space="preserve">-acid (OA) and tetra-endo-methyl </w:t>
      </w:r>
      <w:proofErr w:type="spellStart"/>
      <w:r w:rsidRPr="00C72AFD">
        <w:rPr>
          <w:sz w:val="24"/>
          <w:szCs w:val="24"/>
        </w:rPr>
        <w:t>octa</w:t>
      </w:r>
      <w:proofErr w:type="spellEnd"/>
      <w:r w:rsidRPr="00C72AFD">
        <w:rPr>
          <w:sz w:val="24"/>
          <w:szCs w:val="24"/>
        </w:rPr>
        <w:t>-acid (TEMOA).”</w:t>
      </w:r>
    </w:p>
    <w:p w:rsidR="00C72AFD" w:rsidRDefault="00C72AFD" w:rsidP="00C72AFD">
      <w:pPr>
        <w:rPr>
          <w:sz w:val="24"/>
          <w:szCs w:val="24"/>
        </w:rPr>
      </w:pPr>
      <w:r w:rsidRPr="00C72AFD">
        <w:rPr>
          <w:sz w:val="24"/>
          <w:szCs w:val="24"/>
        </w:rPr>
        <w:t>You might want to introduce the compounds along those lines.</w:t>
      </w:r>
    </w:p>
    <w:p w:rsidR="00C72AFD" w:rsidRDefault="00C72AFD" w:rsidP="00C72AFD">
      <w:pPr>
        <w:rPr>
          <w:sz w:val="24"/>
          <w:szCs w:val="24"/>
        </w:rPr>
      </w:pPr>
    </w:p>
    <w:p w:rsidR="00C72AFD" w:rsidRDefault="00C72AFD" w:rsidP="00C72AFD">
      <w:pPr>
        <w:rPr>
          <w:sz w:val="24"/>
          <w:szCs w:val="24"/>
        </w:rPr>
      </w:pPr>
      <w:r>
        <w:rPr>
          <w:sz w:val="24"/>
          <w:szCs w:val="24"/>
        </w:rPr>
        <w:t xml:space="preserve">The references are: </w:t>
      </w:r>
    </w:p>
    <w:p w:rsidR="00C72AFD" w:rsidRDefault="00C72AFD" w:rsidP="00C72AF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sz w:val="24"/>
          <w:szCs w:val="24"/>
        </w:rPr>
        <w:t>OAH:</w:t>
      </w:r>
      <w:r w:rsidRPr="00C72AFD">
        <w:rPr>
          <w:rFonts w:ascii="Calibri" w:hAnsi="Calibri" w:cs="Calibri"/>
          <w:sz w:val="24"/>
          <w:szCs w:val="24"/>
        </w:rPr>
        <w:t xml:space="preserve"> </w:t>
      </w:r>
    </w:p>
    <w:p w:rsidR="00C72AFD" w:rsidRDefault="00C72AFD" w:rsidP="00C72AF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Gibb CLD, Gibb BC (2014) Binding of cyclic carboxylates to </w:t>
      </w:r>
      <w:proofErr w:type="spellStart"/>
      <w:r>
        <w:rPr>
          <w:rFonts w:ascii="Calibri" w:hAnsi="Calibri" w:cs="Calibri"/>
          <w:sz w:val="24"/>
          <w:szCs w:val="24"/>
        </w:rPr>
        <w:t>octa</w:t>
      </w:r>
      <w:proofErr w:type="spellEnd"/>
      <w:r>
        <w:rPr>
          <w:rFonts w:ascii="Calibri" w:hAnsi="Calibri" w:cs="Calibri"/>
          <w:sz w:val="24"/>
          <w:szCs w:val="24"/>
        </w:rPr>
        <w:t xml:space="preserve">-acid deep-cavity </w:t>
      </w:r>
      <w:proofErr w:type="spellStart"/>
      <w:r>
        <w:rPr>
          <w:rFonts w:ascii="Calibri" w:hAnsi="Calibri" w:cs="Calibri"/>
          <w:sz w:val="24"/>
          <w:szCs w:val="24"/>
        </w:rPr>
        <w:t>cavitand</w:t>
      </w:r>
      <w:proofErr w:type="spellEnd"/>
      <w:r>
        <w:rPr>
          <w:rFonts w:ascii="Calibri" w:hAnsi="Calibri" w:cs="Calibri"/>
          <w:sz w:val="24"/>
          <w:szCs w:val="24"/>
        </w:rPr>
        <w:t>.</w:t>
      </w:r>
    </w:p>
    <w:p w:rsidR="00C72AFD" w:rsidRDefault="00C72AFD" w:rsidP="00C72AFD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J </w:t>
      </w:r>
      <w:proofErr w:type="spellStart"/>
      <w:r>
        <w:rPr>
          <w:rFonts w:ascii="Calibri" w:hAnsi="Calibri" w:cs="Calibri"/>
          <w:sz w:val="24"/>
          <w:szCs w:val="24"/>
        </w:rPr>
        <w:t>Comput</w:t>
      </w:r>
      <w:proofErr w:type="spellEnd"/>
      <w:r>
        <w:rPr>
          <w:rFonts w:ascii="Calibri" w:hAnsi="Calibri" w:cs="Calibri"/>
          <w:sz w:val="24"/>
          <w:szCs w:val="24"/>
        </w:rPr>
        <w:t xml:space="preserve"> Aided Mol Des 28:319–325. </w:t>
      </w:r>
      <w:proofErr w:type="spellStart"/>
      <w:r>
        <w:rPr>
          <w:rFonts w:ascii="Calibri" w:hAnsi="Calibri" w:cs="Calibri"/>
          <w:sz w:val="24"/>
          <w:szCs w:val="24"/>
        </w:rPr>
        <w:t>doi</w:t>
      </w:r>
      <w:proofErr w:type="spellEnd"/>
      <w:r>
        <w:rPr>
          <w:rFonts w:ascii="Calibri" w:hAnsi="Calibri" w:cs="Calibri"/>
          <w:sz w:val="24"/>
          <w:szCs w:val="24"/>
        </w:rPr>
        <w:t>: 10.1007/s10822-013-9690-2</w:t>
      </w:r>
    </w:p>
    <w:p w:rsidR="00C72AFD" w:rsidRDefault="00C72AFD" w:rsidP="00C72AFD">
      <w:pPr>
        <w:rPr>
          <w:rFonts w:ascii="Calibri" w:hAnsi="Calibri" w:cs="Calibri"/>
          <w:sz w:val="24"/>
          <w:szCs w:val="24"/>
        </w:rPr>
      </w:pPr>
    </w:p>
    <w:p w:rsidR="00C72AFD" w:rsidRDefault="00C72AFD" w:rsidP="00C72AFD">
      <w:pPr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OAMe</w:t>
      </w:r>
      <w:proofErr w:type="spellEnd"/>
      <w:r>
        <w:rPr>
          <w:rFonts w:ascii="Calibri" w:hAnsi="Calibri" w:cs="Calibri"/>
          <w:sz w:val="24"/>
          <w:szCs w:val="24"/>
        </w:rPr>
        <w:t>:</w:t>
      </w:r>
    </w:p>
    <w:p w:rsidR="00C72AFD" w:rsidRDefault="00C72AFD" w:rsidP="00C72AF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Gan</w:t>
      </w:r>
      <w:proofErr w:type="spellEnd"/>
      <w:r>
        <w:rPr>
          <w:rFonts w:ascii="Calibri" w:hAnsi="Calibri" w:cs="Calibri"/>
          <w:sz w:val="24"/>
          <w:szCs w:val="24"/>
        </w:rPr>
        <w:t xml:space="preserve"> H, Gibb BC (2013) Guest-mediated switching of the assembly state of a </w:t>
      </w:r>
      <w:proofErr w:type="spellStart"/>
      <w:r>
        <w:rPr>
          <w:rFonts w:ascii="Calibri" w:hAnsi="Calibri" w:cs="Calibri"/>
          <w:sz w:val="24"/>
          <w:szCs w:val="24"/>
        </w:rPr>
        <w:t>watersoluble</w:t>
      </w:r>
      <w:proofErr w:type="spellEnd"/>
    </w:p>
    <w:p w:rsidR="00C72AFD" w:rsidRDefault="00C72AFD" w:rsidP="00C72AFD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deep-cavity </w:t>
      </w:r>
      <w:proofErr w:type="spellStart"/>
      <w:r>
        <w:rPr>
          <w:rFonts w:ascii="Calibri" w:hAnsi="Calibri" w:cs="Calibri"/>
          <w:sz w:val="24"/>
          <w:szCs w:val="24"/>
        </w:rPr>
        <w:t>cavitand</w:t>
      </w:r>
      <w:proofErr w:type="spellEnd"/>
      <w:r>
        <w:rPr>
          <w:rFonts w:ascii="Calibri" w:hAnsi="Calibri" w:cs="Calibri"/>
          <w:sz w:val="24"/>
          <w:szCs w:val="24"/>
        </w:rPr>
        <w:t xml:space="preserve">. </w:t>
      </w:r>
      <w:proofErr w:type="spellStart"/>
      <w:r>
        <w:rPr>
          <w:rFonts w:ascii="Calibri" w:hAnsi="Calibri" w:cs="Calibri"/>
          <w:sz w:val="24"/>
          <w:szCs w:val="24"/>
        </w:rPr>
        <w:t>Chem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Commun</w:t>
      </w:r>
      <w:proofErr w:type="spellEnd"/>
      <w:r>
        <w:rPr>
          <w:rFonts w:ascii="Calibri" w:hAnsi="Calibri" w:cs="Calibri"/>
          <w:sz w:val="24"/>
          <w:szCs w:val="24"/>
        </w:rPr>
        <w:t xml:space="preserve"> 49:1395–1397. </w:t>
      </w:r>
      <w:proofErr w:type="spellStart"/>
      <w:r>
        <w:rPr>
          <w:rFonts w:ascii="Calibri" w:hAnsi="Calibri" w:cs="Calibri"/>
          <w:sz w:val="24"/>
          <w:szCs w:val="24"/>
        </w:rPr>
        <w:t>doi</w:t>
      </w:r>
      <w:proofErr w:type="spellEnd"/>
      <w:r>
        <w:rPr>
          <w:rFonts w:ascii="Calibri" w:hAnsi="Calibri" w:cs="Calibri"/>
          <w:sz w:val="24"/>
          <w:szCs w:val="24"/>
        </w:rPr>
        <w:t>: 10.1039/c2cc38227j</w:t>
      </w:r>
    </w:p>
    <w:p w:rsidR="00C72AFD" w:rsidRDefault="00C72AFD" w:rsidP="00C72AF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Jordan JH, Gibb BC (2014) Molecular containers assembled through the hydrophobic</w:t>
      </w:r>
    </w:p>
    <w:p w:rsidR="00C72AFD" w:rsidRDefault="00C72AFD" w:rsidP="00C72AFD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effect. </w:t>
      </w:r>
      <w:proofErr w:type="spellStart"/>
      <w:r>
        <w:rPr>
          <w:rFonts w:ascii="Calibri" w:hAnsi="Calibri" w:cs="Calibri"/>
          <w:sz w:val="24"/>
          <w:szCs w:val="24"/>
        </w:rPr>
        <w:t>Chem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Soc</w:t>
      </w:r>
      <w:proofErr w:type="spellEnd"/>
      <w:r>
        <w:rPr>
          <w:rFonts w:ascii="Calibri" w:hAnsi="Calibri" w:cs="Calibri"/>
          <w:sz w:val="24"/>
          <w:szCs w:val="24"/>
        </w:rPr>
        <w:t xml:space="preserve"> Rev 44:547–585. </w:t>
      </w:r>
      <w:proofErr w:type="spellStart"/>
      <w:r>
        <w:rPr>
          <w:rFonts w:ascii="Calibri" w:hAnsi="Calibri" w:cs="Calibri"/>
          <w:sz w:val="24"/>
          <w:szCs w:val="24"/>
        </w:rPr>
        <w:t>doi</w:t>
      </w:r>
      <w:proofErr w:type="spellEnd"/>
      <w:r>
        <w:rPr>
          <w:rFonts w:ascii="Calibri" w:hAnsi="Calibri" w:cs="Calibri"/>
          <w:sz w:val="24"/>
          <w:szCs w:val="24"/>
        </w:rPr>
        <w:t>: 10.1039/c4cs00191e</w:t>
      </w:r>
    </w:p>
    <w:p w:rsidR="00C72AFD" w:rsidRDefault="00C72AFD" w:rsidP="00C72AFD">
      <w:pPr>
        <w:rPr>
          <w:rFonts w:ascii="Calibri" w:hAnsi="Calibri" w:cs="Calibri"/>
          <w:sz w:val="24"/>
          <w:szCs w:val="24"/>
        </w:rPr>
      </w:pPr>
    </w:p>
    <w:p w:rsidR="00C72AFD" w:rsidRDefault="00C72AFD" w:rsidP="00C72AFD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(2) Reference for </w:t>
      </w:r>
      <w:proofErr w:type="spellStart"/>
      <w:r>
        <w:rPr>
          <w:rFonts w:ascii="Calibri" w:hAnsi="Calibri" w:cs="Calibri"/>
          <w:sz w:val="24"/>
          <w:szCs w:val="24"/>
        </w:rPr>
        <w:t>CBClip</w:t>
      </w:r>
      <w:proofErr w:type="spellEnd"/>
      <w:r>
        <w:rPr>
          <w:rFonts w:ascii="Calibri" w:hAnsi="Calibri" w:cs="Calibri"/>
          <w:sz w:val="24"/>
          <w:szCs w:val="24"/>
        </w:rPr>
        <w:t>:</w:t>
      </w:r>
    </w:p>
    <w:p w:rsidR="00C72AFD" w:rsidRDefault="00C72AFD" w:rsidP="00C72AF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Zhang B, Isaacs L (2014) Acyclic cucurbit[n]</w:t>
      </w:r>
      <w:proofErr w:type="spellStart"/>
      <w:r>
        <w:rPr>
          <w:rFonts w:ascii="Calibri" w:hAnsi="Calibri" w:cs="Calibri"/>
          <w:sz w:val="24"/>
          <w:szCs w:val="24"/>
        </w:rPr>
        <w:t>uril</w:t>
      </w:r>
      <w:proofErr w:type="spellEnd"/>
      <w:r>
        <w:rPr>
          <w:rFonts w:ascii="Calibri" w:hAnsi="Calibri" w:cs="Calibri"/>
          <w:sz w:val="24"/>
          <w:szCs w:val="24"/>
        </w:rPr>
        <w:t>-type molecular containers: Influence of</w:t>
      </w:r>
    </w:p>
    <w:p w:rsidR="00C72AFD" w:rsidRDefault="00C72AFD" w:rsidP="00C72AF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aromatic walls on their function as solubilizing excipients for insoluble drugs. J Med</w:t>
      </w:r>
    </w:p>
    <w:p w:rsidR="00C72AFD" w:rsidRDefault="00C72AFD" w:rsidP="00C72AFD">
      <w:pPr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Chem</w:t>
      </w:r>
      <w:proofErr w:type="spellEnd"/>
      <w:r>
        <w:rPr>
          <w:rFonts w:ascii="Calibri" w:hAnsi="Calibri" w:cs="Calibri"/>
          <w:sz w:val="24"/>
          <w:szCs w:val="24"/>
        </w:rPr>
        <w:t xml:space="preserve"> 57:9554–9563. </w:t>
      </w:r>
      <w:proofErr w:type="spellStart"/>
      <w:r>
        <w:rPr>
          <w:rFonts w:ascii="Calibri" w:hAnsi="Calibri" w:cs="Calibri"/>
          <w:sz w:val="24"/>
          <w:szCs w:val="24"/>
        </w:rPr>
        <w:t>doi</w:t>
      </w:r>
      <w:proofErr w:type="spellEnd"/>
      <w:r>
        <w:rPr>
          <w:rFonts w:ascii="Calibri" w:hAnsi="Calibri" w:cs="Calibri"/>
          <w:sz w:val="24"/>
          <w:szCs w:val="24"/>
        </w:rPr>
        <w:t>: 10.1021/jm501276u</w:t>
      </w:r>
    </w:p>
    <w:p w:rsidR="00C72AFD" w:rsidRDefault="00C72AFD" w:rsidP="00C72AFD">
      <w:pPr>
        <w:rPr>
          <w:rFonts w:ascii="Calibri" w:hAnsi="Calibri" w:cs="Calibri"/>
          <w:sz w:val="24"/>
          <w:szCs w:val="24"/>
        </w:rPr>
      </w:pPr>
    </w:p>
    <w:p w:rsidR="00C72AFD" w:rsidRDefault="00C72AFD" w:rsidP="00C72AFD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(3) May need to cite MOE:</w:t>
      </w:r>
    </w:p>
    <w:p w:rsidR="00C72AFD" w:rsidRDefault="00C72AFD" w:rsidP="00C72AF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Molecular Operating Environment (MOE) 2013.08 (2016) Chemical Computing Group</w:t>
      </w:r>
    </w:p>
    <w:p w:rsidR="00C72AFD" w:rsidRDefault="00C72AFD" w:rsidP="00C72AFD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Inc., 1010 </w:t>
      </w:r>
      <w:proofErr w:type="spellStart"/>
      <w:r>
        <w:rPr>
          <w:rFonts w:ascii="Calibri" w:hAnsi="Calibri" w:cs="Calibri"/>
          <w:sz w:val="24"/>
          <w:szCs w:val="24"/>
        </w:rPr>
        <w:t>Sherbooke</w:t>
      </w:r>
      <w:proofErr w:type="spellEnd"/>
      <w:r>
        <w:rPr>
          <w:rFonts w:ascii="Calibri" w:hAnsi="Calibri" w:cs="Calibri"/>
          <w:sz w:val="24"/>
          <w:szCs w:val="24"/>
        </w:rPr>
        <w:t xml:space="preserve"> St. West, Suite #910, Montreal, QC, Canada, H3A 2R7.</w:t>
      </w:r>
    </w:p>
    <w:p w:rsidR="00825FF2" w:rsidRDefault="00825FF2" w:rsidP="00C72AFD">
      <w:pPr>
        <w:rPr>
          <w:rFonts w:ascii="Calibri" w:hAnsi="Calibri" w:cs="Calibri"/>
          <w:sz w:val="24"/>
          <w:szCs w:val="24"/>
        </w:rPr>
      </w:pPr>
    </w:p>
    <w:p w:rsidR="00C72AFD" w:rsidRDefault="00C72AFD" w:rsidP="00C72AFD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(4) Reference for AMEBR 14</w:t>
      </w:r>
      <w:bookmarkStart w:id="0" w:name="_GoBack"/>
      <w:bookmarkEnd w:id="0"/>
    </w:p>
    <w:p w:rsidR="00C72AFD" w:rsidRDefault="00C72AFD" w:rsidP="00C72AF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 xml:space="preserve">Case, D. A.; Babin, </w:t>
      </w:r>
      <w:proofErr w:type="gramStart"/>
      <w:r>
        <w:rPr>
          <w:rFonts w:ascii="Calibri" w:hAnsi="Calibri" w:cs="Calibri"/>
          <w:sz w:val="24"/>
          <w:szCs w:val="24"/>
        </w:rPr>
        <w:t>V. ;</w:t>
      </w:r>
      <w:proofErr w:type="gramEnd"/>
      <w:r>
        <w:rPr>
          <w:rFonts w:ascii="Calibri" w:hAnsi="Calibri" w:cs="Calibri"/>
          <w:sz w:val="24"/>
          <w:szCs w:val="24"/>
        </w:rPr>
        <w:t xml:space="preserve"> Berryman, J. T. ; Betz, R. M.; </w:t>
      </w:r>
      <w:proofErr w:type="spellStart"/>
      <w:r>
        <w:rPr>
          <w:rFonts w:ascii="Calibri" w:hAnsi="Calibri" w:cs="Calibri"/>
          <w:sz w:val="24"/>
          <w:szCs w:val="24"/>
        </w:rPr>
        <w:t>Cai</w:t>
      </w:r>
      <w:proofErr w:type="spellEnd"/>
      <w:r>
        <w:rPr>
          <w:rFonts w:ascii="Calibri" w:hAnsi="Calibri" w:cs="Calibri"/>
          <w:sz w:val="24"/>
          <w:szCs w:val="24"/>
        </w:rPr>
        <w:t xml:space="preserve"> Q., </w:t>
      </w:r>
      <w:proofErr w:type="spellStart"/>
      <w:r>
        <w:rPr>
          <w:rFonts w:ascii="Calibri" w:hAnsi="Calibri" w:cs="Calibri"/>
          <w:sz w:val="24"/>
          <w:szCs w:val="24"/>
        </w:rPr>
        <w:t>Cerutti</w:t>
      </w:r>
      <w:proofErr w:type="spellEnd"/>
      <w:r>
        <w:rPr>
          <w:rFonts w:ascii="Calibri" w:hAnsi="Calibri" w:cs="Calibri"/>
          <w:sz w:val="24"/>
          <w:szCs w:val="24"/>
        </w:rPr>
        <w:t>, D. S.; Cheatham, T. E.,</w:t>
      </w:r>
    </w:p>
    <w:p w:rsidR="00C72AFD" w:rsidRDefault="00C72AFD" w:rsidP="00C72AF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III; Darden, T. A.; Duke RE., </w:t>
      </w:r>
      <w:proofErr w:type="spellStart"/>
      <w:r>
        <w:rPr>
          <w:rFonts w:ascii="Calibri" w:hAnsi="Calibri" w:cs="Calibri"/>
          <w:sz w:val="24"/>
          <w:szCs w:val="24"/>
        </w:rPr>
        <w:t>Gohlke</w:t>
      </w:r>
      <w:proofErr w:type="spellEnd"/>
      <w:r>
        <w:rPr>
          <w:rFonts w:ascii="Calibri" w:hAnsi="Calibri" w:cs="Calibri"/>
          <w:sz w:val="24"/>
          <w:szCs w:val="24"/>
        </w:rPr>
        <w:t xml:space="preserve">, H.; Goetz, A. W.; </w:t>
      </w:r>
      <w:proofErr w:type="spellStart"/>
      <w:r>
        <w:rPr>
          <w:rFonts w:ascii="Calibri" w:hAnsi="Calibri" w:cs="Calibri"/>
          <w:sz w:val="24"/>
          <w:szCs w:val="24"/>
        </w:rPr>
        <w:t>Gusarov</w:t>
      </w:r>
      <w:proofErr w:type="spellEnd"/>
      <w:r>
        <w:rPr>
          <w:rFonts w:ascii="Calibri" w:hAnsi="Calibri" w:cs="Calibri"/>
          <w:sz w:val="24"/>
          <w:szCs w:val="24"/>
        </w:rPr>
        <w:t xml:space="preserve">, S.; </w:t>
      </w:r>
      <w:proofErr w:type="spellStart"/>
      <w:r>
        <w:rPr>
          <w:rFonts w:ascii="Calibri" w:hAnsi="Calibri" w:cs="Calibri"/>
          <w:sz w:val="24"/>
          <w:szCs w:val="24"/>
        </w:rPr>
        <w:t>Homeyer</w:t>
      </w:r>
      <w:proofErr w:type="spellEnd"/>
      <w:r>
        <w:rPr>
          <w:rFonts w:ascii="Calibri" w:hAnsi="Calibri" w:cs="Calibri"/>
          <w:sz w:val="24"/>
          <w:szCs w:val="24"/>
        </w:rPr>
        <w:t xml:space="preserve">, N.; </w:t>
      </w:r>
      <w:proofErr w:type="spellStart"/>
      <w:r>
        <w:rPr>
          <w:rFonts w:ascii="Calibri" w:hAnsi="Calibri" w:cs="Calibri"/>
          <w:sz w:val="24"/>
          <w:szCs w:val="24"/>
        </w:rPr>
        <w:t>Janowski</w:t>
      </w:r>
      <w:proofErr w:type="spellEnd"/>
    </w:p>
    <w:p w:rsidR="00C72AFD" w:rsidRDefault="00C72AFD" w:rsidP="00C72AF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P., </w:t>
      </w:r>
      <w:proofErr w:type="spellStart"/>
      <w:r>
        <w:rPr>
          <w:rFonts w:ascii="Calibri" w:hAnsi="Calibri" w:cs="Calibri"/>
          <w:sz w:val="24"/>
          <w:szCs w:val="24"/>
        </w:rPr>
        <w:t>Kaus</w:t>
      </w:r>
      <w:proofErr w:type="spellEnd"/>
      <w:r>
        <w:rPr>
          <w:rFonts w:ascii="Calibri" w:hAnsi="Calibri" w:cs="Calibri"/>
          <w:sz w:val="24"/>
          <w:szCs w:val="24"/>
        </w:rPr>
        <w:t xml:space="preserve">, J.; </w:t>
      </w:r>
      <w:proofErr w:type="spellStart"/>
      <w:r>
        <w:rPr>
          <w:rFonts w:ascii="Calibri" w:hAnsi="Calibri" w:cs="Calibri"/>
          <w:sz w:val="24"/>
          <w:szCs w:val="24"/>
        </w:rPr>
        <w:t>Kolossvary</w:t>
      </w:r>
      <w:proofErr w:type="spellEnd"/>
      <w:r>
        <w:rPr>
          <w:rFonts w:ascii="Calibri" w:hAnsi="Calibri" w:cs="Calibri"/>
          <w:sz w:val="24"/>
          <w:szCs w:val="24"/>
        </w:rPr>
        <w:t xml:space="preserve">, I.; </w:t>
      </w:r>
      <w:proofErr w:type="spellStart"/>
      <w:r>
        <w:rPr>
          <w:rFonts w:ascii="Calibri" w:hAnsi="Calibri" w:cs="Calibri"/>
          <w:sz w:val="24"/>
          <w:szCs w:val="24"/>
        </w:rPr>
        <w:t>Kovalenko</w:t>
      </w:r>
      <w:proofErr w:type="spellEnd"/>
      <w:r>
        <w:rPr>
          <w:rFonts w:ascii="Calibri" w:hAnsi="Calibri" w:cs="Calibri"/>
          <w:sz w:val="24"/>
          <w:szCs w:val="24"/>
        </w:rPr>
        <w:t xml:space="preserve">, A.; Lee, T. S.; </w:t>
      </w:r>
      <w:proofErr w:type="spellStart"/>
      <w:r>
        <w:rPr>
          <w:rFonts w:ascii="Calibri" w:hAnsi="Calibri" w:cs="Calibri"/>
          <w:sz w:val="24"/>
          <w:szCs w:val="24"/>
        </w:rPr>
        <w:t>LeGrand</w:t>
      </w:r>
      <w:proofErr w:type="spellEnd"/>
      <w:r>
        <w:rPr>
          <w:rFonts w:ascii="Calibri" w:hAnsi="Calibri" w:cs="Calibri"/>
          <w:sz w:val="24"/>
          <w:szCs w:val="24"/>
        </w:rPr>
        <w:t xml:space="preserve">, S.; </w:t>
      </w:r>
      <w:proofErr w:type="spellStart"/>
      <w:r>
        <w:rPr>
          <w:rFonts w:ascii="Calibri" w:hAnsi="Calibri" w:cs="Calibri"/>
          <w:sz w:val="24"/>
          <w:szCs w:val="24"/>
        </w:rPr>
        <w:t>Luchko</w:t>
      </w:r>
      <w:proofErr w:type="spellEnd"/>
      <w:r>
        <w:rPr>
          <w:rFonts w:ascii="Calibri" w:hAnsi="Calibri" w:cs="Calibri"/>
          <w:sz w:val="24"/>
          <w:szCs w:val="24"/>
        </w:rPr>
        <w:t>, T.; Luo, R.;</w:t>
      </w:r>
    </w:p>
    <w:p w:rsidR="00C72AFD" w:rsidRDefault="00C72AFD" w:rsidP="00C72AF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Madej</w:t>
      </w:r>
      <w:proofErr w:type="spellEnd"/>
      <w:r>
        <w:rPr>
          <w:rFonts w:ascii="Calibri" w:hAnsi="Calibri" w:cs="Calibri"/>
          <w:sz w:val="24"/>
          <w:szCs w:val="24"/>
        </w:rPr>
        <w:t xml:space="preserve">, B.; </w:t>
      </w:r>
      <w:proofErr w:type="spellStart"/>
      <w:r>
        <w:rPr>
          <w:rFonts w:ascii="Calibri" w:hAnsi="Calibri" w:cs="Calibri"/>
          <w:sz w:val="24"/>
          <w:szCs w:val="24"/>
        </w:rPr>
        <w:t>Merz</w:t>
      </w:r>
      <w:proofErr w:type="spellEnd"/>
      <w:r>
        <w:rPr>
          <w:rFonts w:ascii="Calibri" w:hAnsi="Calibri" w:cs="Calibri"/>
          <w:sz w:val="24"/>
          <w:szCs w:val="24"/>
        </w:rPr>
        <w:t xml:space="preserve">, K. M.; </w:t>
      </w:r>
      <w:proofErr w:type="spellStart"/>
      <w:r>
        <w:rPr>
          <w:rFonts w:ascii="Calibri" w:hAnsi="Calibri" w:cs="Calibri"/>
          <w:sz w:val="24"/>
          <w:szCs w:val="24"/>
        </w:rPr>
        <w:t>Paesani</w:t>
      </w:r>
      <w:proofErr w:type="spellEnd"/>
      <w:r>
        <w:rPr>
          <w:rFonts w:ascii="Calibri" w:hAnsi="Calibri" w:cs="Calibri"/>
          <w:sz w:val="24"/>
          <w:szCs w:val="24"/>
        </w:rPr>
        <w:t xml:space="preserve">, F.; Roe, D. R.; </w:t>
      </w:r>
      <w:proofErr w:type="spellStart"/>
      <w:r>
        <w:rPr>
          <w:rFonts w:ascii="Calibri" w:hAnsi="Calibri" w:cs="Calibri"/>
          <w:sz w:val="24"/>
          <w:szCs w:val="24"/>
        </w:rPr>
        <w:t>Roitberg</w:t>
      </w:r>
      <w:proofErr w:type="spellEnd"/>
      <w:r>
        <w:rPr>
          <w:rFonts w:ascii="Calibri" w:hAnsi="Calibri" w:cs="Calibri"/>
          <w:sz w:val="24"/>
          <w:szCs w:val="24"/>
        </w:rPr>
        <w:t xml:space="preserve">, A.; </w:t>
      </w:r>
      <w:proofErr w:type="spellStart"/>
      <w:r>
        <w:rPr>
          <w:rFonts w:ascii="Calibri" w:hAnsi="Calibri" w:cs="Calibri"/>
          <w:sz w:val="24"/>
          <w:szCs w:val="24"/>
        </w:rPr>
        <w:t>Sagui</w:t>
      </w:r>
      <w:proofErr w:type="spellEnd"/>
      <w:r>
        <w:rPr>
          <w:rFonts w:ascii="Calibri" w:hAnsi="Calibri" w:cs="Calibri"/>
          <w:sz w:val="24"/>
          <w:szCs w:val="24"/>
        </w:rPr>
        <w:t>, C.; Salomon-Ferrer, R.;</w:t>
      </w:r>
    </w:p>
    <w:p w:rsidR="00C72AFD" w:rsidRDefault="00C72AFD" w:rsidP="00C72AF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Seabra</w:t>
      </w:r>
      <w:proofErr w:type="spellEnd"/>
      <w:r>
        <w:rPr>
          <w:rFonts w:ascii="Calibri" w:hAnsi="Calibri" w:cs="Calibri"/>
          <w:sz w:val="24"/>
          <w:szCs w:val="24"/>
        </w:rPr>
        <w:t xml:space="preserve">, G.; </w:t>
      </w:r>
      <w:proofErr w:type="spellStart"/>
      <w:r>
        <w:rPr>
          <w:rFonts w:ascii="Calibri" w:hAnsi="Calibri" w:cs="Calibri"/>
          <w:sz w:val="24"/>
          <w:szCs w:val="24"/>
        </w:rPr>
        <w:t>Simmerling</w:t>
      </w:r>
      <w:proofErr w:type="spellEnd"/>
      <w:r>
        <w:rPr>
          <w:rFonts w:ascii="Calibri" w:hAnsi="Calibri" w:cs="Calibri"/>
          <w:sz w:val="24"/>
          <w:szCs w:val="24"/>
        </w:rPr>
        <w:t xml:space="preserve">, C. L.; Smith, W.; </w:t>
      </w:r>
      <w:proofErr w:type="spellStart"/>
      <w:r>
        <w:rPr>
          <w:rFonts w:ascii="Calibri" w:hAnsi="Calibri" w:cs="Calibri"/>
          <w:sz w:val="24"/>
          <w:szCs w:val="24"/>
        </w:rPr>
        <w:t>Swails</w:t>
      </w:r>
      <w:proofErr w:type="spellEnd"/>
      <w:r>
        <w:rPr>
          <w:rFonts w:ascii="Calibri" w:hAnsi="Calibri" w:cs="Calibri"/>
          <w:sz w:val="24"/>
          <w:szCs w:val="24"/>
        </w:rPr>
        <w:t>, J.; Walker, R. C.; Wang, PA AMBER 14;</w:t>
      </w:r>
    </w:p>
    <w:p w:rsidR="00C72AFD" w:rsidRDefault="00C72AFD" w:rsidP="00C72AFD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University of California, San Francisco, 2014.</w:t>
      </w:r>
    </w:p>
    <w:p w:rsidR="00C72AFD" w:rsidRDefault="00C72AFD" w:rsidP="00C72AFD">
      <w:pPr>
        <w:rPr>
          <w:rFonts w:ascii="Calibri" w:hAnsi="Calibri" w:cs="Calibri"/>
          <w:sz w:val="24"/>
          <w:szCs w:val="24"/>
        </w:rPr>
      </w:pPr>
    </w:p>
    <w:p w:rsidR="00C72AFD" w:rsidRDefault="00C72AFD" w:rsidP="00C72AFD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(5) </w:t>
      </w:r>
      <w:r w:rsidR="00B409A1">
        <w:rPr>
          <w:rFonts w:ascii="Calibri" w:hAnsi="Calibri" w:cs="Calibri"/>
          <w:sz w:val="24"/>
          <w:szCs w:val="24"/>
        </w:rPr>
        <w:t>Also on Page 6, it says “in the figures above”, but the paper does not contain a figure for the compound structures. Is it from the instruction file?</w:t>
      </w:r>
    </w:p>
    <w:p w:rsidR="00B409A1" w:rsidRDefault="00875134" w:rsidP="00C72AFD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Another thing to note is this paragraph is only a description about </w:t>
      </w:r>
      <w:r w:rsidR="00B409A1">
        <w:rPr>
          <w:rFonts w:ascii="Calibri" w:hAnsi="Calibri" w:cs="Calibri"/>
          <w:sz w:val="24"/>
          <w:szCs w:val="24"/>
        </w:rPr>
        <w:t>how we treated the protonation states of the host</w:t>
      </w:r>
      <w:r>
        <w:rPr>
          <w:rFonts w:ascii="Calibri" w:hAnsi="Calibri" w:cs="Calibri"/>
          <w:sz w:val="24"/>
          <w:szCs w:val="24"/>
        </w:rPr>
        <w:t>s</w:t>
      </w:r>
      <w:r w:rsidR="00B409A1">
        <w:rPr>
          <w:rFonts w:ascii="Calibri" w:hAnsi="Calibri" w:cs="Calibri"/>
          <w:sz w:val="24"/>
          <w:szCs w:val="24"/>
        </w:rPr>
        <w:t xml:space="preserve"> and guest</w:t>
      </w:r>
      <w:r>
        <w:rPr>
          <w:rFonts w:ascii="Calibri" w:hAnsi="Calibri" w:cs="Calibri"/>
          <w:sz w:val="24"/>
          <w:szCs w:val="24"/>
        </w:rPr>
        <w:t>s</w:t>
      </w:r>
      <w:r w:rsidR="00B409A1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for the standard input files, but </w:t>
      </w:r>
      <w:r w:rsidR="007D6EC8">
        <w:rPr>
          <w:rFonts w:ascii="Calibri" w:hAnsi="Calibri" w:cs="Calibri"/>
          <w:sz w:val="24"/>
          <w:szCs w:val="24"/>
        </w:rPr>
        <w:t>it was</w:t>
      </w:r>
      <w:r w:rsidR="00825FF2">
        <w:rPr>
          <w:rFonts w:ascii="Calibri" w:hAnsi="Calibri" w:cs="Calibri"/>
          <w:sz w:val="24"/>
          <w:szCs w:val="24"/>
        </w:rPr>
        <w:t xml:space="preserve"> totally</w:t>
      </w:r>
      <w:r>
        <w:rPr>
          <w:rFonts w:ascii="Calibri" w:hAnsi="Calibri" w:cs="Calibri"/>
          <w:sz w:val="24"/>
          <w:szCs w:val="24"/>
        </w:rPr>
        <w:t xml:space="preserve"> up to </w:t>
      </w:r>
      <w:r w:rsidR="00825FF2">
        <w:rPr>
          <w:rFonts w:ascii="Calibri" w:hAnsi="Calibri" w:cs="Calibri"/>
          <w:sz w:val="24"/>
          <w:szCs w:val="24"/>
        </w:rPr>
        <w:t>the participants to decide on</w:t>
      </w:r>
      <w:r>
        <w:rPr>
          <w:rFonts w:ascii="Calibri" w:hAnsi="Calibri" w:cs="Calibri"/>
          <w:sz w:val="24"/>
          <w:szCs w:val="24"/>
        </w:rPr>
        <w:t xml:space="preserve"> the protonati</w:t>
      </w:r>
      <w:r w:rsidR="00825FF2">
        <w:rPr>
          <w:rFonts w:ascii="Calibri" w:hAnsi="Calibri" w:cs="Calibri"/>
          <w:sz w:val="24"/>
          <w:szCs w:val="24"/>
        </w:rPr>
        <w:t>on states and whether there would</w:t>
      </w:r>
      <w:r>
        <w:rPr>
          <w:rFonts w:ascii="Calibri" w:hAnsi="Calibri" w:cs="Calibri"/>
          <w:sz w:val="24"/>
          <w:szCs w:val="24"/>
        </w:rPr>
        <w:t xml:space="preserve"> be binding shifts</w:t>
      </w:r>
      <w:r w:rsidR="007D6EC8">
        <w:rPr>
          <w:rFonts w:ascii="Calibri" w:hAnsi="Calibri" w:cs="Calibri"/>
          <w:sz w:val="24"/>
          <w:szCs w:val="24"/>
        </w:rPr>
        <w:t xml:space="preserve"> in the </w:t>
      </w:r>
      <w:r>
        <w:rPr>
          <w:rFonts w:ascii="Calibri" w:hAnsi="Calibri" w:cs="Calibri"/>
          <w:sz w:val="24"/>
          <w:szCs w:val="24"/>
        </w:rPr>
        <w:t xml:space="preserve">challenge. </w:t>
      </w:r>
    </w:p>
    <w:p w:rsidR="00875134" w:rsidRDefault="00875134" w:rsidP="00C72AFD">
      <w:pPr>
        <w:rPr>
          <w:rFonts w:ascii="Calibri" w:hAnsi="Calibri" w:cs="Calibri"/>
          <w:sz w:val="24"/>
          <w:szCs w:val="24"/>
        </w:rPr>
      </w:pPr>
    </w:p>
    <w:p w:rsidR="00875134" w:rsidRDefault="00875134" w:rsidP="00C72AFD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(6) On page 7:</w:t>
      </w:r>
      <w:r w:rsidR="007D6EC8">
        <w:rPr>
          <w:rFonts w:ascii="Calibri" w:hAnsi="Calibri" w:cs="Calibri"/>
          <w:sz w:val="24"/>
          <w:szCs w:val="24"/>
        </w:rPr>
        <w:t xml:space="preserve"> “how short? What was done precisely?”</w:t>
      </w:r>
    </w:p>
    <w:p w:rsidR="00875134" w:rsidRDefault="007D6EC8" w:rsidP="00C72AFD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It may be not worth a detailed description in the main text since it is just equilibration for the solvent. But the details are here:</w:t>
      </w:r>
    </w:p>
    <w:p w:rsidR="007D6EC8" w:rsidRDefault="007D6EC8" w:rsidP="00C72AFD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First ran 1 </w:t>
      </w:r>
      <w:proofErr w:type="spellStart"/>
      <w:r>
        <w:rPr>
          <w:rFonts w:ascii="Calibri" w:hAnsi="Calibri" w:cs="Calibri"/>
          <w:sz w:val="24"/>
          <w:szCs w:val="24"/>
        </w:rPr>
        <w:t>ps</w:t>
      </w:r>
      <w:proofErr w:type="spellEnd"/>
      <w:r>
        <w:rPr>
          <w:rFonts w:ascii="Calibri" w:hAnsi="Calibri" w:cs="Calibri"/>
          <w:sz w:val="24"/>
          <w:szCs w:val="24"/>
        </w:rPr>
        <w:t xml:space="preserve"> NVT at 10 K, then a heating up phase from 10 K to 298</w:t>
      </w:r>
      <w:r w:rsidR="00825FF2">
        <w:rPr>
          <w:rFonts w:ascii="Calibri" w:hAnsi="Calibri" w:cs="Calibri"/>
          <w:sz w:val="24"/>
          <w:szCs w:val="24"/>
        </w:rPr>
        <w:t>.15 K during</w:t>
      </w:r>
      <w:r>
        <w:rPr>
          <w:rFonts w:ascii="Calibri" w:hAnsi="Calibri" w:cs="Calibri"/>
          <w:sz w:val="24"/>
          <w:szCs w:val="24"/>
        </w:rPr>
        <w:t xml:space="preserve"> 50 </w:t>
      </w:r>
      <w:proofErr w:type="spellStart"/>
      <w:r>
        <w:rPr>
          <w:rFonts w:ascii="Calibri" w:hAnsi="Calibri" w:cs="Calibri"/>
          <w:sz w:val="24"/>
          <w:szCs w:val="24"/>
        </w:rPr>
        <w:t>ps</w:t>
      </w:r>
      <w:proofErr w:type="spellEnd"/>
      <w:r>
        <w:rPr>
          <w:rFonts w:ascii="Calibri" w:hAnsi="Calibri" w:cs="Calibri"/>
          <w:sz w:val="24"/>
          <w:szCs w:val="24"/>
        </w:rPr>
        <w:t xml:space="preserve"> NVT, and finally 1 ns NPT at 298.15 K.  </w:t>
      </w:r>
    </w:p>
    <w:p w:rsidR="00B409A1" w:rsidRDefault="00B409A1" w:rsidP="00C72AFD">
      <w:pPr>
        <w:rPr>
          <w:rFonts w:ascii="Calibri" w:hAnsi="Calibri" w:cs="Calibri"/>
          <w:sz w:val="24"/>
          <w:szCs w:val="24"/>
        </w:rPr>
      </w:pPr>
    </w:p>
    <w:p w:rsidR="00606972" w:rsidRDefault="00606972" w:rsidP="00C72AFD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(7) In Table 3, not sure if Antechamber is the right module to be listed along with other programs.</w:t>
      </w:r>
    </w:p>
    <w:p w:rsidR="00B43DFC" w:rsidRDefault="00B43DFC" w:rsidP="00C72AFD">
      <w:pPr>
        <w:rPr>
          <w:rFonts w:ascii="Calibri" w:hAnsi="Calibri" w:cs="Calibri"/>
          <w:sz w:val="24"/>
          <w:szCs w:val="24"/>
        </w:rPr>
      </w:pPr>
    </w:p>
    <w:p w:rsidR="00B43DFC" w:rsidRDefault="00B43DFC" w:rsidP="00C72AFD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The coulomb constant was </w:t>
      </w:r>
      <w:r w:rsidR="00816923">
        <w:rPr>
          <w:rFonts w:ascii="Calibri" w:hAnsi="Calibri" w:cs="Calibri"/>
          <w:sz w:val="24"/>
          <w:szCs w:val="24"/>
        </w:rPr>
        <w:t xml:space="preserve">actually </w:t>
      </w:r>
      <w:r>
        <w:rPr>
          <w:rFonts w:ascii="Calibri" w:hAnsi="Calibri" w:cs="Calibri"/>
          <w:sz w:val="24"/>
          <w:szCs w:val="24"/>
        </w:rPr>
        <w:t xml:space="preserve">defined in a module called </w:t>
      </w:r>
      <w:proofErr w:type="spellStart"/>
      <w:r>
        <w:rPr>
          <w:rFonts w:ascii="Calibri" w:hAnsi="Calibri" w:cs="Calibri"/>
          <w:sz w:val="24"/>
          <w:szCs w:val="24"/>
        </w:rPr>
        <w:t>tleap</w:t>
      </w:r>
      <w:proofErr w:type="spellEnd"/>
      <w:r>
        <w:rPr>
          <w:rFonts w:ascii="Calibri" w:hAnsi="Calibri" w:cs="Calibri"/>
          <w:sz w:val="24"/>
          <w:szCs w:val="24"/>
        </w:rPr>
        <w:t xml:space="preserve">. </w:t>
      </w:r>
    </w:p>
    <w:p w:rsidR="00B43DFC" w:rsidRPr="00B43DFC" w:rsidRDefault="00B43DFC" w:rsidP="00B43DFC">
      <w:pPr>
        <w:shd w:val="clear" w:color="auto" w:fill="FFFFFF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You can find the constant</w:t>
      </w:r>
      <w:r w:rsidR="00C72AFD">
        <w:rPr>
          <w:rFonts w:ascii="Calibri" w:hAnsi="Calibri" w:cs="Calibri"/>
          <w:sz w:val="24"/>
          <w:szCs w:val="24"/>
        </w:rPr>
        <w:t xml:space="preserve"> </w:t>
      </w:r>
      <w:r w:rsidRPr="00B43DFC">
        <w:rPr>
          <w:rFonts w:ascii="Calibri" w:hAnsi="Calibri" w:cs="Calibri"/>
          <w:sz w:val="24"/>
          <w:szCs w:val="24"/>
        </w:rPr>
        <w:t>from $AMBERHOME/</w:t>
      </w:r>
      <w:proofErr w:type="spellStart"/>
      <w:r w:rsidRPr="00B43DFC">
        <w:rPr>
          <w:rFonts w:ascii="Calibri" w:hAnsi="Calibri" w:cs="Calibri"/>
          <w:sz w:val="24"/>
          <w:szCs w:val="24"/>
        </w:rPr>
        <w:t>AmberTools</w:t>
      </w:r>
      <w:proofErr w:type="spellEnd"/>
      <w:r w:rsidRPr="00B43DFC">
        <w:rPr>
          <w:rFonts w:ascii="Calibri" w:hAnsi="Calibri" w:cs="Calibri"/>
          <w:sz w:val="24"/>
          <w:szCs w:val="24"/>
        </w:rPr>
        <w:t>/</w:t>
      </w:r>
      <w:proofErr w:type="spellStart"/>
      <w:r w:rsidRPr="00B43DFC">
        <w:rPr>
          <w:rFonts w:ascii="Calibri" w:hAnsi="Calibri" w:cs="Calibri"/>
          <w:sz w:val="24"/>
          <w:szCs w:val="24"/>
        </w:rPr>
        <w:t>src</w:t>
      </w:r>
      <w:proofErr w:type="spellEnd"/>
      <w:r w:rsidRPr="00B43DFC">
        <w:rPr>
          <w:rFonts w:ascii="Calibri" w:hAnsi="Calibri" w:cs="Calibri"/>
          <w:sz w:val="24"/>
          <w:szCs w:val="24"/>
        </w:rPr>
        <w:t>/leap/</w:t>
      </w:r>
      <w:proofErr w:type="spellStart"/>
      <w:r w:rsidRPr="00B43DFC">
        <w:rPr>
          <w:rFonts w:ascii="Calibri" w:hAnsi="Calibri" w:cs="Calibri"/>
          <w:sz w:val="24"/>
          <w:szCs w:val="24"/>
        </w:rPr>
        <w:t>src</w:t>
      </w:r>
      <w:proofErr w:type="spellEnd"/>
      <w:r w:rsidRPr="00B43DFC">
        <w:rPr>
          <w:rFonts w:ascii="Calibri" w:hAnsi="Calibri" w:cs="Calibri"/>
          <w:sz w:val="24"/>
          <w:szCs w:val="24"/>
        </w:rPr>
        <w:t>/leap/</w:t>
      </w:r>
      <w:proofErr w:type="spellStart"/>
      <w:r w:rsidRPr="00B43DFC">
        <w:rPr>
          <w:rFonts w:ascii="Calibri" w:hAnsi="Calibri" w:cs="Calibri"/>
          <w:sz w:val="24"/>
          <w:szCs w:val="24"/>
        </w:rPr>
        <w:t>unitio.c</w:t>
      </w:r>
      <w:proofErr w:type="spellEnd"/>
    </w:p>
    <w:p w:rsidR="00B43DFC" w:rsidRDefault="00B43DFC" w:rsidP="00B43DFC">
      <w:pPr>
        <w:shd w:val="clear" w:color="auto" w:fill="FFFFFF"/>
        <w:spacing w:after="0" w:line="240" w:lineRule="auto"/>
        <w:rPr>
          <w:rFonts w:ascii="Calibri" w:hAnsi="Calibri" w:cs="Calibri"/>
          <w:sz w:val="24"/>
          <w:szCs w:val="24"/>
        </w:rPr>
      </w:pPr>
      <w:r w:rsidRPr="00B43DFC">
        <w:rPr>
          <w:rFonts w:ascii="Calibri" w:hAnsi="Calibri" w:cs="Calibri"/>
          <w:sz w:val="24"/>
          <w:szCs w:val="24"/>
        </w:rPr>
        <w:t xml:space="preserve">"#define </w:t>
      </w:r>
      <w:proofErr w:type="gramStart"/>
      <w:r w:rsidRPr="00B43DFC">
        <w:rPr>
          <w:rFonts w:ascii="Calibri" w:hAnsi="Calibri" w:cs="Calibri"/>
          <w:sz w:val="24"/>
          <w:szCs w:val="24"/>
        </w:rPr>
        <w:t>ELECTRONTOKCAL  18.2223</w:t>
      </w:r>
      <w:proofErr w:type="gramEnd"/>
      <w:r w:rsidRPr="00B43DFC">
        <w:rPr>
          <w:rFonts w:ascii="Calibri" w:hAnsi="Calibri" w:cs="Calibri"/>
          <w:sz w:val="24"/>
          <w:szCs w:val="24"/>
        </w:rPr>
        <w:t>"</w:t>
      </w:r>
    </w:p>
    <w:p w:rsidR="00B43DFC" w:rsidRDefault="00B43DFC" w:rsidP="00B43DFC">
      <w:pPr>
        <w:shd w:val="clear" w:color="auto" w:fill="FFFFFF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B43DFC" w:rsidRDefault="00B43DFC" w:rsidP="00B43DFC">
      <w:pPr>
        <w:shd w:val="clear" w:color="auto" w:fill="FFFFFF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and it is not part of Antechamber. Maybe confirm</w:t>
      </w:r>
      <w:r w:rsidR="003A355D">
        <w:rPr>
          <w:rFonts w:ascii="Calibri" w:hAnsi="Calibri" w:cs="Calibri"/>
          <w:sz w:val="24"/>
          <w:szCs w:val="24"/>
        </w:rPr>
        <w:t xml:space="preserve"> with</w:t>
      </w:r>
      <w:r>
        <w:rPr>
          <w:rFonts w:ascii="Calibri" w:hAnsi="Calibri" w:cs="Calibri"/>
          <w:sz w:val="24"/>
          <w:szCs w:val="24"/>
        </w:rPr>
        <w:t xml:space="preserve"> AMEBR experts </w:t>
      </w:r>
      <w:r w:rsidRPr="00B43DFC">
        <w:rPr>
          <w:rFonts w:ascii="Calibri" w:hAnsi="Calibri" w:cs="Calibri"/>
          <w:sz w:val="24"/>
          <w:szCs w:val="24"/>
        </w:rPr>
        <w:sym w:font="Wingdings" w:char="F04A"/>
      </w:r>
    </w:p>
    <w:p w:rsidR="003A355D" w:rsidRDefault="003A355D" w:rsidP="00B43DFC">
      <w:pPr>
        <w:shd w:val="clear" w:color="auto" w:fill="FFFFFF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B43DFC" w:rsidRDefault="00B43DFC" w:rsidP="00B43DFC">
      <w:pPr>
        <w:shd w:val="clear" w:color="auto" w:fill="FFFFFF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B43DFC" w:rsidRDefault="00B43DFC" w:rsidP="00B43DFC">
      <w:pPr>
        <w:shd w:val="clear" w:color="auto" w:fill="FFFFFF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(8) </w:t>
      </w:r>
      <w:r w:rsidR="003A355D">
        <w:rPr>
          <w:rFonts w:ascii="Calibri" w:hAnsi="Calibri" w:cs="Calibri"/>
          <w:sz w:val="24"/>
          <w:szCs w:val="24"/>
        </w:rPr>
        <w:t>On page 9: Is this correct on the constraints, or were just H-bonds constrained?</w:t>
      </w:r>
    </w:p>
    <w:p w:rsidR="00B43DFC" w:rsidRPr="00B43DFC" w:rsidRDefault="00B43DFC" w:rsidP="00B43DFC">
      <w:pPr>
        <w:shd w:val="clear" w:color="auto" w:fill="FFFFFF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</w:t>
      </w:r>
    </w:p>
    <w:p w:rsidR="00C72AFD" w:rsidRPr="003A355D" w:rsidRDefault="003A355D" w:rsidP="00C72AFD">
      <w:pPr>
        <w:rPr>
          <w:rFonts w:ascii="Calibri" w:hAnsi="Calibri" w:cs="Calibri"/>
          <w:sz w:val="24"/>
          <w:szCs w:val="24"/>
        </w:rPr>
      </w:pPr>
      <w:r w:rsidRPr="003A355D">
        <w:rPr>
          <w:rFonts w:ascii="Calibri" w:hAnsi="Calibri" w:cs="Calibri"/>
          <w:sz w:val="24"/>
          <w:szCs w:val="24"/>
        </w:rPr>
        <w:t>Only bonds involving hydrogen are constrained.</w:t>
      </w:r>
    </w:p>
    <w:sectPr w:rsidR="00C72AFD" w:rsidRPr="003A35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2D8"/>
    <w:rsid w:val="002E72D8"/>
    <w:rsid w:val="003A355D"/>
    <w:rsid w:val="00606972"/>
    <w:rsid w:val="007D6EC8"/>
    <w:rsid w:val="00816923"/>
    <w:rsid w:val="00825FF2"/>
    <w:rsid w:val="00875134"/>
    <w:rsid w:val="009A2623"/>
    <w:rsid w:val="00B409A1"/>
    <w:rsid w:val="00B43DFC"/>
    <w:rsid w:val="00C72AFD"/>
    <w:rsid w:val="00FE3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7049D"/>
  <w15:chartTrackingRefBased/>
  <w15:docId w15:val="{FD29CFD7-34C3-4845-B258-13E9F19C3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08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7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5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85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1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5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29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96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9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481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Yin</dc:creator>
  <cp:keywords/>
  <dc:description/>
  <cp:lastModifiedBy>Jane Yin</cp:lastModifiedBy>
  <cp:revision>6</cp:revision>
  <dcterms:created xsi:type="dcterms:W3CDTF">2016-06-27T18:10:00Z</dcterms:created>
  <dcterms:modified xsi:type="dcterms:W3CDTF">2016-06-27T19:50:00Z</dcterms:modified>
</cp:coreProperties>
</file>