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Эпидемия</w:t>
      </w:r>
    </w:p>
    <w:p>
      <w:pPr>
        <w:pStyle w:val="Author"/>
      </w:pPr>
      <w:r>
        <w:t xml:space="preserve">Ширяев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моделью</w:t>
      </w:r>
      <w:r>
        <w:t xml:space="preserve"> </w:t>
      </w:r>
      <w:r>
        <w:t xml:space="preserve">“</w:t>
      </w:r>
      <w:r>
        <w:t xml:space="preserve">эпидемия</w:t>
      </w:r>
      <w:r>
        <w:t xml:space="preserve">”</w:t>
      </w:r>
      <w:r>
        <w:t xml:space="preserve"> </w:t>
      </w:r>
      <w:r>
        <w:t xml:space="preserve">и построить графики по этой модели.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39</w:t>
      </w:r>
    </w:p>
    <w:p>
      <w:pPr>
        <w:pStyle w:val="BodyText"/>
      </w:pPr>
      <w:r>
        <w:t xml:space="preserve">Для модели «эпидемия»: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0.01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0.01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0.02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0.02</m:t>
          </m:r>
          <m:r>
            <m:t>I</m:t>
          </m:r>
        </m:oMath>
      </m:oMathPara>
    </w:p>
    <w:p>
      <w:pPr>
        <w:pStyle w:val="FirstParagraph"/>
      </w:pPr>
      <w:r>
        <w:t xml:space="preserve">Построить графики изменения числа особей в каждой из трех групп в случае:</w:t>
      </w:r>
      <w:r>
        <w:br/>
      </w:r>
      <w:r>
        <w:t xml:space="preserve">1)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  <w:r>
        <w:t xml:space="preserve">2)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br/>
      </w:r>
      <w:r>
        <w:t xml:space="preserve">При следующих начальных условиях: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12800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180</m:t>
        </m:r>
        <m:r>
          <m:rPr>
            <m:sty m:val="p"/>
          </m:rPr>
          <m:t>,</m:t>
        </m:r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58</m:t>
        </m:r>
      </m:oMath>
      <w:r>
        <w:t xml:space="preserve">.</w:t>
      </w:r>
    </w:p>
    <w:bookmarkEnd w:id="21"/>
    <w:bookmarkStart w:id="22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Рассмотрим простейшую модель эпидемии. Предположим, что некая</w:t>
      </w:r>
      <w:r>
        <w:t xml:space="preserve"> </w:t>
      </w:r>
      <w:r>
        <w:t xml:space="preserve">популяция, состоящая из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особей, (считаем, что популяция изолирована)</w:t>
      </w:r>
      <w:r>
        <w:t xml:space="preserve"> </w:t>
      </w:r>
      <w:r>
        <w:t xml:space="preserve">подразделяется на три группы. Первая группа - это восприимчивые к болезни, но</w:t>
      </w:r>
      <w:r>
        <w:t xml:space="preserve"> </w:t>
      </w:r>
      <w:r>
        <w:t xml:space="preserve">пока здоровые особи, обозначим их через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Вторая группа – это число</w:t>
      </w:r>
      <w:r>
        <w:t xml:space="preserve"> </w:t>
      </w:r>
      <w:r>
        <w:t xml:space="preserve">инфицированных особей, которые также при этом являются распространителями</w:t>
      </w:r>
      <w:r>
        <w:t xml:space="preserve"> </w:t>
      </w:r>
      <w:r>
        <w:t xml:space="preserve">инфекции, обозначим их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А третья группа, обозначающаяся через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– это</w:t>
      </w:r>
      <w:r>
        <w:t xml:space="preserve"> </w:t>
      </w:r>
      <w:r>
        <w:t xml:space="preserve">здоровые особи с иммунитетом к болезни.</w:t>
      </w:r>
      <w:r>
        <w:br/>
      </w: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,</w:t>
      </w:r>
      <w:r>
        <w:t xml:space="preserve"> </w:t>
      </w:r>
      <w:r>
        <w:t xml:space="preserve">тогда инфицирование способны заражать восприимчивых к болезни особей.</w:t>
      </w:r>
    </w:p>
    <w:p>
      <w:pPr>
        <w:pStyle w:val="BodyText"/>
      </w:pPr>
      <w:r>
        <w:t xml:space="preserve">Таким образом, скорость изменения числа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меняется по следующему</w:t>
      </w:r>
      <w:r>
        <w:t xml:space="preserve"> </w:t>
      </w:r>
      <w:r>
        <w:t xml:space="preserve">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S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</w:t>
      </w:r>
      <w:r>
        <w:t xml:space="preserve"> </w:t>
      </w:r>
      <w:r>
        <w:t xml:space="preserve">заболевает, сама становится инфекционной, то скорость изменения числа</w:t>
      </w:r>
      <w:r>
        <w:t xml:space="preserve"> </w:t>
      </w:r>
      <w:r>
        <w:t xml:space="preserve">инфекционных особей представляет разность за единицу времени между</w:t>
      </w:r>
      <w:r>
        <w:t xml:space="preserve"> </w:t>
      </w:r>
      <w:r>
        <w:t xml:space="preserve">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I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</w:t>
      </w:r>
      <w:r>
        <w:t xml:space="preserve"> </w:t>
      </w:r>
      <w:r>
        <w:t xml:space="preserve">иммунитет к болезни)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R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,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- это коэффициенты заболеваемости</w:t>
      </w:r>
      <w:r>
        <w:t xml:space="preserve"> </w:t>
      </w:r>
      <w:r>
        <w:t xml:space="preserve">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</w:t>
      </w:r>
      <w:r>
        <w:t xml:space="preserve"> </w:t>
      </w:r>
      <w:r>
        <w:t xml:space="preserve">однозначно, необходимо задать начальные условия .Считаем, что на начало</w:t>
      </w:r>
      <w:r>
        <w:t xml:space="preserve"> </w:t>
      </w:r>
      <w:r>
        <w:t xml:space="preserve">эпидемии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нет особей с иммунитетом к болезни</w:t>
      </w:r>
      <w:r>
        <w:t xml:space="preserve"> </w:t>
      </w:r>
      <m:oMath>
        <m:r>
          <m:t>R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а</w:t>
      </w:r>
      <w:r>
        <w:t xml:space="preserve"> </w:t>
      </w:r>
      <w:r>
        <w:t xml:space="preserve">число инфицированных и восприимчивых к болезни особей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S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соответственно. Для анализа картины протекания эпидемии необходимо</w:t>
      </w:r>
      <w:r>
        <w:t xml:space="preserve"> </w:t>
      </w:r>
      <w:r>
        <w:t xml:space="preserve">рассмотреть два случая: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bookmarkEnd w:id="22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библиотеки"/>
    <w:p>
      <w:pPr>
        <w:pStyle w:val="Heading2"/>
      </w:pPr>
      <w:r>
        <w:t xml:space="preserve">Библиотеки</w:t>
      </w:r>
    </w:p>
    <w:p>
      <w:pPr>
        <w:pStyle w:val="FirstParagraph"/>
      </w:pPr>
      <w:r>
        <w:t xml:space="preserve">Подключаю все необходимые библиотеки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from scipy.integrate import odeint</w:t>
      </w:r>
    </w:p>
    <w:bookmarkEnd w:id="23"/>
    <w:bookmarkStart w:id="24" w:name="значения"/>
    <w:p>
      <w:pPr>
        <w:pStyle w:val="Heading2"/>
      </w:pPr>
      <w:r>
        <w:t xml:space="preserve">Значения</w:t>
      </w:r>
    </w:p>
    <w:p>
      <w:pPr>
        <w:pStyle w:val="FirstParagraph"/>
      </w:pPr>
      <w:r>
        <w:t xml:space="preserve">Ввод значений из своего варианта (39 вариант)</w:t>
      </w:r>
    </w:p>
    <w:p>
      <w:pPr>
        <w:pStyle w:val="SourceCode"/>
      </w:pP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br/>
      </w:r>
      <w:r>
        <w:rPr>
          <w:rStyle w:val="VerbatimChar"/>
        </w:rPr>
        <w:t xml:space="preserve">N = 12800</w:t>
      </w:r>
      <w:r>
        <w:br/>
      </w:r>
      <w:r>
        <w:rPr>
          <w:rStyle w:val="VerbatimChar"/>
        </w:rPr>
        <w:t xml:space="preserve">I = 180</w:t>
      </w:r>
      <w:r>
        <w:br/>
      </w:r>
      <w:r>
        <w:rPr>
          <w:rStyle w:val="VerbatimChar"/>
        </w:rPr>
        <w:t xml:space="preserve">R = 58</w:t>
      </w:r>
      <w:r>
        <w:br/>
      </w:r>
      <w:r>
        <w:rPr>
          <w:rStyle w:val="VerbatimChar"/>
        </w:rPr>
        <w:t xml:space="preserve">S = N - I - R</w:t>
      </w:r>
      <w:r>
        <w:br/>
      </w:r>
      <w:r>
        <w:br/>
      </w:r>
      <w:r>
        <w:rPr>
          <w:rStyle w:val="VerbatimChar"/>
        </w:rPr>
        <w:t xml:space="preserve">t = np.arange(0,400,0.01)</w:t>
      </w:r>
      <w:r>
        <w:br/>
      </w:r>
      <w:r>
        <w:br/>
      </w:r>
      <w:r>
        <w:rPr>
          <w:rStyle w:val="VerbatimChar"/>
        </w:rPr>
        <w:t xml:space="preserve">v = [S,I,R]</w:t>
      </w:r>
    </w:p>
    <w:bookmarkEnd w:id="24"/>
    <w:bookmarkStart w:id="27" w:name="решение"/>
    <w:p>
      <w:pPr>
        <w:pStyle w:val="Heading2"/>
      </w:pPr>
      <w:r>
        <w:t xml:space="preserve">Решение</w:t>
      </w:r>
    </w:p>
    <w:bookmarkStart w:id="25" w:name="решение-системы-для-случая-i0-leq-i"/>
    <w:p>
      <w:pPr>
        <w:pStyle w:val="Heading3"/>
      </w:pPr>
      <w:r>
        <w:t xml:space="preserve">Решение системы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def f1(v,t):</w:t>
      </w:r>
      <w:r>
        <w:br/>
      </w:r>
      <w:r>
        <w:rPr>
          <w:rStyle w:val="VerbatimChar"/>
        </w:rPr>
        <w:t xml:space="preserve">    dS = 0</w:t>
      </w:r>
      <w:r>
        <w:br/>
      </w:r>
      <w:r>
        <w:rPr>
          <w:rStyle w:val="VerbatimChar"/>
        </w:rPr>
        <w:t xml:space="preserve">    dI = -1*b*v[1]</w:t>
      </w:r>
      <w:r>
        <w:br/>
      </w:r>
      <w:r>
        <w:rPr>
          <w:rStyle w:val="VerbatimChar"/>
        </w:rPr>
        <w:t xml:space="preserve">    dR = b*v[1]</w:t>
      </w:r>
      <w:r>
        <w:br/>
      </w:r>
      <w:r>
        <w:rPr>
          <w:rStyle w:val="VerbatimChar"/>
        </w:rPr>
        <w:t xml:space="preserve">    return [dS,dI,dR]</w:t>
      </w:r>
      <w:r>
        <w:br/>
      </w:r>
      <w:r>
        <w:br/>
      </w:r>
      <w:r>
        <w:rPr>
          <w:rStyle w:val="VerbatimChar"/>
        </w:rPr>
        <w:t xml:space="preserve">res = odeint(f1,v,t)</w:t>
      </w:r>
    </w:p>
    <w:bookmarkEnd w:id="25"/>
    <w:bookmarkStart w:id="26" w:name="решение-системы-для-случая-i0-i"/>
    <w:p>
      <w:pPr>
        <w:pStyle w:val="Heading3"/>
      </w:pPr>
      <w:r>
        <w:t xml:space="preserve">Решение системы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SourceCode"/>
      </w:pPr>
      <w:r>
        <w:rPr>
          <w:rStyle w:val="VerbatimChar"/>
        </w:rPr>
        <w:t xml:space="preserve">def f2(v,t):</w:t>
      </w:r>
      <w:r>
        <w:br/>
      </w:r>
      <w:r>
        <w:rPr>
          <w:rStyle w:val="VerbatimChar"/>
        </w:rPr>
        <w:t xml:space="preserve">    dS = -1*a*v[0]</w:t>
      </w:r>
      <w:r>
        <w:br/>
      </w:r>
      <w:r>
        <w:rPr>
          <w:rStyle w:val="VerbatimChar"/>
        </w:rPr>
        <w:t xml:space="preserve">    dI = a*v[0] - b*v[1]</w:t>
      </w:r>
      <w:r>
        <w:br/>
      </w:r>
      <w:r>
        <w:rPr>
          <w:rStyle w:val="VerbatimChar"/>
        </w:rPr>
        <w:t xml:space="preserve">    dR = b*v[1]</w:t>
      </w:r>
      <w:r>
        <w:br/>
      </w:r>
      <w:r>
        <w:rPr>
          <w:rStyle w:val="VerbatimChar"/>
        </w:rPr>
        <w:t xml:space="preserve">    return [dS,dI,dR]</w:t>
      </w:r>
      <w:r>
        <w:br/>
      </w:r>
      <w:r>
        <w:br/>
      </w:r>
      <w:r>
        <w:rPr>
          <w:rStyle w:val="VerbatimChar"/>
        </w:rPr>
        <w:t xml:space="preserve">res = odeint(f2,v,t)</w:t>
      </w:r>
    </w:p>
    <w:bookmarkEnd w:id="26"/>
    <w:bookmarkEnd w:id="27"/>
    <w:bookmarkStart w:id="30" w:name="вывод-графика-1"/>
    <w:p>
      <w:pPr>
        <w:pStyle w:val="Heading2"/>
      </w:pPr>
      <w:r>
        <w:t xml:space="preserve">Вывод графика №1</w:t>
      </w:r>
    </w:p>
    <w:p>
      <w:pPr>
        <w:pStyle w:val="FirstParagraph"/>
      </w:pPr>
      <w:r>
        <w:t xml:space="preserve">Вывод графика изменения числа особей в каждой из трех групп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≤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9" w:name="fig:001"/>
      <w:r>
        <w:drawing>
          <wp:inline>
            <wp:extent cx="5334000" cy="4000499"/>
            <wp:effectExtent b="0" l="0" r="0" t="0"/>
            <wp:docPr descr="Вывод графика №1" title="" id="1" name="Picture"/>
            <a:graphic>
              <a:graphicData uri="http://schemas.openxmlformats.org/drawingml/2006/picture">
                <pic:pic>
                  <pic:nvPicPr>
                    <pic:cNvPr descr="images/lab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Вывод графика №1</w:t>
      </w:r>
    </w:p>
    <w:bookmarkEnd w:id="30"/>
    <w:bookmarkStart w:id="33" w:name="вывод-графика-2"/>
    <w:p>
      <w:pPr>
        <w:pStyle w:val="Heading2"/>
      </w:pPr>
      <w:r>
        <w:t xml:space="preserve">Вывод графика №2</w:t>
      </w:r>
    </w:p>
    <w:p>
      <w:pPr>
        <w:pStyle w:val="FirstParagraph"/>
      </w:pPr>
      <w:r>
        <w:t xml:space="preserve">Вывод графика изменения числа особей в каждой из трех групп для случая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32" w:name="fig:002"/>
      <w:r>
        <w:drawing>
          <wp:inline>
            <wp:extent cx="5334000" cy="4000499"/>
            <wp:effectExtent b="0" l="0" r="0" t="0"/>
            <wp:docPr descr="Вывод графика №2" title="" id="1" name="Picture"/>
            <a:graphic>
              <a:graphicData uri="http://schemas.openxmlformats.org/drawingml/2006/picture">
                <pic:pic>
                  <pic:nvPicPr>
                    <pic:cNvPr descr="images/lab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Вывод графика №2</w:t>
      </w:r>
    </w:p>
    <w:bookmarkEnd w:id="33"/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ознакомился с моделью</w:t>
      </w:r>
      <w:r>
        <w:t xml:space="preserve"> </w:t>
      </w:r>
      <w:r>
        <w:t xml:space="preserve">“</w:t>
      </w:r>
      <w:r>
        <w:t xml:space="preserve">эпидемия</w:t>
      </w:r>
      <w:r>
        <w:t xml:space="preserve">”</w:t>
      </w:r>
      <w:r>
        <w:t xml:space="preserve"> </w:t>
      </w:r>
      <w:r>
        <w:t xml:space="preserve">и построил графики по этой модели.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Ширяев Кирилл Владимирович</dc:creator>
  <dc:language>ru-RU</dc:language>
  <cp:keywords/>
  <dcterms:created xsi:type="dcterms:W3CDTF">2021-03-20T16:00:29Z</dcterms:created>
  <dcterms:modified xsi:type="dcterms:W3CDTF">2021-03-20T16:00:29Z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">
    <vt:lpwstr>1032182518</vt:lpwstr>
  </property>
  <property fmtid="{D5CDD505-2E9C-101B-9397-08002B2CF9AE}" pid="3" name="documentclass">
    <vt:lpwstr>scrreprt</vt:lpwstr>
  </property>
  <property fmtid="{D5CDD505-2E9C-101B-9397-08002B2CF9AE}" pid="4" name="fontsize">
    <vt:lpwstr>12pt</vt:lpwstr>
  </property>
  <property fmtid="{D5CDD505-2E9C-101B-9397-08002B2CF9AE}" pid="5" name="group">
    <vt:lpwstr>НФИбд-03-18</vt:lpwstr>
  </property>
  <property fmtid="{D5CDD505-2E9C-101B-9397-08002B2CF9AE}" pid="6" name="header-includes">
    <vt:lpwstr/>
  </property>
  <property fmtid="{D5CDD505-2E9C-101B-9397-08002B2CF9AE}" pid="7" name="indent">
    <vt:lpwstr>True</vt:lpwstr>
  </property>
  <property fmtid="{D5CDD505-2E9C-101B-9397-08002B2CF9AE}" pid="8" name="linestretch">
    <vt:lpwstr>1.5</vt:lpwstr>
  </property>
  <property fmtid="{D5CDD505-2E9C-101B-9397-08002B2CF9AE}" pid="9" name="lof">
    <vt:lpwstr>True</vt:lpwstr>
  </property>
  <property fmtid="{D5CDD505-2E9C-101B-9397-08002B2CF9AE}" pid="10" name="mainfont">
    <vt:lpwstr>PT Serif</vt:lpwstr>
  </property>
  <property fmtid="{D5CDD505-2E9C-101B-9397-08002B2CF9AE}" pid="11" name="mainfontoptions">
    <vt:lpwstr>Ligatures=TeX</vt:lpwstr>
  </property>
  <property fmtid="{D5CDD505-2E9C-101B-9397-08002B2CF9AE}" pid="12" name="monofont">
    <vt:lpwstr>PT Mono</vt:lpwstr>
  </property>
  <property fmtid="{D5CDD505-2E9C-101B-9397-08002B2CF9AE}" pid="13" name="monofontoptions">
    <vt:lpwstr>Scale=MatchLowercase</vt:lpwstr>
  </property>
  <property fmtid="{D5CDD505-2E9C-101B-9397-08002B2CF9AE}" pid="14" name="papersize">
    <vt:lpwstr>a4paper</vt:lpwstr>
  </property>
  <property fmtid="{D5CDD505-2E9C-101B-9397-08002B2CF9AE}" pid="15" name="pdf-engine">
    <vt:lpwstr>lualatex</vt:lpwstr>
  </property>
  <property fmtid="{D5CDD505-2E9C-101B-9397-08002B2CF9AE}" pid="16" name="polyglossia-lang">
    <vt:lpwstr>russian</vt:lpwstr>
  </property>
  <property fmtid="{D5CDD505-2E9C-101B-9397-08002B2CF9AE}" pid="17" name="polyglossia-otherlangs">
    <vt:lpwstr>english</vt:lpwstr>
  </property>
  <property fmtid="{D5CDD505-2E9C-101B-9397-08002B2CF9AE}" pid="18" name="romanfont">
    <vt:lpwstr>PT Serif</vt:lpwstr>
  </property>
  <property fmtid="{D5CDD505-2E9C-101B-9397-08002B2CF9AE}" pid="19" name="romanfontoptions">
    <vt:lpwstr>Ligatures=TeX</vt:lpwstr>
  </property>
  <property fmtid="{D5CDD505-2E9C-101B-9397-08002B2CF9AE}" pid="20" name="sansfont">
    <vt:lpwstr>PT Sans</vt:lpwstr>
  </property>
  <property fmtid="{D5CDD505-2E9C-101B-9397-08002B2CF9AE}" pid="21" name="sansfontoptions">
    <vt:lpwstr>Ligatures=TeX,Scale=MatchLowercase</vt:lpwstr>
  </property>
  <property fmtid="{D5CDD505-2E9C-101B-9397-08002B2CF9AE}" pid="22" name="subtitle">
    <vt:lpwstr>Эпидемия</vt:lpwstr>
  </property>
  <property fmtid="{D5CDD505-2E9C-101B-9397-08002B2CF9AE}" pid="23" name="toc">
    <vt:lpwstr>True</vt:lpwstr>
  </property>
  <property fmtid="{D5CDD505-2E9C-101B-9397-08002B2CF9AE}" pid="24" name="toc-title">
    <vt:lpwstr>Содержание</vt:lpwstr>
  </property>
  <property fmtid="{D5CDD505-2E9C-101B-9397-08002B2CF9AE}" pid="25" name="toc_depth">
    <vt:lpwstr>2</vt:lpwstr>
  </property>
</Properties>
</file>