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</w:p>
    <w:p>
      <w:pPr>
        <w:pStyle w:val="Author"/>
      </w:pPr>
      <w:r>
        <w:t xml:space="preserve">Ширяев</w:t>
      </w:r>
      <w:r>
        <w:t xml:space="preserve"> </w:t>
      </w:r>
      <w:r>
        <w:t xml:space="preserve">Кирилл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Ознакомиться с моделью</w:t>
      </w:r>
      <w:r>
        <w:t xml:space="preserve"> </w:t>
      </w:r>
      <w:r>
        <w:t xml:space="preserve">“</w:t>
      </w:r>
      <w:r>
        <w:t xml:space="preserve">Конкуренция двух фирм</w:t>
      </w:r>
      <w:r>
        <w:t xml:space="preserve">”</w:t>
      </w:r>
      <w:r>
        <w:t xml:space="preserve"> </w:t>
      </w:r>
      <w:r>
        <w:t xml:space="preserve">и построить графики по этой модели.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Вариант 39</w:t>
      </w:r>
    </w:p>
    <w:p>
      <w:pPr>
        <w:pStyle w:val="BodyText"/>
      </w:pPr>
      <w:r>
        <w:t xml:space="preserve">Построить график конкуренции двух фирм, для двух случаев:</w:t>
      </w:r>
      <w:r>
        <w:br/>
      </w:r>
      <w:r>
        <w:t xml:space="preserve">1.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br/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</m:oMath>
      <w:r>
        <w:t xml:space="preserve"> </w:t>
      </w:r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</m:oMath>
      <w:r>
        <w:t xml:space="preserve"> </w:t>
      </w:r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τ</m:t>
                </m:r>
              </m:e>
              <m:sub>
                <m:r>
                  <m:t>1</m:t>
                </m:r>
              </m:sub>
            </m:sSub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</m:sSub>
          </m:den>
        </m:f>
      </m:oMath>
      <w:r>
        <w:t xml:space="preserve"> </w:t>
      </w:r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τ</m:t>
                </m:r>
              </m:e>
              <m:sub>
                <m:r>
                  <m:t>2</m:t>
                </m:r>
              </m:sub>
            </m:sSub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</m:sSub>
          </m:den>
        </m:f>
      </m:oMath>
      <w:r>
        <w:br/>
      </w: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  <w:r>
        <w:br/>
      </w:r>
      <w:r>
        <w:t xml:space="preserve">2.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br/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,</m:t>
          </m:r>
          <m:r>
            <m:t>00093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При следующих начальных условиях:</w:t>
      </w:r>
      <w:r>
        <w:t xml:space="preserve"> </w:t>
      </w:r>
      <m:oMath>
        <m:sSubSup>
          <m:e>
            <m:r>
              <m:t>M</m:t>
            </m:r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3.3</m:t>
        </m:r>
        <m:r>
          <m:rPr>
            <m:sty m:val="p"/>
          </m:rPr>
          <m:t>,</m:t>
        </m:r>
        <m:sSubSup>
          <m:e>
            <m:r>
              <m:t>M</m:t>
            </m:r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2.3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=</m:t>
        </m:r>
        <m:r>
          <m:t>33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τ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,</m:t>
        </m:r>
        <m:sSub>
          <m:e>
            <m:r>
              <m:t>τ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11</m:t>
        </m:r>
        <m:r>
          <m:rPr>
            <m:sty m:val="p"/>
          </m:rPr>
          <m:t>,</m:t>
        </m:r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6.6</m:t>
        </m:r>
        <m:r>
          <m:rPr>
            <m:sty m:val="p"/>
          </m:rPr>
          <m:t>,</m:t>
        </m:r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11.1</m:t>
        </m:r>
      </m:oMath>
      <w:r>
        <w:t xml:space="preserve">.</w:t>
      </w:r>
    </w:p>
    <w:bookmarkEnd w:id="21"/>
    <w:bookmarkStart w:id="24" w:name="теоретическая-справка"/>
    <w:p>
      <w:pPr>
        <w:pStyle w:val="Heading1"/>
      </w:pPr>
      <w:r>
        <w:t xml:space="preserve">Теоретическая справка</w:t>
      </w:r>
    </w:p>
    <w:bookmarkStart w:id="22" w:name="случай-1"/>
    <w:p>
      <w:pPr>
        <w:pStyle w:val="Heading2"/>
      </w:pPr>
      <w:r>
        <w:t xml:space="preserve">Случай 1</w:t>
      </w:r>
    </w:p>
    <w:p>
      <w:pPr>
        <w:pStyle w:val="FirstParagraph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Последнее означает, что у потребителей в этой нише нет априорных предпочтений, и они приобретут тот или иной товар, не обращая внимания на знак фирмы.</w:t>
      </w:r>
    </w:p>
    <w:p>
      <w:pPr>
        <w:pStyle w:val="BodyText"/>
      </w:pPr>
      <w:r>
        <w:t xml:space="preserve">В этом случае, на рынке устанавливается единая цена, которая определяется балансом суммарного предложения и спроса. Иными словами,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</w:t>
      </w:r>
    </w:p>
    <w:p>
      <w:pPr>
        <w:pStyle w:val="BodyText"/>
      </w:pPr>
      <w:r>
        <w:t xml:space="preserve">Уравнения динамики оборотных средств запишем по аналогии с (2) в виде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sSub>
            <m:e>
              <m:r>
                <m:t>N</m:t>
              </m:r>
            </m:e>
            <m:sub>
              <m:r>
                <m:t>1</m:t>
              </m:r>
            </m:sub>
          </m:sSub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sSub>
            <m:e>
              <m:r>
                <m:t>κ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</m:den>
          </m:f>
          <m:r>
            <m:rPr>
              <m:sty m:val="p"/>
            </m:rPr>
            <m:t>+</m:t>
          </m:r>
          <m:sSub>
            <m:e>
              <m:r>
                <m:t>N</m:t>
              </m:r>
            </m:e>
            <m:sub>
              <m:r>
                <m:t>2</m:t>
              </m:r>
            </m:sub>
          </m:sSub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sSub>
            <m:e>
              <m:r>
                <m:t>κ</m:t>
              </m:r>
            </m:e>
            <m:sub>
              <m:r>
                <m:t>2</m:t>
              </m:r>
            </m:sub>
          </m:sSub>
          <m:r>
            <m:t> 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r>
            <m:t>10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 использованы те же обозначения, а индексы 1 и 2 относятся к первой и второй фирме, соответственно. Величины</w:t>
      </w:r>
      <w:r>
        <w:t xml:space="preserve"> </w:t>
      </w:r>
      <m:oMath>
        <m:r>
          <m:t>N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N</m:t>
        </m:r>
        <m:r>
          <m:t>2</m:t>
        </m:r>
      </m:oMath>
      <w:r>
        <w:t xml:space="preserve"> </w:t>
      </w:r>
      <w:r>
        <w:t xml:space="preserve">– числа потребителей, приобретших товар первой и второй фирмы.</w:t>
      </w:r>
    </w:p>
    <w:p>
      <w:pPr>
        <w:pStyle w:val="BodyText"/>
      </w:pPr>
      <w:r>
        <w:t xml:space="preserve">Учтем, что товарный баланс устанавливается быстро, то есть произведенный каждой фирмой товар не накапливается, а реализуется по цене</w:t>
      </w:r>
      <w:r>
        <w:t xml:space="preserve"> </w:t>
      </w:r>
      <m:oMath>
        <m:r>
          <m:t>p</m:t>
        </m:r>
      </m:oMath>
      <w:r>
        <w:t xml:space="preserve">.</w:t>
      </w:r>
    </w:p>
    <w:p>
      <w:pPr>
        <w:pStyle w:val="BodyText"/>
      </w:pPr>
      <w:r>
        <w:t xml:space="preserve">Тогда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1</m:t>
              </m:r>
            </m:sub>
          </m:sSub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2</m:t>
              </m:r>
            </m:sub>
          </m:sSub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r>
            <m:t>11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2</m:t>
            </m:r>
          </m:sub>
        </m:sSub>
      </m:oMath>
      <w:r>
        <w:t xml:space="preserve"> </w:t>
      </w:r>
      <w:r>
        <w:t xml:space="preserve">– себестоимости товаров в первой и второй фирме.</w:t>
      </w:r>
    </w:p>
    <w:p>
      <w:pPr>
        <w:pStyle w:val="BodyText"/>
      </w:pPr>
      <w:r>
        <w:t xml:space="preserve">С учетом (10) представим (11) в виде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b>
            <m:e>
              <m:r>
                <m:t>κ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b>
            <m:e>
              <m:r>
                <m:t>κ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r>
            <m:t>12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Уравнение для цены, по аналогии с (3),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γ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t> </m:t>
          </m:r>
          <m:r>
            <m:rPr>
              <m:sty m:val="p"/>
            </m:rPr>
            <m:t>(</m:t>
          </m:r>
          <m:r>
            <m:t>13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Считая, как и выше, что ценовое равновесие устанавливается быстро, получим: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t> </m:t>
          </m:r>
          <m:r>
            <m:rPr>
              <m:sty m:val="p"/>
            </m:rPr>
            <m:t>(</m:t>
          </m:r>
          <m:r>
            <m:t>14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Подставив (14) в (12) имеем: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t>b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−</m:t>
          </m:r>
          <m:sSub>
            <m:e>
              <m:r>
                <m:t>κ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r>
            <m:t>b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−</m:t>
          </m:r>
          <m:sSub>
            <m:e>
              <m:r>
                <m:t>κ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r>
            <m:t>15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p>
              <m:e>
                <m:acc>
                  <m:accPr>
                    <m:chr m:val="̃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acc>
              </m:e>
              <m:sup>
                <m:r>
                  <m:t>2</m:t>
                </m:r>
              </m:sup>
            </m:sSup>
            <m:r>
              <m:t>N</m:t>
            </m:r>
            <m:r>
              <m:t>q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p>
              <m:e>
                <m:acc>
                  <m:accPr>
                    <m:chr m:val="̃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acc>
              </m:e>
              <m:sup>
                <m:r>
                  <m:t>2</m:t>
                </m:r>
              </m:sup>
            </m:sSup>
            <m:r>
              <m:t>N</m:t>
            </m:r>
            <m:r>
              <m:t>q</m:t>
            </m:r>
          </m:den>
        </m:f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p>
              <m:e>
                <m:acc>
                  <m:accPr>
                    <m:chr m:val="̃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acc>
              </m:e>
              <m:sup>
                <m:r>
                  <m:t>2</m:t>
                </m:r>
              </m:sup>
            </m:sSup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p>
              <m:e>
                <m:acc>
                  <m:accPr>
                    <m:chr m:val="̃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acc>
              </m:e>
              <m:sup>
                <m:r>
                  <m:t>2</m:t>
                </m:r>
              </m:sup>
            </m:sSup>
            <m:r>
              <m:t>N</m:t>
            </m:r>
            <m:r>
              <m:t>q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</m:e>
            </m:acc>
          </m:num>
          <m:den>
            <m:sSub>
              <m:e>
                <m:r>
                  <m:t>τ</m:t>
                </m:r>
              </m:e>
              <m:sub>
                <m:r>
                  <m:t>1</m:t>
                </m:r>
              </m:sub>
            </m:sSub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</m:e>
            </m:acc>
          </m:den>
        </m:f>
      </m:oMath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</m:sSub>
              </m:e>
            </m:acc>
          </m:num>
          <m:den>
            <m:sSub>
              <m:e>
                <m:r>
                  <m:t>τ</m:t>
                </m:r>
              </m:e>
              <m:sub>
                <m:r>
                  <m:t>2</m:t>
                </m:r>
              </m:sub>
            </m:sSub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</m:sSub>
              </m:e>
            </m:acc>
          </m:den>
        </m:f>
        <m:r>
          <m:t> </m:t>
        </m:r>
        <m:r>
          <m:rPr>
            <m:sty m:val="p"/>
          </m:rPr>
          <m:t>(</m:t>
        </m:r>
        <m:r>
          <m:t>16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Исследуем систему (15) в случае, когда постоянные издержки (</w:t>
      </w:r>
      <m:oMath>
        <m:sSub>
          <m:e>
            <m:r>
              <m:t>κ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κ</m:t>
            </m:r>
          </m:e>
          <m:sub>
            <m:r>
              <m:t>2</m:t>
            </m:r>
          </m:sub>
        </m:sSub>
      </m:oMath>
      <w:r>
        <w:t xml:space="preserve">) пренебрежимо малы. И введем нормировку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  <w:r>
        <w:t xml:space="preserve">. Получим следующую систему: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r>
            <m:t>17</m:t>
          </m:r>
          <m:r>
            <m:rPr>
              <m:sty m:val="p"/>
            </m:rPr>
            <m:t>)</m:t>
          </m:r>
        </m:oMath>
      </m:oMathPara>
    </w:p>
    <w:bookmarkEnd w:id="22"/>
    <w:bookmarkStart w:id="23" w:name="случай-2"/>
    <w:p>
      <w:pPr>
        <w:pStyle w:val="Heading2"/>
      </w:pPr>
      <w:r>
        <w:t xml:space="preserve">Случай 2</w:t>
      </w:r>
    </w:p>
    <w:p>
      <w:pPr>
        <w:pStyle w:val="FirstParagraph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</w:t>
      </w:r>
      <w:r>
        <w:t xml:space="preserve"> </w:t>
      </w:r>
      <w:r>
        <w:t xml:space="preserve">т.п.), используются еще и социально-психологические факторы – формирование</w:t>
      </w:r>
      <w:r>
        <w:t xml:space="preserve"> </w:t>
      </w:r>
      <w:r>
        <w:t xml:space="preserve">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</w:t>
      </w:r>
    </w:p>
    <w:p>
      <w:pPr>
        <w:pStyle w:val="BodyText"/>
      </w:pPr>
      <w:r>
        <w:t xml:space="preserve">Например,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0.002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bookmarkEnd w:id="23"/>
    <w:bookmarkEnd w:id="24"/>
    <w:bookmarkStart w:id="3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5" w:name="библиотеки"/>
    <w:p>
      <w:pPr>
        <w:pStyle w:val="Heading2"/>
      </w:pPr>
      <w:r>
        <w:t xml:space="preserve">Библиотеки</w:t>
      </w:r>
    </w:p>
    <w:p>
      <w:pPr>
        <w:pStyle w:val="FirstParagraph"/>
      </w:pPr>
      <w:r>
        <w:t xml:space="preserve">Подключаю все необходимые библиотеки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from scipy.integrate import odeint</w:t>
      </w:r>
    </w:p>
    <w:bookmarkEnd w:id="25"/>
    <w:bookmarkStart w:id="31" w:name="случай-1-1"/>
    <w:p>
      <w:pPr>
        <w:pStyle w:val="Heading2"/>
      </w:pPr>
      <w:r>
        <w:t xml:space="preserve">Случай №1</w:t>
      </w:r>
    </w:p>
    <w:bookmarkStart w:id="26" w:name="значения"/>
    <w:p>
      <w:pPr>
        <w:pStyle w:val="Heading3"/>
      </w:pPr>
      <w:r>
        <w:t xml:space="preserve">Значения</w:t>
      </w:r>
    </w:p>
    <w:p>
      <w:pPr>
        <w:pStyle w:val="FirstParagraph"/>
      </w:pPr>
      <w:r>
        <w:t xml:space="preserve">Ввод значений из своего варианта для первого случая (39 вариант)</w:t>
      </w:r>
    </w:p>
    <w:p>
      <w:pPr>
        <w:pStyle w:val="SourceCode"/>
      </w:pPr>
      <w:r>
        <w:rPr>
          <w:rStyle w:val="VerbatimChar"/>
        </w:rPr>
        <w:t xml:space="preserve">M0_1 = 3.3</w:t>
      </w:r>
      <w:r>
        <w:br/>
      </w:r>
      <w:r>
        <w:rPr>
          <w:rStyle w:val="VerbatimChar"/>
        </w:rPr>
        <w:t xml:space="preserve">M0_2 = 2.3</w:t>
      </w:r>
      <w:r>
        <w:br/>
      </w:r>
      <w:r>
        <w:rPr>
          <w:rStyle w:val="VerbatimChar"/>
        </w:rPr>
        <w:t xml:space="preserve">p_cr = 22</w:t>
      </w:r>
      <w:r>
        <w:br/>
      </w:r>
      <w:r>
        <w:rPr>
          <w:rStyle w:val="VerbatimChar"/>
        </w:rPr>
        <w:t xml:space="preserve">N = 33</w:t>
      </w:r>
      <w:r>
        <w:br/>
      </w:r>
      <w:r>
        <w:rPr>
          <w:rStyle w:val="VerbatimChar"/>
        </w:rPr>
        <w:t xml:space="preserve">q = 1</w:t>
      </w:r>
      <w:r>
        <w:br/>
      </w:r>
      <w:r>
        <w:rPr>
          <w:rStyle w:val="VerbatimChar"/>
        </w:rPr>
        <w:t xml:space="preserve">tau1 = 22</w:t>
      </w:r>
      <w:r>
        <w:br/>
      </w:r>
      <w:r>
        <w:rPr>
          <w:rStyle w:val="VerbatimChar"/>
        </w:rPr>
        <w:t xml:space="preserve">tau2 = 11</w:t>
      </w:r>
      <w:r>
        <w:br/>
      </w:r>
      <w:r>
        <w:rPr>
          <w:rStyle w:val="VerbatimChar"/>
        </w:rPr>
        <w:t xml:space="preserve">p1 = 6.6</w:t>
      </w:r>
      <w:r>
        <w:br/>
      </w:r>
      <w:r>
        <w:rPr>
          <w:rStyle w:val="VerbatimChar"/>
        </w:rPr>
        <w:t xml:space="preserve">p2 = 11.1</w:t>
      </w:r>
      <w:r>
        <w:br/>
      </w:r>
      <w:r>
        <w:rPr>
          <w:rStyle w:val="VerbatimChar"/>
        </w:rPr>
        <w:t xml:space="preserve">a1 = p_cr/(tau1*tau1*p1*p1*N*q);</w:t>
      </w:r>
      <w:r>
        <w:br/>
      </w:r>
      <w:r>
        <w:rPr>
          <w:rStyle w:val="VerbatimChar"/>
        </w:rPr>
        <w:t xml:space="preserve">a2 = p_cr/(tau2*tau2*p2*p2*N*q);</w:t>
      </w:r>
      <w:r>
        <w:br/>
      </w:r>
      <w:r>
        <w:rPr>
          <w:rStyle w:val="VerbatimChar"/>
        </w:rPr>
        <w:t xml:space="preserve">b = p_cr/(tau1*tau1*tau2*tau2*p1*p1*p2*p2*N*q);</w:t>
      </w:r>
      <w:r>
        <w:br/>
      </w:r>
      <w:r>
        <w:rPr>
          <w:rStyle w:val="VerbatimChar"/>
        </w:rPr>
        <w:t xml:space="preserve">c1 = (p_cr-p1)/(tau1*p1);</w:t>
      </w:r>
      <w:r>
        <w:br/>
      </w:r>
      <w:r>
        <w:rPr>
          <w:rStyle w:val="VerbatimChar"/>
        </w:rPr>
        <w:t xml:space="preserve">c2 = (p_cr-p2)/(tau2*p2);</w:t>
      </w:r>
      <w:r>
        <w:br/>
      </w:r>
      <w:r>
        <w:br/>
      </w:r>
      <w:r>
        <w:br/>
      </w:r>
      <w:r>
        <w:rPr>
          <w:rStyle w:val="VerbatimChar"/>
        </w:rPr>
        <w:t xml:space="preserve">v = [M0_1,M0_2]</w:t>
      </w:r>
      <w:r>
        <w:br/>
      </w:r>
      <w:r>
        <w:rPr>
          <w:rStyle w:val="VerbatimChar"/>
        </w:rPr>
        <w:t xml:space="preserve">t = np.arange(0,30,0.01)</w:t>
      </w:r>
    </w:p>
    <w:bookmarkEnd w:id="26"/>
    <w:bookmarkStart w:id="27" w:name="решение-системы"/>
    <w:p>
      <w:pPr>
        <w:pStyle w:val="Heading3"/>
      </w:pPr>
      <w:r>
        <w:t xml:space="preserve">Решение системы</w:t>
      </w:r>
    </w:p>
    <w:p>
      <w:pPr>
        <w:pStyle w:val="SourceCode"/>
      </w:pPr>
      <w:r>
        <w:rPr>
          <w:rStyle w:val="VerbatimChar"/>
        </w:rPr>
        <w:t xml:space="preserve">def f1(v,t):</w:t>
      </w:r>
      <w:r>
        <w:br/>
      </w:r>
      <w:r>
        <w:rPr>
          <w:rStyle w:val="VerbatimChar"/>
        </w:rPr>
        <w:t xml:space="preserve">    dM_1 = v[0] - (b/c1)*v[0]*v[1] - (a1/c1)*v[0]*v[0]</w:t>
      </w:r>
      <w:r>
        <w:br/>
      </w:r>
      <w:r>
        <w:rPr>
          <w:rStyle w:val="VerbatimChar"/>
        </w:rPr>
        <w:t xml:space="preserve">    dM_2 = (c2/c1)*v[1] - (b/c1)*v[0]*v[1] - (a2/c1)*v[1]*v[1]</w:t>
      </w:r>
      <w:r>
        <w:br/>
      </w:r>
      <w:r>
        <w:rPr>
          <w:rStyle w:val="VerbatimChar"/>
        </w:rPr>
        <w:t xml:space="preserve">    return [dM_1,dM_2]</w:t>
      </w:r>
      <w:r>
        <w:br/>
      </w:r>
      <w:r>
        <w:br/>
      </w:r>
      <w:r>
        <w:rPr>
          <w:rStyle w:val="VerbatimChar"/>
        </w:rPr>
        <w:t xml:space="preserve">res = odeint(f1,v,t)</w:t>
      </w:r>
    </w:p>
    <w:bookmarkEnd w:id="27"/>
    <w:bookmarkStart w:id="30" w:name="вывод-графика"/>
    <w:p>
      <w:pPr>
        <w:pStyle w:val="Heading3"/>
      </w:pPr>
      <w:r>
        <w:t xml:space="preserve">Вывод графика</w:t>
      </w:r>
    </w:p>
    <w:p>
      <w:pPr>
        <w:pStyle w:val="FirstParagraph"/>
      </w:pPr>
      <w:r>
        <w:t xml:space="preserve">Вывод графика конкуренции двух фирм(рис.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9" w:name="fig:001"/>
      <w:r>
        <w:drawing>
          <wp:inline>
            <wp:extent cx="5334000" cy="4000499"/>
            <wp:effectExtent b="0" l="0" r="0" t="0"/>
            <wp:docPr descr="Вывод графика №1" title="" id="1" name="Picture"/>
            <a:graphic>
              <a:graphicData uri="http://schemas.openxmlformats.org/drawingml/2006/picture">
                <pic:pic>
                  <pic:nvPicPr>
                    <pic:cNvPr descr="images/lab8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Вывод графика №1</w:t>
      </w:r>
    </w:p>
    <w:bookmarkEnd w:id="30"/>
    <w:bookmarkEnd w:id="31"/>
    <w:bookmarkStart w:id="36" w:name="случай-2-1"/>
    <w:p>
      <w:pPr>
        <w:pStyle w:val="Heading2"/>
      </w:pPr>
      <w:r>
        <w:t xml:space="preserve">Случай №2</w:t>
      </w:r>
    </w:p>
    <w:bookmarkStart w:id="32" w:name="решение-системы-1"/>
    <w:p>
      <w:pPr>
        <w:pStyle w:val="Heading3"/>
      </w:pPr>
      <w:r>
        <w:t xml:space="preserve">Решение системы</w:t>
      </w:r>
    </w:p>
    <w:p>
      <w:pPr>
        <w:pStyle w:val="SourceCode"/>
      </w:pPr>
      <w:r>
        <w:rPr>
          <w:rStyle w:val="VerbatimChar"/>
        </w:rPr>
        <w:t xml:space="preserve">def f2(v,t):</w:t>
      </w:r>
      <w:r>
        <w:br/>
      </w:r>
      <w:r>
        <w:rPr>
          <w:rStyle w:val="VerbatimChar"/>
        </w:rPr>
        <w:t xml:space="preserve">    dM_1 = v[0] - (b / c1) * v[0] * v[1] - (a1 / c1) * v[0] * v[0]</w:t>
      </w:r>
      <w:r>
        <w:br/>
      </w:r>
      <w:r>
        <w:rPr>
          <w:rStyle w:val="VerbatimChar"/>
        </w:rPr>
        <w:t xml:space="preserve">    dM_2 = (c2 / c1) * v[1] - (b/c1 + 0.00093) * v[0] * v[1] - (a2 / c1) * v[1] * v[1]</w:t>
      </w:r>
      <w:r>
        <w:br/>
      </w:r>
      <w:r>
        <w:rPr>
          <w:rStyle w:val="VerbatimChar"/>
        </w:rPr>
        <w:t xml:space="preserve">    return [dM_1, dM_2]</w:t>
      </w:r>
      <w:r>
        <w:br/>
      </w:r>
      <w:r>
        <w:br/>
      </w:r>
      <w:r>
        <w:rPr>
          <w:rStyle w:val="VerbatimChar"/>
        </w:rPr>
        <w:t xml:space="preserve">res2 = odeint(f2,v,t)</w:t>
      </w:r>
    </w:p>
    <w:bookmarkEnd w:id="32"/>
    <w:bookmarkStart w:id="35" w:name="вывод-графика-1"/>
    <w:p>
      <w:pPr>
        <w:pStyle w:val="Heading3"/>
      </w:pPr>
      <w:r>
        <w:t xml:space="preserve">Вывод графика</w:t>
      </w:r>
    </w:p>
    <w:p>
      <w:pPr>
        <w:pStyle w:val="FirstParagraph"/>
      </w:pPr>
      <w:r>
        <w:t xml:space="preserve">Вывод графика конкуренции двух(рис.</w:t>
      </w:r>
      <w:r>
        <w:t xml:space="preserve"> </w:t>
      </w:r>
      <w:r>
        <w:t xml:space="preserve">@fig:002</w:t>
      </w:r>
      <w:r>
        <w:t xml:space="preserve">).</w:t>
      </w:r>
    </w:p>
    <w:p>
      <w:pPr>
        <w:pStyle w:val="CaptionedFigure"/>
      </w:pPr>
      <w:bookmarkStart w:id="34" w:name="fig:002"/>
      <w:r>
        <w:drawing>
          <wp:inline>
            <wp:extent cx="5334000" cy="4000499"/>
            <wp:effectExtent b="0" l="0" r="0" t="0"/>
            <wp:docPr descr="Вывод графика №2" title="" id="1" name="Picture"/>
            <a:graphic>
              <a:graphicData uri="http://schemas.openxmlformats.org/drawingml/2006/picture">
                <pic:pic>
                  <pic:nvPicPr>
                    <pic:cNvPr descr="images/lab8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Вывод графика №2</w:t>
      </w:r>
    </w:p>
    <w:bookmarkEnd w:id="35"/>
    <w:bookmarkEnd w:id="36"/>
    <w:bookmarkEnd w:id="37"/>
    <w:bookmarkStart w:id="3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ознакомился с моделью</w:t>
      </w:r>
      <w:r>
        <w:t xml:space="preserve"> </w:t>
      </w:r>
      <w:r>
        <w:t xml:space="preserve">“</w:t>
      </w:r>
      <w:r>
        <w:t xml:space="preserve">Конкуренция двух фирм</w:t>
      </w:r>
      <w:r>
        <w:t xml:space="preserve">”</w:t>
      </w:r>
      <w:r>
        <w:t xml:space="preserve"> </w:t>
      </w:r>
      <w:r>
        <w:t xml:space="preserve">и построил графики по этой модели.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Ширяев Кирилл Владимирович</dc:creator>
  <dc:language>ru-RU</dc:language>
  <cp:keywords/>
  <dcterms:created xsi:type="dcterms:W3CDTF">2021-04-03T19:20:47Z</dcterms:created>
  <dcterms:modified xsi:type="dcterms:W3CDTF">2021-04-03T19:20:47Z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">
    <vt:lpwstr>1032182518</vt:lpwstr>
  </property>
  <property fmtid="{D5CDD505-2E9C-101B-9397-08002B2CF9AE}" pid="3" name="documentclass">
    <vt:lpwstr>scrreprt</vt:lpwstr>
  </property>
  <property fmtid="{D5CDD505-2E9C-101B-9397-08002B2CF9AE}" pid="4" name="fontsize">
    <vt:lpwstr>12pt</vt:lpwstr>
  </property>
  <property fmtid="{D5CDD505-2E9C-101B-9397-08002B2CF9AE}" pid="5" name="group">
    <vt:lpwstr>НФИбд-03-18</vt:lpwstr>
  </property>
  <property fmtid="{D5CDD505-2E9C-101B-9397-08002B2CF9AE}" pid="6" name="header-includes">
    <vt:lpwstr/>
  </property>
  <property fmtid="{D5CDD505-2E9C-101B-9397-08002B2CF9AE}" pid="7" name="indent">
    <vt:lpwstr>True</vt:lpwstr>
  </property>
  <property fmtid="{D5CDD505-2E9C-101B-9397-08002B2CF9AE}" pid="8" name="linestretch">
    <vt:lpwstr>1.5</vt:lpwstr>
  </property>
  <property fmtid="{D5CDD505-2E9C-101B-9397-08002B2CF9AE}" pid="9" name="lof">
    <vt:lpwstr>True</vt:lpwstr>
  </property>
  <property fmtid="{D5CDD505-2E9C-101B-9397-08002B2CF9AE}" pid="10" name="mainfont">
    <vt:lpwstr>PT Serif</vt:lpwstr>
  </property>
  <property fmtid="{D5CDD505-2E9C-101B-9397-08002B2CF9AE}" pid="11" name="mainfontoptions">
    <vt:lpwstr>Ligatures=TeX</vt:lpwstr>
  </property>
  <property fmtid="{D5CDD505-2E9C-101B-9397-08002B2CF9AE}" pid="12" name="monofont">
    <vt:lpwstr>PT Mono</vt:lpwstr>
  </property>
  <property fmtid="{D5CDD505-2E9C-101B-9397-08002B2CF9AE}" pid="13" name="monofontoptions">
    <vt:lpwstr>Scale=MatchLowercase</vt:lpwstr>
  </property>
  <property fmtid="{D5CDD505-2E9C-101B-9397-08002B2CF9AE}" pid="14" name="papersize">
    <vt:lpwstr>a4paper</vt:lpwstr>
  </property>
  <property fmtid="{D5CDD505-2E9C-101B-9397-08002B2CF9AE}" pid="15" name="pdf-engine">
    <vt:lpwstr>lualatex</vt:lpwstr>
  </property>
  <property fmtid="{D5CDD505-2E9C-101B-9397-08002B2CF9AE}" pid="16" name="polyglossia-lang">
    <vt:lpwstr>russian</vt:lpwstr>
  </property>
  <property fmtid="{D5CDD505-2E9C-101B-9397-08002B2CF9AE}" pid="17" name="polyglossia-otherlangs">
    <vt:lpwstr>english</vt:lpwstr>
  </property>
  <property fmtid="{D5CDD505-2E9C-101B-9397-08002B2CF9AE}" pid="18" name="romanfont">
    <vt:lpwstr>PT Serif</vt:lpwstr>
  </property>
  <property fmtid="{D5CDD505-2E9C-101B-9397-08002B2CF9AE}" pid="19" name="romanfontoptions">
    <vt:lpwstr>Ligatures=TeX</vt:lpwstr>
  </property>
  <property fmtid="{D5CDD505-2E9C-101B-9397-08002B2CF9AE}" pid="20" name="sansfont">
    <vt:lpwstr>PT Sans</vt:lpwstr>
  </property>
  <property fmtid="{D5CDD505-2E9C-101B-9397-08002B2CF9AE}" pid="21" name="sansfontoptions">
    <vt:lpwstr>Ligatures=TeX,Scale=MatchLowercase</vt:lpwstr>
  </property>
  <property fmtid="{D5CDD505-2E9C-101B-9397-08002B2CF9AE}" pid="22" name="subtitle">
    <vt:lpwstr>Модель конкуренции двух фирм</vt:lpwstr>
  </property>
  <property fmtid="{D5CDD505-2E9C-101B-9397-08002B2CF9AE}" pid="23" name="toc">
    <vt:lpwstr>True</vt:lpwstr>
  </property>
  <property fmtid="{D5CDD505-2E9C-101B-9397-08002B2CF9AE}" pid="24" name="toc-title">
    <vt:lpwstr>Содержание</vt:lpwstr>
  </property>
  <property fmtid="{D5CDD505-2E9C-101B-9397-08002B2CF9AE}" pid="25" name="toc_depth">
    <vt:lpwstr>2</vt:lpwstr>
  </property>
</Properties>
</file>