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ebas Neue" w:cs="Bebas Neue" w:eastAsia="Bebas Neue" w:hAnsi="Bebas Neue"/>
          <w:sz w:val="108"/>
          <w:szCs w:val="108"/>
        </w:rPr>
      </w:pPr>
      <w:r w:rsidDel="00000000" w:rsidR="00000000" w:rsidRPr="00000000">
        <w:rPr>
          <w:rFonts w:ascii="Bebas Neue" w:cs="Bebas Neue" w:eastAsia="Bebas Neue" w:hAnsi="Bebas Neue"/>
          <w:sz w:val="108"/>
          <w:szCs w:val="108"/>
          <w:rtl w:val="0"/>
        </w:rPr>
        <w:t xml:space="preserve">manipulação de diretórios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1428750</wp:posOffset>
            </wp:positionH>
            <wp:positionV relativeFrom="paragraph">
              <wp:posOffset>2762250</wp:posOffset>
            </wp:positionV>
            <wp:extent cx="2790825" cy="4495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49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1619250</wp:posOffset>
            </wp:positionH>
            <wp:positionV relativeFrom="paragraph">
              <wp:posOffset>7934325</wp:posOffset>
            </wp:positionV>
            <wp:extent cx="2409825" cy="12192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ebas Neu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ebasNeu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