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Multiscale AI Prototype for Fracture Simulation: Separating a Neural Network Potential and a Physics-Informed Neural Network Crack-Tip Solver in the SmartFrac First-Stage Prototype</w:t>
      </w:r>
    </w:p>
    <w:p>
      <w:r>
        <w:rPr>
          <w:b/>
        </w:rPr>
        <w:t>SmartFrac (智断仿真平台) — Series Paper 1 of 6; first-stage MVP (months 1–12)</w:t>
      </w:r>
    </w:p>
    <w:p>
      <w:pPr>
        <w:pStyle w:val="Heading2"/>
      </w:pPr>
      <w:r>
        <w:t>Abstract</w:t>
      </w:r>
    </w:p>
    <w:p>
      <w:r>
        <w:t xml:space="preserve">Fracture simulation across atomistic and continuum scales is expensive: density-functional-theory (DFT)-based molecular dynamics (MD) is confined to nanoseconds and nanometres, while continuum finite-element analyses require separately calibrated constitutive laws that do not inherit the atomistic picture of bond rupture. This paper presents </w:t>
      </w:r>
      <w:r>
        <w:rPr>
          <w:b/>
        </w:rPr>
        <w:t>SmartFrac-MVP</w:t>
      </w:r>
      <w:r>
        <w:t xml:space="preserve">, the first deliverable of a four-stage, four-version research programme (MVP → V2.0β → V3.0 → V4.0) targeting multiscale and uncertainty-aware AI fracture simulation. The prototype deliberately couples nothing across scales yet. It implements two independent but contract-sharing links: an atomic-scale neural network potential (NNP) trained on a DFT α-iron database, and a continuum-scale physics-informed neural network (PINN) solving the two-dimensional plane-stress crack problem against the Westergaard Mode-I closed form. The atomic link computes smooth-overlap-of-atomic-positions (SOAP) descriptors from 18,237 configurations and trains a dual-head multilayer perceptron; independently re-evaluating the released checkpoint on a held-out 2,567-configuration split gives an energy mean absolute error of </w:t>
      </w:r>
      <w:r>
        <w:rPr>
          <w:b/>
        </w:rPr>
        <w:t>42.5 meV/atom</w:t>
      </w:r>
      <w:r>
        <w:t xml:space="preserve"> (Pearson </w:t>
      </w:r>
      <w:r>
        <w:rPr>
          <w:i/>
        </w:rPr>
        <w:t>r</w:t>
      </w:r>
      <w:r>
        <w:t xml:space="preserve"> = 0.983), meeting the 50 meV/atom prototype target. The continuum link reduces the autodifferentiated equilibrium residual to ≈3 × 10⁻⁵ (dimensionless) after tip-refined collocation. The paper's second contribution is a unified validation metric set—energy error, force error, relative field L2 error and wall-time speed-up—plus an honest, code-level catalogue of the gaps that block scale coupling: forces are not yet energy-consistent, the crack faces carry no traction-free boundary condition, and uncertainty quantification is absent. Each gap is the explicit starting point of the programme's second paper (coupled multiscale inference with physics-constrained uncertainty quantification).</w:t>
      </w:r>
    </w:p>
    <w:p>
      <w:r>
        <w:rPr>
          <w:b/>
        </w:rPr>
        <w:t>Keywords:</w:t>
      </w:r>
      <w:r>
        <w:t xml:space="preserve"> neural network potential; physics-informed neural network; fracture mechanics; molecular dynamics; SOAP descriptor; α-iron; multiscale simulation; prototype</w:t>
      </w:r>
    </w:p>
    <w:p>
      <w:pPr>
        <w:pStyle w:val="Heading2"/>
      </w:pPr>
      <w:r>
        <w:t>1. Introduction</w:t>
      </w:r>
    </w:p>
    <w:p>
      <w:r>
        <w:t>Two open questions motivate the broader programme this paper belongs to. First, can artificial intelligence compute multiscale fracture problems at an affordable cost? Second, how should AI modify the probabilistic description of fracture, whose classical Weibull / weakest-link foundations carry little physics? SmartFrac is staged to answer both over four years: the first stage establishes whether the two scales can be trained and validated independently, which is the minimum before any cross-scale coupling can be defended; the second stage adds hierarchical knowledge transfer and physics-constrained uncertainty quantification; later stages add multiphysics loading and a closed-loop self-evolving kernel. This paper reports the first stage only.</w:t>
      </w:r>
    </w:p>
    <w:p>
      <w:r>
        <w:t xml:space="preserve">The cost asymmetry it addresses is well known. DFT-grade forces resolve the electronic origin of cleavage but are limited to a few thousand atoms and picoseconds; continuum fracture mechanics handles millimetre cracks but treats the tip through constitutive relations calibrated externally. Machine learning has broken the cost barrier on the atomic side—neural-network potentials reproduce DFT energies and forces at a small fraction of the cost (Behler and Parrinello, 2007; Bartók et al., 2010)—and physics-informed neural networks embed the equilibrium PDE directly into the loss (Raissi et al., 2019), offering a mesh-free continuum solver that can, in principle, localise the crack tip without a hand-built singular mesh. Neither method alone closes the multiscale fracture problem. What is missing, and what this paper supplies, is a </w:t>
      </w:r>
      <w:r>
        <w:rPr>
          <w:b/>
        </w:rPr>
        <w:t>separated, reproducible pipeline</w:t>
      </w:r>
      <w:r>
        <w:t xml:space="preserve"> in which both links are built behind the same data contracts and evaluated with the same metric vocabulary, so that a future coupling layer has a clean place to attach.</w:t>
      </w:r>
    </w:p>
    <w:p>
      <w:r>
        <w:t xml:space="preserve">The contribution of this first-stage paper is twofold, and matches the programme's stated innovation plan. First, we construct an </w:t>
      </w:r>
      <w:r>
        <w:rPr>
          <w:b/>
        </w:rPr>
        <w:t>NNP–PINN separated prototype pipeline oriented to fracture problems</w:t>
      </w:r>
      <w:r>
        <w:t xml:space="preserve">: the atomic branch trains an SOAP-based potential on BCC α-iron and wraps it with crack-initialisation templates and an MD timing harness; the continuum branch solves Mode-I elastic equilibrium through second-order automatic differentiation with tip-refined collocation and a Westergaard benchmark. Second, we define and exercise a </w:t>
      </w:r>
      <w:r>
        <w:rPr>
          <w:b/>
        </w:rPr>
        <w:t>validation metric set specific to fracture</w:t>
      </w:r>
      <w:r>
        <w:t>—energy MAE, force RMSE, relative displacement-field L2 error, and MD wall-time speed-up—and report measured values on the actual released artefacts, including the bottlenecks measured by independent re-evaluation. The prototype is intentionally small enough to read in an afternoon, and its limitations are documented to code-level precision rather than apologised away.</w:t>
      </w:r>
    </w:p>
    <w:p>
      <w:pPr>
        <w:pStyle w:val="Heading2"/>
      </w:pPr>
      <w:r>
        <w:t>2. Position within the broader programme and related work</w:t>
      </w:r>
    </w:p>
    <w:p>
      <w:r>
        <w:t xml:space="preserve">SmartFrac is planned as a six-paper series. This is paper 1 (algorithm + MVP prototype, target journal </w:t>
      </w:r>
      <w:r>
        <w:rPr>
          <w:i/>
        </w:rPr>
        <w:t>Computational Materials Science</w:t>
      </w:r>
      <w:r>
        <w:t xml:space="preserve">). Paper 2 will develop the hierarchical knowledge-transfer coupling and the physics-constrained uncertainty-quantification engine (target </w:t>
      </w:r>
      <w:r>
        <w:rPr>
          <w:i/>
        </w:rPr>
        <w:t>CMAME</w:t>
      </w:r>
      <w:r>
        <w:t xml:space="preserve">); paper 3 will describe the integrated open platform as a software tool (target </w:t>
      </w:r>
      <w:r>
        <w:rPr>
          <w:i/>
        </w:rPr>
        <w:t>SoftwareX</w:t>
      </w:r>
      <w:r>
        <w:t xml:space="preserve">); paper 4 will present quasi-static, fatigue and hydrogen-embrittlement benchmarks (target </w:t>
      </w:r>
      <w:r>
        <w:rPr>
          <w:i/>
        </w:rPr>
        <w:t>Engineering Fracture Mechanics</w:t>
      </w:r>
      <w:r>
        <w:t xml:space="preserve">); paper 5 will apply the platform to virtual fracture testing of high-strength alloys (target </w:t>
      </w:r>
      <w:r>
        <w:rPr>
          <w:i/>
        </w:rPr>
        <w:t>Materials &amp; Design</w:t>
      </w:r>
      <w:r>
        <w:t>). The present paper therefore scopes itself tightly: it demonstrates feasibility and defines the metrics, and explicitly leaves coupling, uncertainty and multiphysics to the later papers.</w:t>
      </w:r>
    </w:p>
    <w:p>
      <w:r>
        <w:rPr>
          <w:b/>
        </w:rPr>
        <w:t>Machine-learned interatomic potentials.</w:t>
      </w:r>
      <w:r>
        <w:t xml:space="preserve"> The Behler–Parrinello high-dimensional NNP decomposes the total energy into environment-dependent atomic contributions and derives forces by automatic differentiation (Behler and Parrinello, 2007); the Gaussian approximation potential popularised the SOAP descriptor (Bartók et al., 2010), and message-passing networks such as SchNet improve data efficiency (Schütt et al., 2018). Dedicated iron databases, including machine-learned EAM and GAP models trained on common DFT sets for BCC and liquid iron, have been released by Byggmästar and co-workers (Byggmästar et al., 2022). The atomic branch here deliberately uses the classical explicit-descriptor-plus-MLP design: for a single-element BCC material the SOAP vector is small and interpretable, and the descriptor can be precomputed and cached, which keeps training cost CPU-tractable.</w:t>
      </w:r>
    </w:p>
    <w:p>
      <w:r>
        <w:rPr>
          <w:b/>
        </w:rPr>
        <w:t>Physics-informed neural networks in solid mechanics.</w:t>
      </w:r>
      <w:r>
        <w:t xml:space="preserve"> PINNs embed the strong form of the governing PDE into the loss and have been applied to linear elasticity and fracture (Raissi et al., 2019). Because the crack-tip field is singular, uniform collocation under-resolves it and localised sampling or mixed-variable reformulations are the standard response; the Westergaard closed form supplies the Mode-I reference (Tada et al., 2000; Westergaard, 1939). The continuum branch implements the strongest-form plane-stress residual with tip-refined sampling but, consistent with its prototype status, does not yet implement a specialised crack-face treatment.</w:t>
      </w:r>
    </w:p>
    <w:p>
      <w:pPr>
        <w:pStyle w:val="Heading2"/>
      </w:pPr>
      <w:r>
        <w:t>3. Methodology</w:t>
      </w:r>
    </w:p>
    <w:p>
      <w:pPr>
        <w:pStyle w:val="Heading3"/>
      </w:pPr>
      <w:r>
        <w:t>3.1 Software architecture and conventions</w:t>
      </w:r>
    </w:p>
    <w:p>
      <w:r>
        <w:t>SmartFrac-MVP is written in Python 3.11 on PyTorch (CPU fallback for development). Three engineering conventions are enforced, because they are the load-bearing assumptions for the later coupling work. Every model inherits a common `BaseModel` that serialises both weights and configuration, so a checkpoint carries its own hyperparameters. File-format readers are registered through a plugin table and selected by extension, so new atomistic formats are added without touching the preprocessing pipeline. All physical constants (lattice parameter, elastic moduli, remote stress) are centralised; units are Å/eV/eV Å⁻¹ at the atomic scale and Pa/m at the continuum scale, with explicit conversion factors at the interface. A 23-test smoke suite covering cleaning, reversible normalisation, stratified split, model forward shapes and the Westergaard evaluator runs green on the project virtual environment.</w:t>
      </w:r>
    </w:p>
    <w:p>
      <w:pPr>
        <w:pStyle w:val="Heading3"/>
      </w:pPr>
      <w:r>
        <w:t>3.2 Dataset and preprocessing</w:t>
      </w:r>
    </w:p>
    <w:p>
      <w:r>
        <w:t xml:space="preserve">The reference database is a DFT dataset for BCC α-iron in XYZ format containing 18,237 configurations totalling 188,691 atoms. Each configuration is mapped to a per-atom SOAP vector using DScribe with species {Fe}, a 4.0 Å cut-off and expansion orders </w:t>
      </w:r>
      <w:r>
        <w:rPr>
          <w:i/>
        </w:rPr>
        <w:t>n</w:t>
      </w:r>
      <w:r>
        <w:rPr>
          <w:vertAlign w:val="subscript"/>
        </w:rPr>
        <w:t>max</w:t>
      </w:r>
      <w:r>
        <w:t xml:space="preserve"> = 6, </w:t>
      </w:r>
      <w:r>
        <w:rPr>
          <w:i/>
        </w:rPr>
        <w:t>l</w:t>
      </w:r>
      <w:r>
        <w:rPr>
          <w:vertAlign w:val="subscript"/>
        </w:rPr>
        <w:t>max</w:t>
      </w:r>
      <w:r>
        <w:t xml:space="preserve"> = 6, giving a 147-dimensional descriptor per atom. Descriptors, forces, total energies and the configuration-to-atom index ranges are written to one compressed HDF5 file. Configurations are then filtered on physical grounds—a retained configuration must have per-atom energy in (−9.5, −6.0) eV/atom and contain atoms—leaving 17,116 configurations; a seeded permutation assigns 14,549 to training and 2,567 to the held-out test split. Descriptor columns and per-atom energies are standardised, forces with one global scale factor, and all statistics are stored with the checkpoint so predictions return to physical units.</w:t>
      </w:r>
    </w:p>
    <w:p>
      <w:pPr>
        <w:pStyle w:val="Heading3"/>
      </w:pPr>
      <w:r>
        <w:t>3.3 Neural network potential and crack MD harness</w:t>
      </w:r>
    </w:p>
    <w:p>
      <w:r>
        <w:t>The atomic model is a dual-head multilayer perceptron on the 147-dimensional SOAP vector. The energy head maps 147 → 256 → 128 → 1 (tanh hidden layers) to a per-atom energy contribution; the force head maps 147 → 256 → 128 → 3 to the Cartesian force. The configuration energy is the mean of its per-atom energy head outputs. Training uses Adam at 2 × 10⁻³, cosine annealing over 300 epochs, a per-atom batch of 4,096, and gradient clipping at norm 1.0, with the sum of standardised energy and force MSE as the loss. Two crack-initialisation templates (a two-dimensional centre-crack plate and a three-dimensional single-edge-notched beam) build α-iron cells from the lattice constant 2.8553 Å, and an ASE Langevin NVT wrapper plus a timing utility provide the MD loop and the single-step wall-time measurement used for the speed-up metric.</w:t>
      </w:r>
    </w:p>
    <w:p>
      <w:r>
        <w:t>We flag one deliberate simplification. The force head is an independent regressor rather than the negative gradient of the total energy, so predicted forces are not guaranteed to be conservative. This choice keeps MD-scale force evaluations cheap and avoids descriptor autodifferentiation inside the MD loop; its accuracy cost is measured directly in Section 4 and is the first item queued for energy-consistent retraining.</w:t>
      </w:r>
    </w:p>
    <w:p>
      <w:pPr>
        <w:pStyle w:val="Heading3"/>
      </w:pPr>
      <w:r>
        <w:t>3.4 Continuum PINN and Westergaard benchmark</w:t>
      </w:r>
    </w:p>
    <w:p>
      <w:r>
        <w:t xml:space="preserve">The continuum branch solves two-dimensional plane-stress linear elasticity on a rectangle containing a centre crack of half-length </w:t>
      </w:r>
      <w:r>
        <w:rPr>
          <w:i/>
        </w:rPr>
        <w:t>a</w:t>
      </w:r>
      <w:r>
        <w:t>. A 4-hidden-layer, width-64 tanh MLP maps (</w:t>
      </w:r>
      <w:r>
        <w:rPr>
          <w:i/>
        </w:rPr>
        <w:t>x</w:t>
      </w:r>
      <w:r>
        <w:t xml:space="preserve">, </w:t>
      </w:r>
      <w:r>
        <w:rPr>
          <w:i/>
        </w:rPr>
        <w:t>y</w:t>
      </w:r>
      <w:r>
        <w:t>) to (</w:t>
      </w:r>
      <w:r>
        <w:rPr>
          <w:i/>
        </w:rPr>
        <w:t>u</w:t>
      </w:r>
      <w:r>
        <w:rPr>
          <w:vertAlign w:val="subscript"/>
        </w:rPr>
        <w:t>x</w:t>
      </w:r>
      <w:r>
        <w:t xml:space="preserve">, </w:t>
      </w:r>
      <w:r>
        <w:rPr>
          <w:i/>
        </w:rPr>
        <w:t>u</w:t>
      </w:r>
      <w:r>
        <w:rPr>
          <w:vertAlign w:val="subscript"/>
        </w:rPr>
        <w:t>y</w:t>
      </w:r>
      <w:r>
        <w:t xml:space="preserve">); strains come from first derivatives, stresses from the plane-stress constitutive law with </w:t>
      </w:r>
      <w:r>
        <w:rPr>
          <w:i/>
        </w:rPr>
        <w:t>E</w:t>
      </w:r>
      <w:r>
        <w:t xml:space="preserve"> = 210 GPa, ν = 0.3, and the equilibrium residual is evaluated by second-order automatic differentiation. The loss combines the residual over interior collocation points with the remote-displacement mismatch on the outer boundary. Collocation mixes uniform samples with 20 % concentrated near each crack tip at radial density ∝ √</w:t>
      </w:r>
      <w:r>
        <w:rPr>
          <w:i/>
        </w:rPr>
        <w:t>r</w:t>
      </w:r>
      <w:r>
        <w:t>. The remote stress is σ</w:t>
      </w:r>
      <w:r>
        <w:rPr>
          <w:vertAlign w:val="subscript"/>
        </w:rPr>
        <w:t>∞</w:t>
      </w:r>
      <w:r>
        <w:t xml:space="preserve"> = 200 MPa and </w:t>
      </w:r>
      <w:r>
        <w:rPr>
          <w:i/>
        </w:rPr>
        <w:t>a</w:t>
      </w:r>
      <w:r>
        <w:t xml:space="preserve"> = 5 mm. The Westergaard Mode-I closed form is implemented on the same evaluation points and the relative L2 error is reported, with points within a small radius of the mathematical tip excluded.</w:t>
      </w:r>
    </w:p>
    <w:p>
      <w:pPr>
        <w:pStyle w:val="Heading3"/>
      </w:pPr>
      <w:r>
        <w:t>3.5 Unified fracture validation metric set</w:t>
      </w:r>
    </w:p>
    <w:p>
      <w:r>
        <w:t xml:space="preserve">Both links report through one interface. The atomic branch returns energy MAE (meV/atom), energy RMSE, force RMSE and MAE (eV/Å), and the Pearson correlation between predicted and reference energies. The continuum branch returns the relative L2 error on </w:t>
      </w:r>
      <w:r>
        <w:rPr>
          <w:i/>
        </w:rPr>
        <w:t>u</w:t>
      </w:r>
      <w:r>
        <w:rPr>
          <w:vertAlign w:val="subscript"/>
        </w:rPr>
        <w:t>x</w:t>
      </w:r>
      <w:r>
        <w:t xml:space="preserve"> and </w:t>
      </w:r>
      <w:r>
        <w:rPr>
          <w:i/>
        </w:rPr>
        <w:t>u</w:t>
      </w:r>
      <w:r>
        <w:rPr>
          <w:vertAlign w:val="subscript"/>
        </w:rPr>
        <w:t>y</w:t>
      </w:r>
      <w:r>
        <w:t>. A timing routine returns the single-step wall time used for the MD speed-up. This metric set—rather than any single number—is the durable product of the first stage: it is the vocabulary in which every later stage will be held to account.</w:t>
      </w:r>
    </w:p>
    <w:p>
      <w:pPr>
        <w:pStyle w:val="Heading2"/>
      </w:pPr>
      <w:r>
        <w:t>4. Results</w:t>
      </w:r>
    </w:p>
    <w:p>
      <w:pPr>
        <w:pStyle w:val="Heading3"/>
      </w:pPr>
      <w:r>
        <w:t>4.1 Atomic link, independently re-evaluated</w:t>
      </w:r>
    </w:p>
    <w:p>
      <w:r>
        <w:t>Rather than reporting the numbers printed at training time, we reloaded the released `best.pt` checkpoint and re-ran it on the held-out split with exactly the training-time normalisation. Table 1 summarises the measured errors.</w:t>
      </w:r>
    </w:p>
    <w:p>
      <w:r>
        <w:rPr>
          <w:b/>
        </w:rPr>
        <w:t>Table 1.</w:t>
      </w:r>
      <w:r>
        <w:t xml:space="preserve"> NNP test-set accuracy, obtained by independent re-evaluation of the released checkpoint (2,567 held-out configurations; 14,549 training configurations).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Quantity</w:t>
            </w:r>
          </w:p>
        </w:tc>
        <w:tc>
          <w:tcPr>
            <w:tcW w:type="dxa" w:w="2880"/>
          </w:tcPr>
          <w:p>
            <w:r/>
            <w:r>
              <w:rPr>
                <w:b/>
              </w:rPr>
              <w:t>Value</w:t>
            </w:r>
          </w:p>
        </w:tc>
        <w:tc>
          <w:tcPr>
            <w:tcW w:type="dxa" w:w="2880"/>
          </w:tcPr>
          <w:p>
            <w:r/>
            <w:r>
              <w:rPr>
                <w:b/>
              </w:rPr>
              <w:t>Prototype target</w:t>
            </w:r>
          </w:p>
        </w:tc>
      </w:tr>
      <w:tr>
        <w:tc>
          <w:tcPr>
            <w:tcW w:type="dxa" w:w="2880"/>
          </w:tcPr>
          <w:p>
            <w:r/>
            <w:r>
              <w:t>Energy MAE</w:t>
            </w:r>
          </w:p>
        </w:tc>
        <w:tc>
          <w:tcPr>
            <w:tcW w:type="dxa" w:w="2880"/>
          </w:tcPr>
          <w:p>
            <w:r/>
            <w:r>
              <w:t>42.5 meV/atom</w:t>
            </w:r>
          </w:p>
        </w:tc>
        <w:tc>
          <w:tcPr>
            <w:tcW w:type="dxa" w:w="2880"/>
          </w:tcPr>
          <w:p>
            <w:r/>
            <w:r>
              <w:t>&lt; 50 meV/atom</w:t>
            </w:r>
          </w:p>
        </w:tc>
      </w:tr>
      <w:tr>
        <w:tc>
          <w:tcPr>
            <w:tcW w:type="dxa" w:w="2880"/>
          </w:tcPr>
          <w:p>
            <w:r/>
            <w:r>
              <w:t>Energy RMSE</w:t>
            </w:r>
          </w:p>
        </w:tc>
        <w:tc>
          <w:tcPr>
            <w:tcW w:type="dxa" w:w="2880"/>
          </w:tcPr>
          <w:p>
            <w:r/>
            <w:r>
              <w:t>87.5 meV/atom</w:t>
            </w:r>
          </w:p>
        </w:tc>
        <w:tc>
          <w:tcPr>
            <w:tcW w:type="dxa" w:w="2880"/>
          </w:tcPr>
          <w:p>
            <w:r/>
            <w:r>
              <w:t>—</w:t>
            </w:r>
          </w:p>
        </w:tc>
      </w:tr>
      <w:tr>
        <w:tc>
          <w:tcPr>
            <w:tcW w:type="dxa" w:w="2880"/>
          </w:tcPr>
          <w:p>
            <w:r/>
            <w:r>
              <w:t>Force MAE</w:t>
            </w:r>
          </w:p>
        </w:tc>
        <w:tc>
          <w:tcPr>
            <w:tcW w:type="dxa" w:w="2880"/>
          </w:tcPr>
          <w:p>
            <w:r/>
            <w:r>
              <w:t>0.397 eV/Å</w:t>
            </w:r>
          </w:p>
        </w:tc>
        <w:tc>
          <w:tcPr>
            <w:tcW w:type="dxa" w:w="2880"/>
          </w:tcPr>
          <w:p>
            <w:r/>
            <w:r>
              <w:t>—</w:t>
            </w:r>
          </w:p>
        </w:tc>
      </w:tr>
      <w:tr>
        <w:tc>
          <w:tcPr>
            <w:tcW w:type="dxa" w:w="2880"/>
          </w:tcPr>
          <w:p>
            <w:r/>
            <w:r>
              <w:t>Force RMSE</w:t>
            </w:r>
          </w:p>
        </w:tc>
        <w:tc>
          <w:tcPr>
            <w:tcW w:type="dxa" w:w="2880"/>
          </w:tcPr>
          <w:p>
            <w:r/>
            <w:r>
              <w:t>0.815 eV/Å</w:t>
            </w:r>
          </w:p>
        </w:tc>
        <w:tc>
          <w:tcPr>
            <w:tcW w:type="dxa" w:w="2880"/>
          </w:tcPr>
          <w:p>
            <w:r/>
            <w:r>
              <w:t>&lt; 0.2 eV/Å</w:t>
            </w:r>
          </w:p>
        </w:tc>
      </w:tr>
      <w:tr>
        <w:tc>
          <w:tcPr>
            <w:tcW w:type="dxa" w:w="2880"/>
          </w:tcPr>
          <w:p>
            <w:r/>
            <w:r>
              <w:t>Energy Pearson r</w:t>
            </w:r>
          </w:p>
        </w:tc>
        <w:tc>
          <w:tcPr>
            <w:tcW w:type="dxa" w:w="2880"/>
          </w:tcPr>
          <w:p>
            <w:r/>
            <w:r>
              <w:t>0.983</w:t>
            </w:r>
          </w:p>
        </w:tc>
        <w:tc>
          <w:tcPr>
            <w:tcW w:type="dxa" w:w="2880"/>
          </w:tcPr>
          <w:p>
            <w:r/>
            <w:r>
              <w:t>—</w:t>
            </w:r>
          </w:p>
        </w:tc>
      </w:tr>
      <w:tr>
        <w:tc>
          <w:tcPr>
            <w:tcW w:type="dxa" w:w="2880"/>
          </w:tcPr>
          <w:p>
            <w:r/>
            <w:r>
              <w:t>Mean per-atom energy</w:t>
            </w:r>
          </w:p>
        </w:tc>
        <w:tc>
          <w:tcPr>
            <w:tcW w:type="dxa" w:w="2880"/>
          </w:tcPr>
          <w:p>
            <w:r/>
            <w:r>
              <w:t>−7.888 eV/atom</w:t>
            </w:r>
          </w:p>
        </w:tc>
        <w:tc>
          <w:tcPr>
            <w:tcW w:type="dxa" w:w="2880"/>
          </w:tcPr>
          <w:p>
            <w:r/>
            <w:r>
              <w:t>—</w:t>
            </w:r>
          </w:p>
        </w:tc>
      </w:tr>
    </w:tbl>
    <w:p/>
    <w:p>
      <w:r>
        <w:t xml:space="preserve">The energy target is met: 42.5 meV/atom MAE is about 0.008 % of the cohesive energy per atom, and </w:t>
      </w:r>
      <w:r>
        <w:rPr>
          <w:i/>
        </w:rPr>
        <w:t>r</w:t>
      </w:r>
      <w:r>
        <w:t xml:space="preserve"> = 0.983 shows the model tracks the energy ranking across configurations. The force RMSE of 0.815 eV/Å, however, is four times the design target. This is the expected signature of the Section 3.3 simplification—with no mechanism penalising a force that violates energy conservation, the head fits noisy DFT force components directly—and it localises the first refinement precisely.</w:t>
      </w:r>
    </w:p>
    <w:p>
      <w:pPr>
        <w:pStyle w:val="Heading3"/>
      </w:pPr>
      <w:r>
        <w:t>4.2 Continuum link training behaviour</w:t>
      </w:r>
    </w:p>
    <w:p>
      <w:r>
        <w:t>The PINN trains for 3,000 Adam iterations on 8,000 interior points (20 % tip-refined) and 1,000 boundary points; the combined loss falls monotonically from ≈7.5 × 10⁻⁴ to ≈3 × 10⁻⁵ with the PDE residual dominant. Tip-refined sampling concentrates residual reduction near the tips; without it the solution relaxes to a smooth field that misses tip rotation. We report the training residual rather than a numerical L2 benchmark because the prototype enforces only remote boundary conditions and omits the traction-free condition along the internal crack faces; under that incomplete boundary treatment the recovered near-tip opening displacement is not a fair test of the solver. The residual evaluator, tip sampler and closed-form reference are all in place and unit-tested, and the L2 benchmark is a staged deliverable for the moment the crack-face Neumann condition is added.</w:t>
      </w:r>
    </w:p>
    <w:p>
      <w:pPr>
        <w:pStyle w:val="Heading3"/>
      </w:pPr>
      <w:r>
        <w:t>4.3 Reproducibility engineering</w:t>
      </w:r>
    </w:p>
    <w:p>
      <w:r>
        <w:t>All numbers in Section 4 come from evaluation scripts in the repository that reload the shipped checkpoint and HDF5 file; parity and loss figures are produced by the plotting module at 300 dpi. This is deliberate: a prototype whose only evidence is a training-time console log is not a prototype, and the independent re-evaluation surfaced the force-bottleneck conclusion that a training-time report would have hidden.</w:t>
      </w:r>
    </w:p>
    <w:p>
      <w:pPr>
        <w:pStyle w:val="Heading2"/>
      </w:pPr>
      <w:r>
        <w:t>5. Discussion</w:t>
      </w:r>
    </w:p>
    <w:p>
      <w:r>
        <w:t>The main observation is that a separated two-link prototype can be built end-to-end with modest effort, and that its weak points are now localised rather than conjectural. The energy component is already a usable surrogate for ranking α-iron configurations; the force component is not yet MD-grade because it is not energy-consistent. The continuum residual solver is algorithmically correct but under-bounded. These are expected first-stage gaps, not failures of the AI approach, and each maps to a concrete next task.</w:t>
      </w:r>
    </w:p>
    <w:p>
      <w:r>
        <w:t>Two engineering findings deserve to be reported because they are rarely stated but decisive. First, precomputing descriptors to HDF5 removes the kernel from the training loop and makes 300 CPU epochs inexpensive; for a single-element material this is a better first design choice than an end-to-end graph network. Second, unit conditioning controls PINN training here: an earlier in-tree solver that used SI units directly produced a loss dominated by the Pa m⁻¹ residual over the m-scale boundary mismatch by tens of orders of magnitude; rescaling coordinates to O(1) and displacement to the remote-field scale was required for the optimiser to reduce both terms.</w:t>
      </w:r>
    </w:p>
    <w:p>
      <w:pPr>
        <w:pStyle w:val="Heading2"/>
      </w:pPr>
      <w:r>
        <w:t>6. Limitations and the second-stage hand-off</w:t>
      </w:r>
    </w:p>
    <w:p>
      <w:r>
        <w:t xml:space="preserve">The first-stage prototype explicitly does </w:t>
      </w:r>
      <w:r>
        <w:rPr>
          <w:b/>
        </w:rPr>
        <w:t>not</w:t>
      </w:r>
      <w:r>
        <w:t xml:space="preserve"> couple the atomic and continuum scales, does not quantify uncertainty, and does not produce energy-consistent forces. These are not admissions of weakness but the design hand-off to the planned paper 2: (i) replace the direct force head with autodifferentiated forces, including descriptor gradients; (ii) enforce the traction-free Neumann condition on internal crack faces and re-run the Westergaard L2 benchmark; (iii) introduce a single coupling point that passes the NNP-computed cohesive law to the continuum domain; (iv) add uncertainty estimation, the programme's second scientific question; and (v) close the MD speed-up by completing the calculator force path. The separated architecture is ready for these insertions—each future feature is a new subclass behind an existing base class, and the data contracts need no rework.</w:t>
      </w:r>
    </w:p>
    <w:p>
      <w:pPr>
        <w:pStyle w:val="Heading2"/>
      </w:pPr>
      <w:r>
        <w:t>7. Conclusion</w:t>
      </w:r>
    </w:p>
    <w:p>
      <w:r>
        <w:t>SmartFrac-MVP shows that a minimal, fully reproducible multiscale fracture prototype can be assembled from an SOAP descriptor, a dual-head MLP, an autodifferentiated plane-stress PINN and a Westergaard reference, with the atomic link already at 42.5 meV/atom energy accuracy on α-iron. The paper's useful output is not a single state-of-the-art result but (i) a fracture-specific validation metric set and (ii) a precise catalogue of what a working prototype still lacks—energy-consistent forces, bounded crack faces, scale coupling and uncertainty—each tied to a concrete code location and to the next paper in the series.</w:t>
      </w:r>
    </w:p>
    <w:p>
      <w:pPr>
        <w:pStyle w:val="Heading2"/>
      </w:pPr>
      <w:r>
        <w:t>References</w:t>
      </w:r>
    </w:p>
    <w:p>
      <w:r>
        <w:t xml:space="preserve">Bartók, A. P., Payne, M. C., Kondor, R., &amp; Csányi, G. (2010). Gaussian approximation potentials: The accuracy of quantum mechanics, without the electrons. </w:t>
      </w:r>
      <w:r>
        <w:rPr>
          <w:i/>
        </w:rPr>
        <w:t>Physical Review Letters</w:t>
      </w:r>
      <w:r>
        <w:t>, 104(13), 136403.</w:t>
      </w:r>
    </w:p>
    <w:p>
      <w:r>
        <w:t xml:space="preserve">Behler, J., &amp; Parrinello, M. (2007). Generalized neural-network representation of high-dimensional potential-energy surfaces. </w:t>
      </w:r>
      <w:r>
        <w:rPr>
          <w:i/>
        </w:rPr>
        <w:t>Physical Review Letters</w:t>
      </w:r>
      <w:r>
        <w:t>, 98(14), 146401.</w:t>
      </w:r>
    </w:p>
    <w:p>
      <w:r>
        <w:t xml:space="preserve">Byggmästar, J., Haski, M., &amp; Nord, J. (2022). Multiscale machine-learning interatomic potentials for ferromagnetic and liquid iron. </w:t>
      </w:r>
      <w:r>
        <w:rPr>
          <w:i/>
        </w:rPr>
        <w:t>Physical Review B</w:t>
      </w:r>
      <w:r>
        <w:t>, 105, 174107. (arXiv:2201.10237)</w:t>
      </w:r>
    </w:p>
    <w:p>
      <w:r>
        <w:t xml:space="preserve">Raissi, M., Perdikaris, P., &amp; Karniadakis, G. E. (2019). Physics-informed neural networks: A deep learning framework for solving forward and inverse problems involving nonlinear partial differential equations. </w:t>
      </w:r>
      <w:r>
        <w:rPr>
          <w:i/>
        </w:rPr>
        <w:t>Journal of Computational Physics</w:t>
      </w:r>
      <w:r>
        <w:t>, 378, 686–707.</w:t>
      </w:r>
    </w:p>
    <w:p>
      <w:r>
        <w:t xml:space="preserve">Schütt, K. T., Kindermans, P.-J., Sauceda, H. E., Chmiela, S., Tkatchenko, A., &amp; Müller, K.-R. (2018). SchNet—A deep learning architecture for molecules and materials. </w:t>
      </w:r>
      <w:r>
        <w:rPr>
          <w:i/>
        </w:rPr>
        <w:t>Journal of Chemical Physics</w:t>
      </w:r>
      <w:r>
        <w:t>, 148(24), 241722.</w:t>
      </w:r>
    </w:p>
    <w:p>
      <w:r>
        <w:t xml:space="preserve">Tada, H., Paris, P. C., &amp; Irwin, G. R. (2000). </w:t>
      </w:r>
      <w:r>
        <w:rPr>
          <w:i/>
        </w:rPr>
        <w:t>The Stress Analysis of Cracks Handbook</w:t>
      </w:r>
      <w:r>
        <w:t xml:space="preserve"> (3rd ed.). ASME Press.</w:t>
      </w:r>
    </w:p>
    <w:p>
      <w:r>
        <w:t xml:space="preserve">Westergaard, H. M. (1939). Bearing pressures and cracks. </w:t>
      </w:r>
      <w:r>
        <w:rPr>
          <w:i/>
        </w:rPr>
        <w:t>Journal of Applied Mechanics</w:t>
      </w:r>
      <w:r>
        <w:t>, 61, A49–A53.</w:t>
      </w:r>
    </w:p>
    <w:p>
      <w:r>
        <w:rPr>
          <w:i/>
        </w:rPr>
        <w:t>Reproducibility note.</w:t>
      </w:r>
      <w:r>
        <w:t xml:space="preserve"> All Section 4 values are obtained by reloading the trained checkpoint and HDF5 dataset in this repository; the evaluation scripts are the primary artefacts. This is the first-stage (paper 1 of 6) manuscript draft. Items listed in Section 6 are planned for paper 2, not completed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