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多尺度AI断裂仿真最小原型：神经网络原子势与物理信息神经网络分离式架构（SmartFrac 第一阶段MVP）</w:t>
      </w:r>
    </w:p>
    <w:p>
      <w:r>
        <w:rPr>
          <w:b/>
        </w:rPr>
        <w:t>SmartFrac（智断仿真平台）——系列论文6篇之第1篇；第一阶段MVP（第1–12个月）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>——一个分四阶段、四版本迭代（MVP → V2.0β → V3.0 → V4.0）研究计划的首个交付物。该原型在尺度间</w:t>
      </w:r>
      <w:r>
        <w:rPr>
          <w:b/>
        </w:rPr>
        <w:t>刻意暂不耦合</w:t>
      </w:r>
      <w:r>
        <w:t xml:space="preserve">，而是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加密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明确指向本计划第二篇论文（层级知识迁移与物理约束不确定性量化）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计划围绕两个开放问题展开：其一，人工智能能否以可承受的计算成本求解多尺度断裂问题？其二，人工智能应如何改进统计断裂力学的概率描述，使其突破经典Weibull/最弱链理论物理机理薄弱的局限？SmartFrac以四年周期分阶段回答这两个问题：第一阶段论证两个尺度能否独立训练与验证——这是任何跨尺度耦合可被严肃讨论的最低前提；第二阶段引入层级知识迁移与物理约束的不确定性量化；后续阶段扩展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——神经网络原子势可以极小代价复现DFT能量与力（Behler与Parrinello，2007；Bartók等，2010）；物理信息神经网络则将平衡偏微分方程直接嵌入损失函数（Raissi等，2019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SmartFrac规划为六篇系列论文。本文为第1篇（方法+MVP原型，目标期刊《Computational Materials Science》）。第2篇将发展层级知识迁移耦合与物理约束不确定性量化引擎（目标《CMAME》）；第3篇将一体化开源平台作为软件工具论文（目标《SoftwareX》）；第4篇将给出准静态、疲劳与氢脆算例基准（目标《Engineering Fracture Mechanics》）；第5篇面向高强合金虚拟断裂测试（目标《Materials &amp; Design》）。因此本文严格自限：只论证可行性并定义指标集，将耦合、不确定性与多物理问题明确留给后续论文。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；SchNet等消息传递网络进一步提升数据效率（Schütt等，2018）。Byggmästar等发布了针对铁的专用数据库，在同一DFT集上比较了机器学习EAM与GAP模型（Byggmästar等，2022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均匀配点欠分辨，标准做法是局部加密或混合变量重构；Westergaard闭式解提供I型基准（Tada等，2000；Westergaard，1939）。本文连续介质分支实现了平面应力强形式残差与裂尖加密采样，但保持原型定位，尚未实现专门的裂纹面处理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3.11与PyTorch开发（开发机无NVIDIA GPU时回退CPU）。以下三条工程约定被强制执行，因为它们是后续耦合工作的承重假设。其一，所有模型继承统一的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参考数据为BCC α-铁的DFT数据集（XYZ格式），共18237个构型、188691个原子。每个构型经DScribe（Bartók等，2010）计算SOAP向量：元素{Fe}，截断半径4.0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原子模型为双头多层感知机，输入147维SOAP向量，遵循Behler–Parrinello将总能量分解为依赖局域环境的原子贡献之和的范式（Behler与Parrinello，2007）。能量头映射147 → 256 → 128 → 1（tanh隐层）输出每原子能量贡献；力头映射147 → 256 → 128 → 3输出笛卡尔力。构型总能量取各原子能量头输出的均值。在标准Behler–Parrinello形式下，总能量与原子力为</w:t>
      </w:r>
    </w:p>
    <w:p>
      <w:r>
        <w:t>&amp;nbsp;&amp;nbsp;&amp;nbsp;&amp;nbsp;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= Σ</w:t>
      </w:r>
      <w:r>
        <w:rPr>
          <w:vertAlign w:val="subscript"/>
        </w:rPr>
        <w:t>i</w:t>
      </w:r>
      <w:r>
        <w:t xml:space="preserve"> </w:t>
      </w:r>
      <w:r>
        <w:rPr>
          <w:i/>
        </w:rPr>
        <w:t>E</w:t>
      </w:r>
      <w:r>
        <w:rPr>
          <w:vertAlign w:val="subscript"/>
        </w:rPr>
        <w:t>i</w:t>
      </w:r>
      <w:r>
        <w:t>(</w:t>
      </w:r>
      <w:r>
        <w:rPr>
          <w:b/>
        </w:rPr>
        <w:t>d</w:t>
      </w:r>
      <w:r>
        <w:rPr>
          <w:vertAlign w:val="subscript"/>
        </w:rPr>
        <w:t>i</w:t>
      </w:r>
      <w:r>
        <w:t>)，</w:t>
      </w:r>
      <w:r>
        <w:rPr>
          <w:b/>
        </w:rPr>
        <w:t>F</w:t>
      </w:r>
      <w:r>
        <w:rPr>
          <w:vertAlign w:val="subscript"/>
        </w:rPr>
        <w:t>i</w:t>
      </w:r>
      <w:r>
        <w:t xml:space="preserve"> = − ∂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/ ∂</w:t>
      </w:r>
      <w:r>
        <w:rPr>
          <w:b/>
        </w:rPr>
        <w:t>r</w:t>
      </w:r>
      <w:r>
        <w:rPr>
          <w:vertAlign w:val="subscript"/>
        </w:rPr>
        <w:t>i</w:t>
      </w:r>
      <w:r>
        <w:t>，</w:t>
      </w:r>
    </w:p>
    <w:p>
      <w:r>
        <w:t xml:space="preserve">其中 </w:t>
      </w:r>
      <w:r>
        <w:rPr>
          <w:b/>
        </w:rPr>
        <w:t>d</w:t>
      </w:r>
      <w:r>
        <w:rPr>
          <w:vertAlign w:val="subscript"/>
        </w:rPr>
        <w:t>i</w:t>
      </w:r>
      <w:r>
        <w:t xml:space="preserve"> 为原子 </w:t>
      </w:r>
      <w:r>
        <w:rPr>
          <w:i/>
        </w:rPr>
        <w:t>i</w:t>
      </w:r>
      <w:r>
        <w:t xml:space="preserve"> 的SOAP向量。训练损失组合两个预测目标，</w:t>
      </w:r>
    </w:p>
    <w:p>
      <w:r>
        <w:t>&amp;nbsp;&amp;nbsp;&amp;nbsp;&amp;nbsp;</w:t>
      </w:r>
      <w:r>
        <w:rPr>
          <w:i/>
        </w:rPr>
        <w:t>L</w:t>
      </w:r>
      <w:r>
        <w:t xml:space="preserve"> = </w:t>
      </w:r>
      <w:r>
        <w:rPr>
          <w:i/>
        </w:rPr>
        <w:t>w</w:t>
      </w:r>
      <w:r>
        <w:rPr>
          <w:vertAlign w:val="subscript"/>
        </w:rPr>
        <w:t>E</w:t>
      </w:r>
      <w:r>
        <w:t xml:space="preserve"> · MAE(</w:t>
      </w:r>
      <w:r>
        <w:rPr>
          <w:i/>
        </w:rPr>
        <w:t>E</w:t>
      </w:r>
      <w:r>
        <w:rPr>
          <w:vertAlign w:val="subscript"/>
        </w:rPr>
        <w:t>pred</w:t>
      </w:r>
      <w:r>
        <w:t xml:space="preserve">, </w:t>
      </w:r>
      <w:r>
        <w:rPr>
          <w:i/>
        </w:rPr>
        <w:t>E</w:t>
      </w:r>
      <w:r>
        <w:rPr>
          <w:vertAlign w:val="subscript"/>
        </w:rPr>
        <w:t>ref</w:t>
      </w:r>
      <w:r>
        <w:t xml:space="preserve">) + </w:t>
      </w:r>
      <w:r>
        <w:rPr>
          <w:i/>
        </w:rPr>
        <w:t>w</w:t>
      </w:r>
      <w:r>
        <w:rPr>
          <w:vertAlign w:val="subscript"/>
        </w:rPr>
        <w:t>F</w:t>
      </w:r>
      <w:r>
        <w:t xml:space="preserve"> · RMSE(</w:t>
      </w:r>
      <w:r>
        <w:rPr>
          <w:b/>
        </w:rPr>
        <w:t>F</w:t>
      </w:r>
      <w:r>
        <w:rPr>
          <w:vertAlign w:val="subscript"/>
        </w:rPr>
        <w:t>pred</w:t>
      </w:r>
      <w:r>
        <w:t xml:space="preserve">, </w:t>
      </w:r>
      <w:r>
        <w:rPr>
          <w:b/>
        </w:rPr>
        <w:t>F</w:t>
      </w:r>
      <w:r>
        <w:rPr>
          <w:vertAlign w:val="subscript"/>
        </w:rPr>
        <w:t>ref</w:t>
      </w:r>
      <w:r>
        <w:t>)，</w:t>
      </w:r>
    </w:p>
    <w:p>
      <w:r>
        <w:t xml:space="preserve">取 </w:t>
      </w:r>
      <w:r>
        <w:rPr>
          <w:i/>
        </w:rPr>
        <w:t>w</w:t>
      </w:r>
      <w:r>
        <w:rPr>
          <w:vertAlign w:val="subscript"/>
        </w:rPr>
        <w:t>E</w:t>
      </w:r>
      <w:r>
        <w:t>=1、</w:t>
      </w:r>
      <w:r>
        <w:rPr>
          <w:i/>
        </w:rPr>
        <w:t>w</w:t>
      </w:r>
      <w:r>
        <w:rPr>
          <w:vertAlign w:val="subscript"/>
        </w:rPr>
        <w:t>F</w:t>
      </w:r>
      <w:r>
        <w:t>=10。训练采用Adam优化器，学习率2×10⁻³，余弦退火调度300轮，每原子批大小4096，梯度范数截断1.0。两个裂纹初始构型模板（二维中心裂纹板、三维单边缺口梁）由晶格常数2.8553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的矩形域上求解二维平面应力线弹性问题，采用将偏微分方程残差直接嵌入损失的物理信息神经网络范式（Raissi等，2019）。一个4隐层、宽64的tanh多层感知机将(x,y)映射到(u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)。应变、应力与平衡残差由自动微分求得，</w:t>
      </w:r>
    </w:p>
    <w:p>
      <w:r>
        <w:t>&amp;nbsp;&amp;nbsp;&amp;nbsp;&amp;nbsp;ε = sym(∇</w:t>
      </w:r>
      <w:r>
        <w:rPr>
          <w:b/>
        </w:rPr>
        <w:t>u</w:t>
      </w:r>
      <w:r>
        <w:t xml:space="preserve">)，σ = </w:t>
      </w:r>
      <w:r>
        <w:rPr>
          <w:i/>
        </w:rPr>
        <w:t>C</w:t>
      </w:r>
      <w:r>
        <w:t xml:space="preserve"> : ε，∇·σ = 0，</w:t>
      </w:r>
    </w:p>
    <w:p>
      <w:r>
        <w:t>损失为域内配点残差与外边界远场位移失配之和。中心裂纹受远场拉伸时，I型应力强度因子为</w:t>
      </w:r>
    </w:p>
    <w:p>
      <w:r>
        <w:t>&amp;nbsp;&amp;nbsp;&amp;nbsp;&amp;nbsp;</w:t>
      </w:r>
      <w:r>
        <w:rPr>
          <w:i/>
        </w:rPr>
        <w:t>K</w:t>
      </w:r>
      <w:r>
        <w:rPr>
          <w:vertAlign w:val="subscript"/>
        </w:rPr>
        <w:t>I</w:t>
      </w:r>
      <w:r>
        <w:t xml:space="preserve"> = σ</w:t>
      </w:r>
      <w:r>
        <w:rPr>
          <w:vertAlign w:val="subscript"/>
        </w:rPr>
        <w:t>∞</w:t>
      </w:r>
      <w:r>
        <w:t xml:space="preserve"> √(π</w:t>
      </w:r>
      <w:r>
        <w:rPr>
          <w:i/>
        </w:rPr>
        <w:t>a</w:t>
      </w:r>
      <w:r>
        <w:t>)，</w:t>
      </w:r>
    </w:p>
    <w:p>
      <w:r>
        <w:t xml:space="preserve">它刻画了裂尖场的渐近尺度，也是裂尖加密采样的目标。配点在全域均匀采样之外，于每个裂尖附近按径向密度 </w:t>
      </w:r>
      <w:r>
        <w:rPr>
          <w:i/>
        </w:rPr>
        <w:t>p</w:t>
      </w:r>
      <w:r>
        <w:t>(</w:t>
      </w:r>
      <w:r>
        <w:rPr>
          <w:i/>
        </w:rPr>
        <w:t>r</w:t>
      </w:r>
      <w:r>
        <w:t>) ∝ √</w:t>
      </w:r>
      <w:r>
        <w:rPr>
          <w:i/>
        </w:rPr>
        <w:t>r</w:t>
      </w:r>
      <w:r>
        <w:t xml:space="preserve"> 加密20%。远场应力 σ</w:t>
      </w:r>
      <w:r>
        <w:rPr>
          <w:vertAlign w:val="subscript"/>
        </w:rPr>
        <w:t>∞</w:t>
      </w:r>
      <w:r>
        <w:t>=200 MPa，裂纹半长 a=5 mm。Westergaard I型闭式解（Westergaard，1939；Tada等，2000）在同一评估点上实现，报告相对L2误差，</w:t>
      </w:r>
    </w:p>
    <w:p>
      <w:r>
        <w:t>&amp;nbsp;&amp;nbsp;&amp;nbsp;&amp;nbsp;L2 = ‖</w:t>
      </w:r>
      <w:r>
        <w:rPr>
          <w:b/>
        </w:rPr>
        <w:t>u</w:t>
      </w:r>
      <w:r>
        <w:rPr>
          <w:vertAlign w:val="subscript"/>
        </w:rPr>
        <w:t>PINN</w:t>
      </w:r>
      <w:r>
        <w:t xml:space="preserve"> − </w:t>
      </w:r>
      <w:r>
        <w:rPr>
          <w:b/>
        </w:rPr>
        <w:t>u</w:t>
      </w:r>
      <w:r>
        <w:rPr>
          <w:vertAlign w:val="subscript"/>
        </w:rPr>
        <w:t>ref</w:t>
      </w:r>
      <w:r>
        <w:t>‖₂ / ‖</w:t>
      </w:r>
      <w:r>
        <w:rPr>
          <w:b/>
        </w:rPr>
        <w:t>u</w:t>
      </w:r>
      <w:r>
        <w:rPr>
          <w:vertAlign w:val="subscript"/>
        </w:rPr>
        <w:t>ref</w:t>
      </w:r>
      <w:r>
        <w:t>‖₂，</w:t>
      </w:r>
    </w:p>
    <w:p>
      <w:r>
        <w:t>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meV/atom的平均绝对误差约占每原子结合能的0.008%，r=0.983表明模型跨构型追踪能量排序。然而力均方根误差0.815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r>
        <w:t>为将本原型与已发表的机器学习铁势置于同一标尺下，表2列出若干代表性已报道精度。成熟、能量自洽的铁势通常达到个位数meV/atom的能量误差与0.05–0.2 eV/Å的力RMSE；本原型在能量上高出该区间约一个数量级，在力上差距更大。这一差距并不意外：它直接源于双头、非能量自洽的设计、未引入描述符自动微分，以及仅训练一轮且未做超参优化。对比所确立的是可行性——在17k构型的α-铁数据库上，整条管线端到端达到了meV/atom量级——而与成熟势的差距，正是第6节所列的后续工作。</w:t>
      </w:r>
    </w:p>
    <w:p>
      <w:r>
        <w:rPr>
          <w:b/>
        </w:rPr>
        <w:t>表2.</w:t>
      </w:r>
      <w:r>
        <w:t xml:space="preserve"> 代表性机器学习铁势精度与本原型对比。能量与力误差按原文报告值列出；平均绝对误差（MAE）与均方根误差（RMSE）分别标注。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文献</w:t>
            </w:r>
          </w:p>
        </w:tc>
      </w:tr>
      <w:tr>
        <w:tc>
          <w:tcPr>
            <w:tcW w:type="dxa" w:w="2160"/>
          </w:tcPr>
          <w:p>
            <w:r/>
            <w:r>
              <w:t>本工作（MVP，双头）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 eV/Å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 eV/Å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n2p2 Fe NNP（前作）</w:t>
            </w:r>
          </w:p>
        </w:tc>
        <w:tc>
          <w:tcPr>
            <w:tcW w:type="dxa" w:w="2160"/>
          </w:tcPr>
          <w:p>
            <w:r/>
            <w:r>
              <w:t>3.0 meV/atom RMSE</w:t>
            </w:r>
          </w:p>
        </w:tc>
        <w:tc>
          <w:tcPr>
            <w:tcW w:type="dxa" w:w="2160"/>
          </w:tcPr>
          <w:p>
            <w:r/>
            <w:r>
              <w:t>0.069 eV/Å</w:t>
            </w:r>
          </w:p>
        </w:tc>
        <w:tc>
          <w:tcPr>
            <w:tcW w:type="dxa" w:w="2160"/>
          </w:tcPr>
          <w:p>
            <w:r/>
            <w:r>
              <w:t>引自Zhang等（2023）</w:t>
            </w:r>
          </w:p>
        </w:tc>
      </w:tr>
      <w:tr>
        <w:tc>
          <w:tcPr>
            <w:tcW w:type="dxa" w:w="2160"/>
          </w:tcPr>
          <w:p>
            <w:r/>
            <w:r>
              <w:t>GAP，Fe–Cr–Ni合金</w:t>
            </w:r>
          </w:p>
        </w:tc>
        <w:tc>
          <w:tcPr>
            <w:tcW w:type="dxa" w:w="2160"/>
          </w:tcPr>
          <w:p>
            <w:r/>
            <w:r>
              <w:t>6 meV/atom（测试）</w:t>
            </w:r>
          </w:p>
        </w:tc>
        <w:tc>
          <w:tcPr>
            <w:tcW w:type="dxa" w:w="2160"/>
          </w:tcPr>
          <w:p>
            <w:r/>
            <w:r>
              <w:t>0.2–0.4 eV/Å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神经进化势（Fe–C–H）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 eV/Å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本文报告训练残差而非数值L2基准，因为原型仅施加远场边界条件、未在内部裂纹面施加无拉力条件；在该不完整边界处理下，恢复的近裂尖张开位移不足以公正检验求解器。残差求值器、裂尖采样器与闭式基准均已就位并通过单元测试，L2基准是裂纹面Neumann边界条件加入后的阶段性交付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局限与第二阶段交接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产生能量自洽的力。这些并非自曝其短，而是与规划第2篇论文的设计交接：(i) 以自动微分替换独立力头，包括描述符梯度；(ii) 在内部裂纹面施加无拉力Neumann条件并重跑Westergaard L2基准；(iii) 引入单一耦合点，将NNP计算的内聚律传递给连续介质域；(iv) 加入不确定性估计——本研究计划的第二个科学问题；(v) 补全计算器力路径以闭合MD加速比测量。分离式架构已为这些插入做好准备——每项未来功能都是既有基类下的新子类，数据契约无需重构。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SmartFrac-MVP表明：由SOAP描述符、双头MLP、自动微分平面应力PINN与Westergaard基准，可端到端搭建一个最小而完全可复现的多尺度断裂原型，原子链路在α-铁上能量精度已达42.5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一份精确列出可用原型尚缺什么的清单——能量自洽力、有界裂纹面、尺度耦合与不确定性——每一项都锚定到具体代码位置与系列中的下一篇论文。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Haski, M., &amp; Nord, J. (2022). Multiscale machine-learning interatomic potentials for ferromagnetic and liquid iron. </w:t>
      </w:r>
      <w:r>
        <w:rPr>
          <w:i/>
        </w:rPr>
        <w:t>Physical Review B</w:t>
      </w:r>
      <w:r>
        <w:t>, 105, 174107. (arXiv:2201.10237)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rPr>
          <w:i/>
        </w:rPr>
        <w:t>可复现性说明：第4节所有数值由本仓库重新加载训练后检查点与HDF5数据集得到；评估脚本为首要产物。本文为第一阶段（系列6篇之第1篇）初稿。第6节所列事项为第2篇规划内容，非已完成工作。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