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多尺度AI断裂仿真最小原型：神经网络原子势与物理信息神经网络分离式架构（SmartFrac 第一阶段MVP）</w:t>
      </w:r>
    </w:p>
    <w:p>
      <w:r>
        <w:rPr>
          <w:b/>
        </w:rPr>
        <w:t>SmartFrac（智断仿真平台）——系列论文6篇之第1篇；第一阶段MVP（第1–12个月）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>——一个分四阶段、四版本迭代（MVP → V2.0β → V3.0 → V4.0）研究计划的首个交付物。该原型在尺度间</w:t>
      </w:r>
      <w:r>
        <w:rPr>
          <w:b/>
        </w:rPr>
        <w:t>刻意暂不耦合</w:t>
      </w:r>
      <w:r>
        <w:t xml:space="preserve">，而是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明确指向本计划第二篇论文（层级知识迁移与物理约束不确定性量化）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计划围绕两个开放问题展开：其一，人工智能能否以可承受的计算成本求解多尺度断裂问题？其二，人工智能应如何改进统计断裂力学的概率描述，使其突破经典Weibull/最弱链理论物理机理薄弱的局限？SmartFrac以四年周期分阶段回答这两个问题：第一阶段论证两个尺度能否独立训练与验证——这是任何跨尺度耦合可被严肃讨论的最低前提；第二阶段引入层级知识迁移与物理约束的不确定性量化；后续阶段扩展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：神经网络原子势可以极小代价复现DFT能量与力，该领域已从早期的Behler–Parrinello对称函数网络（Behler与Parrinello，2007）与高斯近似势（Bartók等，2010），发展到保对称深度势（Zhang等，2018）、消息传递架构（Schütt等，2018）、等变图网络（Batzner等，2022；Batatia等，2022）与进化策略势（Fan等，2021），综述见Unke等（2021）与Behler（2021）。物理信息神经网络则将平衡偏微分方程直接嵌入损失函数（Raissi等，2019；Karniadakis等，2021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SmartFrac规划为六篇系列论文。本文为第1篇（方法+MVP原型，目标期刊《Computational Materials Science》）。第2篇将发展层级知识迁移耦合与物理约束不确定性量化引擎（目标《CMAME》）；第3篇将一体化开源平台作为软件工具论文（目标《SoftwareX》）；第4篇将给出准静态、疲劳与氢脆算例基准（目标《Engineering Fracture Mechanics》）；第5篇面向高强合金虚拟断裂测试（目标《Materials &amp; Design》）。因此本文严格自限：只论证可行性并定义指标集，将耦合、不确定性与多物理问题明确留给后续论文。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。后续发展包括保对称深度势（Zhang等，2018）、SchNet型连续滤波卷积（Schütt等，2018）、E(3)-等变网络（Batzner等，2022；Batatia等，2022）以及NEP等进化策略势（Fan等，2021）；综述见Unke等（2021）与Behler（2021）。Byggmästar等发布了针对铁的专用数据库，在同一DFT集上比较了机器学习EAM与GAP模型（Byggmästar等，2022）；近年面向Fe的专用势已达个位数meV/atom精度（Zhang等，2023；Meng等，2025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3.11与PyTorch开发，原子结构处理使用ASE（Larsen等，2017），SOAP描述符使用DScribe（Himanen等，2020）；开发机无NVIDIA GPU，训练在CPU上完成。以下三条工程约定被强制执行，因为它们是后续耦合工作的承重假设。其一，所有模型继承统一的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yggmästar等（2022）公开发布的BCC与液态铁DFT数据库，XYZ格式，共18237个构型、188691个原子。原作者构建该库用于训练并比较四种铁原子间势（ML-EAM、ML-EAM+3b及基于SOAP的GAP），并作为社区基准公开发布。由于BCC铁为铁磁体，底层DFT计算为自旋极化；交换关联泛函、平面波截断能与k点网格等参考计算细节见原文（Byggmästar等，2022），我们不重复任何DFT计算，原样采用其发布的能量与力，仅施加下文所述的物理过滤。将训练数据追溯至这一同行评审公开库，是表1原子链路各指标可对照已发表来源复现的前提，而非基于自建数据集。每个构型经DScribe（Himanen等，2020；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MVP阶段未单独划分验证集，超参数事先固定，独立测试集仅在第4节复算时使用一次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3输出笛卡尔力。构型总能量取各原子能量头输出的均值。在标准Behler–Parrinello形式下，总能量与原子力为</w:t>
      </w:r>
    </w:p>
    <w:p>
      <w:r>
        <w:t>&amp;nbsp;&amp;nbsp;&amp;nbsp;&amp;nbsp;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= Σ</w:t>
      </w:r>
      <w:r>
        <w:rPr>
          <w:vertAlign w:val="subscript"/>
        </w:rPr>
        <w:t>i</w:t>
      </w:r>
      <w:r>
        <w:t xml:space="preserve"> </w:t>
      </w:r>
      <w:r>
        <w:rPr>
          <w:i/>
        </w:rPr>
        <w:t>E</w:t>
      </w:r>
      <w:r>
        <w:rPr>
          <w:vertAlign w:val="subscript"/>
        </w:rPr>
        <w:t>i</w:t>
      </w:r>
      <w:r>
        <w:t>(</w:t>
      </w:r>
      <w:r>
        <w:rPr>
          <w:b/>
        </w:rPr>
        <w:t>d</w:t>
      </w:r>
      <w:r>
        <w:rPr>
          <w:vertAlign w:val="subscript"/>
        </w:rPr>
        <w:t>i</w:t>
      </w:r>
      <w:r>
        <w:t>)，</w:t>
      </w:r>
      <w:r>
        <w:rPr>
          <w:b/>
        </w:rPr>
        <w:t>F</w:t>
      </w:r>
      <w:r>
        <w:rPr>
          <w:vertAlign w:val="subscript"/>
        </w:rPr>
        <w:t>i</w:t>
      </w:r>
      <w:r>
        <w:t xml:space="preserve"> = − ∂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/ ∂</w:t>
      </w:r>
      <w:r>
        <w:rPr>
          <w:b/>
        </w:rPr>
        <w:t>r</w:t>
      </w:r>
      <w:r>
        <w:rPr>
          <w:vertAlign w:val="subscript"/>
        </w:rPr>
        <w:t>i</w:t>
      </w:r>
      <w:r>
        <w:t>，</w:t>
      </w:r>
    </w:p>
    <w:p>
      <w:r>
        <w:t xml:space="preserve">其中 </w:t>
      </w:r>
      <w:r>
        <w:rPr>
          <w:b/>
        </w:rPr>
        <w:t>d</w:t>
      </w:r>
      <w:r>
        <w:rPr>
          <w:vertAlign w:val="subscript"/>
        </w:rPr>
        <w:t>i</w:t>
      </w:r>
      <w:r>
        <w:t xml:space="preserve"> 为原子 </w:t>
      </w:r>
      <w:r>
        <w:rPr>
          <w:i/>
        </w:rPr>
        <w:t>i</w:t>
      </w:r>
      <w:r>
        <w:t xml:space="preserve"> 的SOAP向量。训练损失组合两个预测目标，</w:t>
      </w:r>
    </w:p>
    <w:p>
      <w:r>
        <w:t>&amp;nbsp;&amp;nbsp;&amp;nbsp;&amp;nbsp;</w:t>
      </w:r>
      <w:r>
        <w:rPr>
          <w:i/>
        </w:rPr>
        <w:t>L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E</w:t>
      </w:r>
      <w:r>
        <w:t xml:space="preserve"> · MAE(</w:t>
      </w:r>
      <w:r>
        <w:rPr>
          <w:i/>
        </w:rPr>
        <w:t>E</w:t>
      </w:r>
      <w:r>
        <w:rPr>
          <w:vertAlign w:val="subscript"/>
        </w:rPr>
        <w:t>pred</w:t>
      </w:r>
      <w:r>
        <w:t xml:space="preserve">, </w:t>
      </w:r>
      <w:r>
        <w:rPr>
          <w:i/>
        </w:rPr>
        <w:t>E</w:t>
      </w:r>
      <w:r>
        <w:rPr>
          <w:vertAlign w:val="subscript"/>
        </w:rPr>
        <w:t>ref</w:t>
      </w:r>
      <w:r>
        <w:t xml:space="preserve">) + </w:t>
      </w:r>
      <w:r>
        <w:rPr>
          <w:i/>
        </w:rPr>
        <w:t>w</w:t>
      </w:r>
      <w:r>
        <w:rPr>
          <w:vertAlign w:val="subscript"/>
        </w:rPr>
        <w:t>F</w:t>
      </w:r>
      <w:r>
        <w:t xml:space="preserve"> · RMSE(</w:t>
      </w:r>
      <w:r>
        <w:rPr>
          <w:b/>
        </w:rPr>
        <w:t>F</w:t>
      </w:r>
      <w:r>
        <w:rPr>
          <w:vertAlign w:val="subscript"/>
        </w:rPr>
        <w:t>pred</w:t>
      </w:r>
      <w:r>
        <w:t xml:space="preserve">, </w:t>
      </w:r>
      <w:r>
        <w:rPr>
          <w:b/>
        </w:rPr>
        <w:t>F</w:t>
      </w:r>
      <w:r>
        <w:rPr>
          <w:vertAlign w:val="subscript"/>
        </w:rPr>
        <w:t>ref</w:t>
      </w:r>
      <w:r>
        <w:t>)，</w:t>
      </w:r>
    </w:p>
    <w:p>
      <w:r>
        <w:t xml:space="preserve">取 </w:t>
      </w:r>
      <w:r>
        <w:rPr>
          <w:i/>
        </w:rPr>
        <w:t>w</w:t>
      </w:r>
      <w:r>
        <w:rPr>
          <w:vertAlign w:val="subscript"/>
        </w:rPr>
        <w:t>E</w:t>
      </w:r>
      <w:r>
        <w:t>=1、</w:t>
      </w:r>
      <w:r>
        <w:rPr>
          <w:i/>
        </w:rPr>
        <w:t>w</w:t>
      </w:r>
      <w:r>
        <w:rPr>
          <w:vertAlign w:val="subscript"/>
        </w:rPr>
        <w:t>F</w:t>
      </w:r>
      <w:r>
        <w:t>=10。训练采用Adam优化器，学习率2×10⁻³，余弦退火调度300轮，每原子批大小4096，梯度范数截断1.0。两个裂纹初始构型模板（二维中心裂纹板、三维单边缺口梁）由晶格常数2.8553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)。应变、应力与平衡残差由自动微分求得，</w:t>
      </w:r>
    </w:p>
    <w:p>
      <w:r>
        <w:t>&amp;nbsp;&amp;nbsp;&amp;nbsp;&amp;nbsp;ε = sym(∇</w:t>
      </w:r>
      <w:r>
        <w:rPr>
          <w:b/>
        </w:rPr>
        <w:t>u</w:t>
      </w:r>
      <w:r>
        <w:t xml:space="preserve">)，σ = </w:t>
      </w:r>
      <w:r>
        <w:rPr>
          <w:i/>
        </w:rPr>
        <w:t>C</w:t>
      </w:r>
      <w:r>
        <w:t xml:space="preserve"> : ε，∇·σ = 0，</w:t>
      </w:r>
    </w:p>
    <w:p>
      <w:r>
        <w:t>损失为域内配点残差与外边界远场位移失配之和。中心裂纹受远场拉伸时，I型应力强度因子为</w:t>
      </w:r>
    </w:p>
    <w:p>
      <w:r>
        <w:t>&amp;nbsp;&amp;nbsp;&amp;nbsp;&amp;nbsp;</w:t>
      </w:r>
      <w:r>
        <w:rPr>
          <w:i/>
        </w:rPr>
        <w:t>K</w:t>
      </w:r>
      <w:r>
        <w:rPr>
          <w:vertAlign w:val="subscript"/>
        </w:rPr>
        <w:t>I</w:t>
      </w:r>
      <w:r>
        <w:t xml:space="preserve"> = σ</w:t>
      </w:r>
      <w:r>
        <w:rPr>
          <w:vertAlign w:val="subscript"/>
        </w:rPr>
        <w:t>∞</w:t>
      </w:r>
      <w:r>
        <w:t xml:space="preserve"> √(π</w:t>
      </w:r>
      <w:r>
        <w:rPr>
          <w:i/>
        </w:rPr>
        <w:t>a</w:t>
      </w:r>
      <w:r>
        <w:t>)，</w:t>
      </w:r>
    </w:p>
    <w:p>
      <w:r>
        <w:t xml:space="preserve">它刻画了裂尖场的渐近尺度，也是裂尖加密采样的目标。配点在全域均匀采样之外，于每个裂尖附近按径向密度 </w:t>
      </w:r>
      <w:r>
        <w:rPr>
          <w:i/>
        </w:rPr>
        <w:t>p</w:t>
      </w:r>
      <w:r>
        <w:t>(</w:t>
      </w:r>
      <w:r>
        <w:rPr>
          <w:i/>
        </w:rPr>
        <w:t>r</w:t>
      </w:r>
      <w:r>
        <w:t>)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</w:t>
      </w:r>
    </w:p>
    <w:p>
      <w:r>
        <w:t>&amp;nbsp;&amp;nbsp;&amp;nbsp;&amp;nbsp;L2 = ‖</w:t>
      </w:r>
      <w:r>
        <w:rPr>
          <w:b/>
        </w:rPr>
        <w:t>u</w:t>
      </w:r>
      <w:r>
        <w:rPr>
          <w:vertAlign w:val="subscript"/>
        </w:rPr>
        <w:t>PINN</w:t>
      </w:r>
      <w:r>
        <w:t xml:space="preserve"> − </w:t>
      </w:r>
      <w:r>
        <w:rPr>
          <w:b/>
        </w:rPr>
        <w:t>u</w:t>
      </w:r>
      <w:r>
        <w:rPr>
          <w:vertAlign w:val="subscript"/>
        </w:rPr>
        <w:t>ref</w:t>
      </w:r>
      <w:r>
        <w:t>‖₂ / ‖</w:t>
      </w:r>
      <w:r>
        <w:rPr>
          <w:b/>
        </w:rPr>
        <w:t>u</w:t>
      </w:r>
      <w:r>
        <w:rPr>
          <w:vertAlign w:val="subscript"/>
        </w:rPr>
        <w:t>ref</w:t>
      </w:r>
      <w:r>
        <w:t>‖₂，</w:t>
      </w:r>
    </w:p>
    <w:p>
      <w:r>
        <w:t>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meV/atom的平均绝对误差约占α-Fe实验结合能（~4.3 eV/atom）的1%，r=0.983表明模型跨构型追踪能量排序。然而力均方根误差0.815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r>
        <w:t>为将本原型与已发表的机器学习铁势置于同一标尺下，表2列出若干代表性已报道精度。成熟、能量自洽的铁势通常达到个位数meV/atom的能量误差与0.05–0.2 eV/Å的力RMSE；本原型在能量上高出该区间约一个数量级，在力上差距更大。这一差距并不意外：它直接源于双头、非能量自洽的设计、未引入描述符自动微分，以及仅训练一轮且未做超参优化。对比所确立的是可行性——在17k构型的α-铁数据库上，整条管线端到端达到了meV/atom量级——而与成熟势的差距，正是第6节所列的后续工作。</w:t>
      </w:r>
    </w:p>
    <w:p>
      <w:r>
        <w:rPr>
          <w:b/>
        </w:rPr>
        <w:t>表2.</w:t>
      </w:r>
      <w:r>
        <w:t xml:space="preserve"> 代表性机器学习铁势精度与本原型对比。能量与力误差按原文报告值列出；平均绝对误差（MAE）与均方根误差（RMSE）分别标注。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文献</w:t>
            </w:r>
          </w:p>
        </w:tc>
      </w:tr>
      <w:tr>
        <w:tc>
          <w:tcPr>
            <w:tcW w:type="dxa" w:w="2160"/>
          </w:tcPr>
          <w:p>
            <w:r/>
            <w:r>
              <w:t>本工作（MVP，双头）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n2p2 Fe NNP（前作）</w:t>
            </w:r>
          </w:p>
        </w:tc>
        <w:tc>
          <w:tcPr>
            <w:tcW w:type="dxa" w:w="2160"/>
          </w:tcPr>
          <w:p>
            <w:r/>
            <w:r>
              <w:t>3.0 meV/atom RMSE</w:t>
            </w:r>
          </w:p>
        </w:tc>
        <w:tc>
          <w:tcPr>
            <w:tcW w:type="dxa" w:w="2160"/>
          </w:tcPr>
          <w:p>
            <w:r/>
            <w:r>
              <w:t>0.069 eV/Å</w:t>
            </w:r>
          </w:p>
        </w:tc>
        <w:tc>
          <w:tcPr>
            <w:tcW w:type="dxa" w:w="2160"/>
          </w:tcPr>
          <w:p>
            <w:r/>
            <w:r>
              <w:t>引自Zhang等（2023）</w:t>
            </w:r>
          </w:p>
        </w:tc>
      </w:tr>
      <w:tr>
        <w:tc>
          <w:tcPr>
            <w:tcW w:type="dxa" w:w="2160"/>
          </w:tcPr>
          <w:p>
            <w:r/>
            <w:r>
              <w:t>GAP，Fe–Cr–Ni合金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神经进化势（Fe–C–H）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NNP在2567个测试构型上的预测—参考每原子能量散点图（红色虚线：y=x）。数据云在整个能量区间（−8.3～−6.0 eV/atom）沿对角线分布，高应变高能构型处离散最大——与Zhang等（2023）报告的Fe NNP parity图形态一致。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训练损失随epoch变化（对数纵轴）。300轮余弦退火下损失从≈0.7单调下降至≈0.09，CPU训练曲线平稳良好。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图3在同一评估网格上比较了PINN预测位移场与Westergaard闭式解：</w:t>
      </w:r>
      <w:r>
        <w:rPr>
          <w:i/>
        </w:rPr>
        <w:t>u</w:t>
      </w:r>
      <w:r>
        <w:rPr>
          <w:vertAlign w:val="subscript"/>
        </w:rPr>
        <w:t>x</w:t>
      </w:r>
      <w:r>
        <w:t>与</w:t>
      </w:r>
      <w:r>
        <w:rPr>
          <w:i/>
        </w:rPr>
        <w:t>u</w:t>
      </w:r>
      <w:r>
        <w:rPr>
          <w:vertAlign w:val="subscript"/>
        </w:rPr>
        <w:t>y</w:t>
      </w:r>
      <w:r>
        <w:t>均呈现从裂尖发出的相同扇形瓣状结构，PINN复现了参考场的符号与对称性。由于原型未沿裂纹面施加无拉力条件，裂尖附近残差幅值仍有差异；但定性一致已证明PINN学到了正确的弹性解族。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MPa）。左列：Westergaard参考解；右列：PINN。上：*u*&lt;sub&gt;x&lt;/sub&gt;；下：*u*&lt;sub&gt;y&lt;/sub&gt;。裂尖附近的扇形瓣状结构被复现，证明PINN已学到正确的I型弹性场。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产生能量自洽的力。这些并非自曝其短，而是与规划第2篇论文的设计交接：(i) 以自动微分替换独立力头，包括描述符梯度；(ii) 在内部裂纹面施加无拉力Neumann条件并重跑Westergaard L2基准；(iii) 引入单一耦合点，将NNP计算的内聚律传递给连续介质域；(iv) 加入不确定性估计——本研究计划的第二个科学问题；(v)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SmartFrac-MVP表明：由SOAP描述符、双头MLP、自动微分平面应力PINN与Westergaard基准，可端到端搭建一个最小而完全可复现的多尺度断裂原型，原子链路在α-铁上能量精度已达42.5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一份精确列出可用原型尚缺什么的清单——能量自洽力、有界裂纹面、尺度耦合与不确定性——每一项都锚定到具体代码位置与系列中的下一篇论文。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Batatia, I., Kovács, D. P., Simm, G., Ortner, C., &amp; Csányi, G. (2022). MACE: Higher order equivariant message passing neural networks for fast and accurate force fields. </w:t>
      </w:r>
      <w:r>
        <w:rPr>
          <w:i/>
        </w:rPr>
        <w:t>Advances in Neural Information Processing Systems</w:t>
      </w:r>
      <w:r>
        <w:t>, 35, 11423–11436.</w:t>
      </w:r>
    </w:p>
    <w:p>
      <w:r>
        <w:t xml:space="preserve">Batzner, S., Musaelian, A., Sun, L., Geiger, M., Mailoa, J. P., Kornbluth, M., Molinari, N., Smidt, T. E., &amp; Kozinsky, B. (2022). E(3)-equivariant graph neural networks for data-efficient and accurate interatomic potentials. </w:t>
      </w:r>
      <w:r>
        <w:rPr>
          <w:i/>
        </w:rPr>
        <w:t>Nature Communications</w:t>
      </w:r>
      <w:r>
        <w:t>, 13, 2453.</w:t>
      </w:r>
    </w:p>
    <w:p>
      <w:r>
        <w:t xml:space="preserve">Behler, J. (2021). Four generations of high-dimensional neural network potentials. </w:t>
      </w:r>
      <w:r>
        <w:rPr>
          <w:i/>
        </w:rPr>
        <w:t>Chemical Reviews</w:t>
      </w:r>
      <w:r>
        <w:t>, 121(16), 10037–10076.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Nikoulis, G., Fellman, A., Granberg, F., Djurabekova, F., &amp; Nordlund, K. (2022). Multiscale machine-learning interatomic potentials for ferromagnetic and liquid iron. </w:t>
      </w:r>
      <w:r>
        <w:rPr>
          <w:i/>
        </w:rPr>
        <w:t>Journal of Physics: Condensed Matter</w:t>
      </w:r>
      <w:r>
        <w:t>, 34, 305402. (arXiv:2201.10237)</w:t>
      </w:r>
    </w:p>
    <w:p>
      <w:r>
        <w:t xml:space="preserve">Fan, Z., Dong, H., Ding, J., &amp; Wang, T. (2021). Neuroevolution machine learning potentials: Combining high accuracy and low cost in atomistic simulations and application to heat transport. </w:t>
      </w:r>
      <w:r>
        <w:rPr>
          <w:i/>
        </w:rPr>
        <w:t>Physical Review B</w:t>
      </w:r>
      <w:r>
        <w:t>, 104, 104309.</w:t>
      </w:r>
    </w:p>
    <w:p>
      <w:r>
        <w:t xml:space="preserve">Himanen, L., Jäger, M. O. J., Morooka, E. V., Federici Canova, F., Ranawat, Y. S., Gao, D. Z., Rinke, P., &amp; Foster, A. S. (2020). DScribe: Library of descriptors for machine learning in materials science. </w:t>
      </w:r>
      <w:r>
        <w:rPr>
          <w:i/>
        </w:rPr>
        <w:t>Computer Physics Communications</w:t>
      </w:r>
      <w:r>
        <w:t>, 247, 106949.</w:t>
      </w:r>
    </w:p>
    <w:p>
      <w:r>
        <w:t xml:space="preserve">Karniadakis, G. E., Kevrekidis, I. G., Lu, L., Perdikaris, P., Wang, S., &amp; Yang, L. (2021). Physics-informed machine learning. </w:t>
      </w:r>
      <w:r>
        <w:rPr>
          <w:i/>
        </w:rPr>
        <w:t>Nature Reviews Physics</w:t>
      </w:r>
      <w:r>
        <w:t>, 3(6), 422–440.</w:t>
      </w:r>
    </w:p>
    <w:p>
      <w:r>
        <w:t xml:space="preserve">Larsen, A. H., Mortensen, J. J., Blomqvist, J., Castelli, I. E., Christensen, R., Dulak, M., Friis, J., Groves, M. N., Hammer, B., … Jacobsen, K. W. (2017). The atomic simulation environment—A Python library for working with atoms. </w:t>
      </w:r>
      <w:r>
        <w:rPr>
          <w:i/>
        </w:rPr>
        <w:t>Journal of Physics: Condensed Matter</w:t>
      </w:r>
      <w:r>
        <w:t>, 29(27), 273002.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Unke, O. T., Chmiela, S., Sauceda, H. E., Gastegger, M., Poltavsky, I., Schütt, K. T., Tkatchenko, A., &amp; Müller, K.-R. (2021). Machine learning force fields. </w:t>
      </w:r>
      <w:r>
        <w:rPr>
          <w:i/>
        </w:rPr>
        <w:t>Chemical Reviews</w:t>
      </w:r>
      <w:r>
        <w:t>, 121(16), 10142–10186.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 xml:space="preserve">Zhang, L., Han, J., Wang, H., Car, R., &amp; E, W. (2018). Deep potential molecular dynamics: A scalable model with the accuracy of quantum mechanics. </w:t>
      </w:r>
      <w:r>
        <w:rPr>
          <w:i/>
        </w:rPr>
        <w:t>Physical Review Letters</w:t>
      </w:r>
      <w:r>
        <w:t>, 120(14), 143001.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rPr>
          <w:i/>
        </w:rPr>
        <w:t>可复现性说明：第4节所有数值由本仓库重新加载训练后检查点与HDF5数据集得到；评估脚本为首要产物。本文为第一阶段（系列6篇之第1篇）初稿。第6节所列事项为第2篇规划内容，非已完成工作。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