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complies with the EU-US Privacy Shield Framework and the Swiss—US Privacy Shield Framework (the </w:t>
      </w:r>
      <w:r>
        <w:rPr>
          <w:color w:val="#FFFFFF"/>
          <w:sz w:val="19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"Privacy Shield") regarding the collection, use,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sharing and retention of personal information from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the European Economic Area and Switzerland to the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United States, as described in our Privacy Shield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certification. Felix Smart adheres to the principles contained in the Privacy Shield (the "Principles").</w:t>
      </w:r>
    </w:p>
    <w:p>
      <w:pPr>
        <w:ind w:right="72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As part of our participation in Privacy Shield, if you have a dispute with us about our adherence to the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Principles, you may refer a complaint to your local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data protection authority and we will work with them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to resolve your concern. (In certain circumstances,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the Privacy Shield Framework provides the right to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invoke binding arbitration to resolve complaints not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resolved by other means, as described in Annex Ito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the Privacy Shield Principles.) If you have a Privacy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Shield related complaint, please contact us at </w:t>
      </w:r>
      <w:hyperlink r:id="drId3">
        <w:r>
          <w:rPr>
            <w:color w:val="#0000FF"/>
            <w:sz w:val="19"/>
            <w:lang w:val="en-US"/>
            <w:spacing w:val="-6"/>
            <w:w w:val="100"/>
            <w:strike w:val="false"/>
            <w:u w:val="single"/>
            <w:vertAlign w:val="baseline"/>
            <w:rFonts w:ascii="Verdana" w:hAnsi="Verdana"/>
          </w:rPr>
          <w:t xml:space="preserve">privacy@felixsmart.com</w:t>
        </w:r>
      </w:hyperlink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 .</w:t>
      </w:r>
    </w:p>
    <w:p>
      <w:pPr>
        <w:ind w:right="0" w:left="0" w:firstLine="0"/>
        <w:spacing w:before="324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Privacy Shield participants are subject to the investigatory and enforcement powers of the US Federal Trade Commission and other authorized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statutory bodies. Under certain circumstances (i.e.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personal data sharing under the Onward Transfer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Principle with third parties for external processing on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our behalf), participants like us may be liable for the transfer of personal information from the EU to third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parties outside the EU. Learn more about Privacy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Shield here.</w:t>
      </w:r>
    </w:p>
    <w:p>
      <w:pPr>
        <w:ind w:right="216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We may share, as described in this Privacy Statement, information with our affiliates and subsidiaries and third parties. We may disclose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information in response to legal process and lawful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requests by public authorities in the United States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and other countries for the purposes of law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enforcement and national security.</w:t>
      </w:r>
    </w:p>
    <w:sectPr>
      <w:pgSz w:w="5184" w:h="9706" w:orient="portrait"/>
      <w:type w:val="nextPage"/>
      <w:textDirection w:val="lrTb"/>
      <w:pgMar w:bottom="87" w:top="192" w:right="169" w:left="23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privacy@felixsmart.com" TargetMode="Externa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