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468B1F07" wp14:textId="77777777">
      <w:pPr>
        <w:pStyle w:val="Normal"/>
        <w:spacing w:before="0" w:after="80"/>
        <w:jc w:val="start"/>
        <w:rPr/>
      </w:pPr>
      <w:r>
        <w:rPr>
          <w:rFonts w:ascii="Calibri" w:hAnsi="Calibri"/>
          <w:b/>
          <w:color w:val="1F4E79"/>
          <w:sz w:val="44"/>
        </w:rPr>
        <w:t xml:space="preserve">ACCOUNT RECEIVABLES - </w:t>
      </w:r>
      <w:r>
        <w:rPr>
          <w:rFonts w:ascii="Calibri" w:hAnsi="Calibri"/>
          <w:b/>
          <w:color w:val="1F4E79"/>
          <w:sz w:val="44"/>
        </w:rPr>
        <w:t>B2B Reconciliation Engine: Three-Tier Resolution Workflow Proposal</w:t>
      </w:r>
    </w:p>
    <w:p xmlns:wp14="http://schemas.microsoft.com/office/word/2010/wordml" w14:paraId="77B99F3F" wp14:textId="4EA894CA">
      <w:pPr>
        <w:pStyle w:val="Normal"/>
        <w:spacing w:before="0" w:after="320"/>
        <w:jc w:val="start"/>
      </w:pPr>
      <w:r w:rsidRPr="0B1C6B03" w:rsidR="0B1C6B03">
        <w:rPr>
          <w:rFonts w:ascii="Calibri" w:hAnsi="Calibri"/>
          <w:i w:val="1"/>
          <w:iCs w:val="1"/>
          <w:color w:val="595959" w:themeColor="text1" w:themeTint="A6" w:themeShade="FF"/>
          <w:sz w:val="26"/>
          <w:szCs w:val="26"/>
        </w:rPr>
        <w:t>Comprehensive Architectural Spec ification (Including Advanced Edge Cases, Fee Handling, SL/GL Timing, and Audit Trails)</w:t>
      </w:r>
    </w:p>
    <w:p xmlns:wp14="http://schemas.microsoft.com/office/word/2010/wordml" w14:paraId="0583529C" wp14:textId="77777777">
      <w:pPr>
        <w:pStyle w:val="Normal"/>
        <w:keepNext w:val="true"/>
        <w:spacing w:before="320" w:after="120"/>
        <w:rPr/>
      </w:pPr>
      <w:r>
        <w:rPr>
          <w:rFonts w:ascii="Calibri" w:hAnsi="Calibri"/>
          <w:b/>
          <w:color w:val="1F4E79"/>
          <w:sz w:val="30"/>
        </w:rPr>
        <w:t>1. Executive Summary</w:t>
      </w:r>
    </w:p>
    <w:p xmlns:wp14="http://schemas.microsoft.com/office/word/2010/wordml" w14:paraId="5953F98E" wp14:textId="77777777">
      <w:pPr>
        <w:pStyle w:val="Normal"/>
        <w:spacing w:before="0" w:after="100" w:line="276" w:lineRule="auto"/>
        <w:ind w:start="0"/>
        <w:rPr/>
      </w:pPr>
      <w:r>
        <w:rPr>
          <w:rFonts w:ascii="Calibri" w:hAnsi="Calibri"/>
          <w:color w:val="333333"/>
          <w:sz w:val="21"/>
        </w:rPr>
        <w:t>To optimize performance, reduce database query loads, and ensure the highest degree of accuracy in B2B accounts receivable reconciliation, this solution proposes an advanced Three-Tier Workflow architecture based on Candidate Pooling. Instead of processing complex mathematical permutations globally, the engine first attempts a High-Confidence 'Payer Identity' lock (Phase 1a). If exact matches fail, it creates a Candidate Pool of potential customers using partial matching (Phase 1b). Subsequently, it allocates the transaction amount against that strictly isolated customer's ledger, using the financial amount as the ultimate tie-breaker for pooled candidates (Phase 2). This updated specification incorporates robust controls for duplicate remittance defense, explicit transaction-level fee decoupling, standalone bank-initiated fees, post-reconciliation Sub-Ledger (SL) vs. General Ledger (GL) journal entry timing, and an immutable cryptographic audit trail.</w:t>
      </w:r>
    </w:p>
    <w:p xmlns:wp14="http://schemas.microsoft.com/office/word/2010/wordml" w14:paraId="47535BCA" wp14:textId="77777777">
      <w:pPr>
        <w:pStyle w:val="Normal"/>
        <w:keepNext w:val="true"/>
        <w:spacing w:before="320" w:after="120"/>
        <w:rPr/>
      </w:pPr>
      <w:r>
        <w:rPr>
          <w:rFonts w:ascii="Calibri" w:hAnsi="Calibri"/>
          <w:b/>
          <w:color w:val="1F4E79"/>
          <w:sz w:val="30"/>
        </w:rPr>
        <w:t>2. Phase 1a: High-Confidence Locking (The Direct Hit)</w:t>
      </w:r>
    </w:p>
    <w:p xmlns:wp14="http://schemas.microsoft.com/office/word/2010/wordml" w14:paraId="000A0AB2" wp14:textId="77777777">
      <w:pPr>
        <w:pStyle w:val="Normal"/>
        <w:spacing w:before="0" w:after="100" w:line="276" w:lineRule="auto"/>
        <w:ind w:start="0"/>
        <w:rPr/>
      </w:pPr>
      <w:r>
        <w:rPr>
          <w:rFonts w:ascii="Calibri" w:hAnsi="Calibri"/>
          <w:color w:val="333333"/>
          <w:sz w:val="21"/>
        </w:rPr>
        <w:t>Objective: Identify exactly which customer remitted the funds before analyzing open invoice balances using strict 1:1 matching rules. If a match is found, their unique Customer ID is definitively locked to the transaction row, and the workflow advances directly to Phase 2.</w:t>
      </w:r>
    </w:p>
    <w:p xmlns:wp14="http://schemas.microsoft.com/office/word/2010/wordml" w14:paraId="703E5021" wp14:textId="77777777">
      <w:pPr>
        <w:pStyle w:val="Normal"/>
        <w:keepNext w:val="true"/>
        <w:spacing w:before="240" w:after="80"/>
        <w:rPr/>
      </w:pPr>
      <w:r>
        <w:rPr>
          <w:rFonts w:ascii="Calibri" w:hAnsi="Calibri"/>
          <w:b/>
          <w:color w:val="595959"/>
          <w:sz w:val="25"/>
        </w:rPr>
        <w:t>Phase 1a: Required Database Fields</w:t>
      </w:r>
    </w:p>
    <w:p xmlns:wp14="http://schemas.microsoft.com/office/word/2010/wordml" w14:paraId="5811FB36" wp14:textId="77777777">
      <w:pPr>
        <w:pStyle w:val="Normal"/>
        <w:spacing w:before="0" w:after="100" w:line="276" w:lineRule="auto"/>
        <w:ind w:start="0"/>
        <w:rPr/>
      </w:pPr>
      <w:r>
        <w:rPr>
          <w:rFonts w:ascii="Calibri" w:hAnsi="Calibri"/>
          <w:b/>
          <w:color w:val="333333"/>
          <w:sz w:val="21"/>
        </w:rPr>
        <w:t xml:space="preserve">Bank Statement Fields: </w:t>
      </w:r>
      <w:r>
        <w:rPr>
          <w:rFonts w:ascii="Calibri" w:hAnsi="Calibri"/>
          <w:color w:val="333333"/>
          <w:sz w:val="21"/>
        </w:rPr>
        <w:t>bank_tx_ref, payer_acc_no, payer_ifsc, narration, explicit_bank_fee</w:t>
      </w:r>
    </w:p>
    <w:p xmlns:wp14="http://schemas.microsoft.com/office/word/2010/wordml" w14:paraId="073C51A5" wp14:textId="77777777">
      <w:pPr>
        <w:pStyle w:val="Normal"/>
        <w:spacing w:before="0" w:after="100" w:line="276" w:lineRule="auto"/>
        <w:ind w:start="0"/>
        <w:rPr/>
      </w:pPr>
      <w:r>
        <w:rPr>
          <w:rFonts w:ascii="Calibri" w:hAnsi="Calibri"/>
          <w:b/>
          <w:color w:val="333333"/>
          <w:sz w:val="21"/>
        </w:rPr>
        <w:t xml:space="preserve">Customer Master Fields: </w:t>
      </w:r>
      <w:r>
        <w:rPr>
          <w:rFonts w:ascii="Calibri" w:hAnsi="Calibri"/>
          <w:color w:val="333333"/>
          <w:sz w:val="21"/>
        </w:rPr>
        <w:t>pan, gstin, company_name, default_bank_acc, default_bank_ifsc, vpa_handle, customer_code</w:t>
      </w:r>
    </w:p>
    <w:p xmlns:wp14="http://schemas.microsoft.com/office/word/2010/wordml" w14:paraId="07CE5BB4" wp14:textId="77777777">
      <w:pPr>
        <w:pStyle w:val="Normal"/>
        <w:spacing w:before="0" w:after="100" w:line="276" w:lineRule="auto"/>
        <w:ind w:start="0"/>
        <w:rPr/>
      </w:pPr>
      <w:r>
        <w:rPr>
          <w:rFonts w:ascii="Calibri" w:hAnsi="Calibri"/>
          <w:b/>
          <w:color w:val="333333"/>
          <w:sz w:val="21"/>
        </w:rPr>
        <w:t xml:space="preserve">Advance Remittance Fields: </w:t>
      </w:r>
      <w:r>
        <w:rPr>
          <w:rFonts w:ascii="Calibri" w:hAnsi="Calibri"/>
          <w:color w:val="333333"/>
          <w:sz w:val="21"/>
        </w:rPr>
        <w:t>customer_tx_ref</w:t>
      </w:r>
    </w:p>
    <w:p xmlns:wp14="http://schemas.microsoft.com/office/word/2010/wordml" w14:paraId="195254F5" wp14:textId="77777777">
      <w:pPr>
        <w:pStyle w:val="Normal"/>
        <w:keepNext w:val="true"/>
        <w:spacing w:before="240" w:after="80"/>
        <w:rPr>
          <w:rFonts w:ascii="Calibri" w:hAnsi="Calibri"/>
          <w:b/>
          <w:color w:val="595959"/>
          <w:sz w:val="25"/>
        </w:rPr>
      </w:pPr>
      <w:r>
        <w:rPr>
          <w:rFonts w:ascii="Calibri" w:hAnsi="Calibri"/>
          <w:b/>
          <w:color w:val="595959"/>
          <w:sz w:val="25"/>
        </w:rPr>
        <w:t>Phase 1a: Rule Prioritization &amp; Edge Cases</w:t>
      </w:r>
    </w:p>
    <w:p xmlns:wp14="http://schemas.microsoft.com/office/word/2010/wordml" w14:paraId="6D832014"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Pre-Phase Security Check: Duplicate UTR / Transaction Reference Check (Priority 7)</w:t>
      </w:r>
    </w:p>
    <w:p xmlns:wp14="http://schemas.microsoft.com/office/word/2010/wordml" w14:paraId="2A076A88"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Check bank_statements.bank_tx_ref against historical reconciled transaction logs. If found, route directly to exceptions.</w:t>
      </w:r>
    </w:p>
    <w:p xmlns:wp14="http://schemas.microsoft.com/office/word/2010/wordml" w14:paraId="317DB6DF"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Banks or payment gateways occasionally resend settlement files or clients execute accidental duplicate wire transfers for the same invoice.</w:t>
      </w:r>
    </w:p>
    <w:p xmlns:wp14="http://schemas.microsoft.com/office/word/2010/wordml" w14:paraId="4CFC2676" wp14:textId="77777777">
      <w:pPr>
        <w:pStyle w:val="Normal"/>
        <w:spacing w:before="0" w:after="60"/>
        <w:ind w:start="720"/>
        <w:rPr/>
      </w:pPr>
      <w:r>
        <w:rPr>
          <w:rFonts w:ascii="Calibri" w:hAnsi="Calibri"/>
          <w:b/>
          <w:sz w:val="21"/>
        </w:rPr>
        <w:t>Dummy Data Example:</w:t>
      </w:r>
    </w:p>
    <w:p xmlns:wp14="http://schemas.microsoft.com/office/word/2010/wordml" w14:paraId="742E31E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UTR: HDFCIN998877 appears twice in the ingestion feed.</w:t>
      </w:r>
    </w:p>
    <w:p xmlns:wp14="http://schemas.microsoft.com/office/word/2010/wordml" w14:paraId="7B5EF8E3" wp14:textId="77777777">
      <w:pPr>
        <w:pStyle w:val="Normal"/>
        <w:spacing w:before="0" w:after="100" w:line="276" w:lineRule="auto"/>
        <w:ind w:start="1080"/>
        <w:rPr>
          <w:color w:val="333333"/>
          <w:sz w:val="21"/>
        </w:rPr>
      </w:pPr>
      <w:r>
        <w:rPr>
          <w:color w:val="333333"/>
          <w:sz w:val="21"/>
        </w:rPr>
        <w:t xml:space="preserve">• </w:t>
      </w:r>
      <w:r>
        <w:rPr>
          <w:color w:val="333333"/>
          <w:sz w:val="21"/>
        </w:rPr>
        <w:t>Result: First instance processes normally; second instance is flagged as 'Duplicate Remittance Risk' and sent to the Exceptions Dashboard to prevent double-crediting.</w:t>
      </w:r>
    </w:p>
    <w:p xmlns:wp14="http://schemas.microsoft.com/office/word/2010/wordml" w14:paraId="672A6659" wp14:textId="77777777">
      <w:pPr>
        <w:pStyle w:val="Normal"/>
        <w:spacing w:before="0" w:after="100" w:line="276" w:lineRule="auto"/>
        <w:ind w:start="1080"/>
        <w:rPr>
          <w:color w:val="333333"/>
          <w:sz w:val="21"/>
        </w:rPr>
      </w:pPr>
      <w:r>
        <w:rPr>
          <w:color w:val="333333"/>
          <w:sz w:val="21"/>
        </w:rPr>
      </w:r>
    </w:p>
    <w:p xmlns:wp14="http://schemas.microsoft.com/office/word/2010/wordml" w14:paraId="2BB07872"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1.1a: Pre-Advised Remittance UTR Match (Priority 1)</w:t>
      </w:r>
    </w:p>
    <w:p xmlns:wp14="http://schemas.microsoft.com/office/word/2010/wordml" w14:paraId="19984D03"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bank_statements.bank_tx_ref == expected_customer_remittances.customer_tx_ref</w:t>
      </w:r>
    </w:p>
    <w:p xmlns:wp14="http://schemas.microsoft.com/office/word/2010/wordml" w14:paraId="40F325A4" wp14:textId="77777777">
      <w:pPr>
        <w:pStyle w:val="Normal"/>
        <w:spacing w:before="0" w:after="100" w:line="276" w:lineRule="auto"/>
        <w:ind w:start="720"/>
        <w:rPr/>
      </w:pPr>
      <w:r>
        <w:rPr>
          <w:rFonts w:ascii="Calibri" w:hAnsi="Calibri"/>
          <w:b/>
          <w:bCs/>
          <w:color w:val="333333"/>
          <w:sz w:val="21"/>
        </w:rPr>
        <w:t xml:space="preserve">Edge Case Handled: </w:t>
      </w:r>
      <w:r>
        <w:rPr>
          <w:rFonts w:ascii="Calibri" w:hAnsi="Calibri"/>
          <w:color w:val="333333"/>
          <w:sz w:val="21"/>
        </w:rPr>
        <w:t>Narration completely lacks company identifiers, but the customer uploaded the expected UTR to the portal yesterday.</w:t>
      </w:r>
    </w:p>
    <w:p xmlns:wp14="http://schemas.microsoft.com/office/word/2010/wordml" w14:paraId="200B3D9A" wp14:textId="77777777">
      <w:pPr>
        <w:pStyle w:val="Normal"/>
        <w:spacing w:before="0" w:after="100" w:line="276" w:lineRule="auto"/>
        <w:ind w:start="720"/>
        <w:rPr/>
      </w:pPr>
      <w:r>
        <w:rPr>
          <w:rFonts w:ascii="Calibri" w:hAnsi="Calibri"/>
          <w:b/>
          <w:sz w:val="21"/>
        </w:rPr>
        <w:t>Dummy Data Example:</w:t>
      </w:r>
    </w:p>
    <w:p xmlns:wp14="http://schemas.microsoft.com/office/word/2010/wordml" w14:paraId="010E7349"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UTR: HDFCIN998877</w:t>
      </w:r>
    </w:p>
    <w:p xmlns:wp14="http://schemas.microsoft.com/office/word/2010/wordml" w14:paraId="558BE33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Remittance UTR: HDFCIN998877 (Linked to Customer A)</w:t>
      </w:r>
    </w:p>
    <w:p xmlns:wp14="http://schemas.microsoft.com/office/word/2010/wordml" w14:paraId="382E2FAD"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Lock Customer A.</w:t>
      </w:r>
    </w:p>
    <w:p xmlns:wp14="http://schemas.microsoft.com/office/word/2010/wordml" w14:paraId="0A37501D"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459F5D3D"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1.2a: Payer Bank Account Match (Priority 2)</w:t>
      </w:r>
    </w:p>
    <w:p xmlns:wp14="http://schemas.microsoft.com/office/word/2010/wordml" w14:paraId="2F1D08E0" wp14:textId="77777777">
      <w:pPr>
        <w:pStyle w:val="Normal"/>
        <w:spacing w:before="0" w:after="100" w:line="276" w:lineRule="auto"/>
        <w:ind w:start="720"/>
        <w:rPr/>
      </w:pPr>
      <w:r>
        <w:rPr>
          <w:rFonts w:ascii="Calibri" w:hAnsi="Calibri"/>
          <w:b/>
          <w:bCs/>
          <w:color w:val="333333"/>
          <w:sz w:val="21"/>
        </w:rPr>
        <w:t xml:space="preserve">Condition: </w:t>
      </w:r>
      <w:r>
        <w:rPr>
          <w:rFonts w:ascii="Calibri" w:hAnsi="Calibri"/>
          <w:color w:val="333333"/>
          <w:sz w:val="21"/>
        </w:rPr>
        <w:t>bank_statements.payer_acc_no, payer_ifsc == customers.default_bank_acc, default_bank_ifsc</w:t>
      </w:r>
    </w:p>
    <w:p xmlns:wp14="http://schemas.microsoft.com/office/word/2010/wordml" w14:paraId="39AC2256"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Payment arrives from a known subsidiary account pre-whitelisted in the customer master.</w:t>
      </w:r>
    </w:p>
    <w:p xmlns:wp14="http://schemas.microsoft.com/office/word/2010/wordml" w14:paraId="330EA5EC" wp14:textId="77777777">
      <w:pPr>
        <w:pStyle w:val="Normal"/>
        <w:spacing w:before="0" w:after="60"/>
        <w:ind w:start="720"/>
        <w:rPr/>
      </w:pPr>
      <w:r>
        <w:rPr>
          <w:rFonts w:ascii="Calibri" w:hAnsi="Calibri"/>
          <w:b/>
          <w:sz w:val="21"/>
        </w:rPr>
        <w:t>Dummy Data Example:</w:t>
      </w:r>
    </w:p>
    <w:p xmlns:wp14="http://schemas.microsoft.com/office/word/2010/wordml" w14:paraId="17624D07"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Payer Acc: 5010023456, IFSC: HDFC0001</w:t>
      </w:r>
    </w:p>
    <w:p xmlns:wp14="http://schemas.microsoft.com/office/word/2010/wordml" w14:paraId="5E53E3DA"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Master Acc: 5010023456, IFSC: HDFC0001 (Linked to Customer B)</w:t>
      </w:r>
    </w:p>
    <w:p xmlns:wp14="http://schemas.microsoft.com/office/word/2010/wordml" w14:paraId="0A560D78"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Lock Customer B.</w:t>
      </w:r>
    </w:p>
    <w:p xmlns:wp14="http://schemas.microsoft.com/office/word/2010/wordml" w14:paraId="5DAB6C7B"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203C9F17"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1.3a: UPI VPA / Handle Match (Priority 3)</w:t>
      </w:r>
    </w:p>
    <w:p xmlns:wp14="http://schemas.microsoft.com/office/word/2010/wordml" w14:paraId="01109E24"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Extract the UPI handle from bank_statements.narration using regex (e.g., [a-zA-Z0-9.\-_]+@[a-zA-Z]+) and match it against customers.vpa_handle.</w:t>
      </w:r>
    </w:p>
    <w:p xmlns:wp14="http://schemas.microsoft.com/office/word/2010/wordml" w14:paraId="41B5E684"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Distributors or smaller B2B clients making quick payments via UPI apps (PhonePe, GPay, Paytm) where standard bank account details (payer_acc_no) are masked or replaced by the VPA.</w:t>
      </w:r>
    </w:p>
    <w:p xmlns:wp14="http://schemas.microsoft.com/office/word/2010/wordml" w14:paraId="56C9DF4A" wp14:textId="77777777">
      <w:pPr>
        <w:pStyle w:val="Normal"/>
        <w:spacing w:before="0" w:after="60"/>
        <w:ind w:start="720"/>
        <w:rPr/>
      </w:pPr>
      <w:r>
        <w:rPr>
          <w:rFonts w:ascii="Calibri" w:hAnsi="Calibri"/>
          <w:b/>
          <w:sz w:val="21"/>
        </w:rPr>
        <w:t>Dummy Data Example:</w:t>
      </w:r>
    </w:p>
    <w:p xmlns:wp14="http://schemas.microsoft.com/office/word/2010/wordml" w14:paraId="43380D4F"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UPI-9876543210@ybl-FEBRUARY-SUPPLIES</w:t>
      </w:r>
    </w:p>
    <w:p xmlns:wp14="http://schemas.microsoft.com/office/word/2010/wordml" w14:paraId="4410FE02"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Master VPA: 9876543210@ybl (Linked to Customer C)</w:t>
      </w:r>
    </w:p>
    <w:p xmlns:wp14="http://schemas.microsoft.com/office/word/2010/wordml" w14:paraId="46473976"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Extracts the VPA, successfully locking Customer C.</w:t>
      </w:r>
    </w:p>
    <w:p xmlns:wp14="http://schemas.microsoft.com/office/word/2010/wordml" w14:paraId="02EB378F"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633A3084"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1.4a: Custom Company Code Match (Priority 4)</w:t>
      </w:r>
    </w:p>
    <w:p xmlns:wp14="http://schemas.microsoft.com/office/word/2010/wordml" w14:paraId="5990D9EF"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bank_statements.narration CONTAINS exactly customers.customer_code.</w:t>
      </w:r>
    </w:p>
    <w:p xmlns:wp14="http://schemas.microsoft.com/office/word/2010/wordml" w14:paraId="54F739E3"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Large enterprise clients who strictly mandate embedding their specific vendor/ERP code in the RTGS or NEFT remarks field rather than an invoice number.</w:t>
      </w:r>
    </w:p>
    <w:p xmlns:wp14="http://schemas.microsoft.com/office/word/2010/wordml" w14:paraId="650E45E7" wp14:textId="77777777">
      <w:pPr>
        <w:pStyle w:val="Normal"/>
        <w:spacing w:before="0" w:after="60"/>
        <w:ind w:start="720"/>
        <w:rPr/>
      </w:pPr>
      <w:r>
        <w:rPr>
          <w:rFonts w:ascii="Calibri" w:hAnsi="Calibri"/>
          <w:b/>
          <w:sz w:val="21"/>
        </w:rPr>
        <w:t>Dummy Data Example:</w:t>
      </w:r>
    </w:p>
    <w:p xmlns:wp14="http://schemas.microsoft.com/office/word/2010/wordml" w14:paraId="3DB09443"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RTGS-SBIN-CUST8892-PAYMENT FOR Q3</w:t>
      </w:r>
    </w:p>
    <w:p xmlns:wp14="http://schemas.microsoft.com/office/word/2010/wordml" w14:paraId="666E425A"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Master Code: CUST8892 (Linked to Customer D)</w:t>
      </w:r>
    </w:p>
    <w:p xmlns:wp14="http://schemas.microsoft.com/office/word/2010/wordml" w14:paraId="67D1181F"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Matches the unique alphanumeric code, successfully locking Customer D.</w:t>
      </w:r>
    </w:p>
    <w:p xmlns:wp14="http://schemas.microsoft.com/office/word/2010/wordml" w14:paraId="6A05A809"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51B622DE"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1.5a: Tax ID (GSTIN/PAN) Extraction Match (Priority 5)</w:t>
      </w:r>
    </w:p>
    <w:p xmlns:wp14="http://schemas.microsoft.com/office/word/2010/wordml" w14:paraId="484EB53D"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Regex extract PAN/GSTIN from bank_statements.narration == customers.pan OR customers.gstin</w:t>
      </w:r>
    </w:p>
    <w:p xmlns:wp14="http://schemas.microsoft.com/office/word/2010/wordml" w14:paraId="092E9491"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Resolves ambiguity between sister companies sharing similar names (e.g., Tata Motors vs. Tata Steel).</w:t>
      </w:r>
    </w:p>
    <w:p xmlns:wp14="http://schemas.microsoft.com/office/word/2010/wordml" w14:paraId="36D1171F" wp14:textId="77777777">
      <w:pPr>
        <w:pStyle w:val="Normal"/>
        <w:spacing w:before="0" w:after="60"/>
        <w:ind w:start="720"/>
        <w:rPr/>
      </w:pPr>
      <w:r>
        <w:rPr>
          <w:rFonts w:ascii="Calibri" w:hAnsi="Calibri"/>
          <w:b/>
          <w:sz w:val="21"/>
        </w:rPr>
        <w:t>Dummy Data Example:</w:t>
      </w:r>
    </w:p>
    <w:p xmlns:wp14="http://schemas.microsoft.com/office/word/2010/wordml" w14:paraId="449FF487"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NEFT-29ABCDE1234F1Z5-PAYMENT</w:t>
      </w:r>
    </w:p>
    <w:p xmlns:wp14="http://schemas.microsoft.com/office/word/2010/wordml" w14:paraId="089BEEDD"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Extracts GSTIN and Locks Customer C.</w:t>
      </w:r>
    </w:p>
    <w:p xmlns:wp14="http://schemas.microsoft.com/office/word/2010/wordml" w14:paraId="5A39BBE3"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2D0A6686"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1.6a: Standard Fuzzy Company Name Match (Priority 6)</w:t>
      </w:r>
    </w:p>
    <w:p xmlns:wp14="http://schemas.microsoft.com/office/word/2010/wordml" w14:paraId="370828B2"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FuzzyMatch(bank_statements.narration, customers.company_name) &gt; 85%</w:t>
      </w:r>
    </w:p>
    <w:p xmlns:wp14="http://schemas.microsoft.com/office/word/2010/wordml" w14:paraId="073805CD" wp14:textId="77777777">
      <w:pPr>
        <w:pStyle w:val="Normal"/>
        <w:spacing w:before="0" w:after="100" w:line="276" w:lineRule="auto"/>
        <w:ind w:start="720"/>
        <w:rPr/>
      </w:pPr>
      <w:r>
        <w:rPr>
          <w:rFonts w:ascii="Calibri" w:hAnsi="Calibri"/>
          <w:b/>
          <w:bCs/>
          <w:color w:val="333333"/>
          <w:sz w:val="21"/>
        </w:rPr>
        <w:t xml:space="preserve">Edge Case Handled: </w:t>
      </w:r>
      <w:r>
        <w:rPr>
          <w:rFonts w:ascii="Calibri" w:hAnsi="Calibri"/>
          <w:color w:val="333333"/>
          <w:sz w:val="21"/>
        </w:rPr>
        <w:t>Minor typos or slight variations in customer names in the bank statement (e.g., 'RLNCE INDUS').</w:t>
      </w:r>
    </w:p>
    <w:p xmlns:wp14="http://schemas.microsoft.com/office/word/2010/wordml" w14:paraId="7FFF0B99" wp14:textId="77777777">
      <w:pPr>
        <w:pStyle w:val="Normal"/>
        <w:spacing w:before="0" w:after="60"/>
        <w:ind w:start="720"/>
        <w:rPr/>
      </w:pPr>
      <w:r>
        <w:rPr>
          <w:rFonts w:ascii="Calibri" w:hAnsi="Calibri"/>
          <w:b/>
          <w:sz w:val="21"/>
        </w:rPr>
        <w:t>Dummy Data Example:</w:t>
      </w:r>
    </w:p>
    <w:p xmlns:wp14="http://schemas.microsoft.com/office/word/2010/wordml" w14:paraId="2C5E46C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TRFR FRM THETA TECHSOL PVT LTD</w:t>
      </w:r>
    </w:p>
    <w:p xmlns:wp14="http://schemas.microsoft.com/office/word/2010/wordml" w14:paraId="625C208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Master: Theta Technologies Private Limited</w:t>
      </w:r>
    </w:p>
    <w:p xmlns:wp14="http://schemas.microsoft.com/office/word/2010/wordml" w14:paraId="6204F5C4"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Matches above 85% and Locks Customer.</w:t>
      </w:r>
    </w:p>
    <w:p xmlns:wp14="http://schemas.microsoft.com/office/word/2010/wordml" w14:paraId="41C8F396" wp14:textId="77777777">
      <w:pPr>
        <w:pStyle w:val="Normal"/>
        <w:spacing w:before="0" w:after="100" w:line="276" w:lineRule="auto"/>
        <w:ind w:start="1080"/>
        <w:rPr>
          <w:rFonts w:ascii="Calibri" w:hAnsi="Calibri"/>
          <w:b/>
          <w:color w:val="333333"/>
          <w:sz w:val="21"/>
        </w:rPr>
      </w:pPr>
      <w:r>
        <w:rPr>
          <w:rFonts w:ascii="Calibri" w:hAnsi="Calibri"/>
          <w:b/>
          <w:color w:val="333333"/>
          <w:sz w:val="21"/>
        </w:rPr>
      </w:r>
    </w:p>
    <w:p xmlns:wp14="http://schemas.microsoft.com/office/word/2010/wordml" w14:paraId="41D8E2DC" wp14:textId="77777777">
      <w:pPr>
        <w:pStyle w:val="Normal"/>
        <w:keepNext w:val="true"/>
        <w:spacing w:before="320" w:after="120"/>
        <w:rPr/>
      </w:pPr>
      <w:r>
        <w:rPr>
          <w:rFonts w:ascii="Calibri" w:hAnsi="Calibri"/>
          <w:b/>
          <w:color w:val="1F4E79"/>
          <w:sz w:val="30"/>
        </w:rPr>
        <w:t>3. Phase 1b: Low-Confidence Pooling (The Partial Match)</w:t>
      </w:r>
    </w:p>
    <w:p xmlns:wp14="http://schemas.microsoft.com/office/word/2010/wordml" w14:paraId="60EA235F" wp14:textId="77777777">
      <w:pPr>
        <w:pStyle w:val="Normal"/>
        <w:spacing w:before="0" w:after="100" w:line="276" w:lineRule="auto"/>
        <w:ind w:start="0"/>
        <w:rPr/>
      </w:pPr>
      <w:r>
        <w:rPr>
          <w:rFonts w:ascii="Calibri" w:hAnsi="Calibri"/>
          <w:color w:val="333333"/>
          <w:sz w:val="21"/>
        </w:rPr>
        <w:t>Objective: If Phase 1a fails, the engine runs Partial/Suffix matching rules. Instead of making a risky guess, the system creates a 'Candidate Pool' of multiple possible customers who share the partial traits. The entire array of candidates is flagged as 'Partial Match' and passed to Phase 2, where the transaction amount serves as the ultimate tie-breaker for pooled candidates.</w:t>
      </w:r>
    </w:p>
    <w:p xmlns:wp14="http://schemas.microsoft.com/office/word/2010/wordml" w14:paraId="7538DF4C" wp14:textId="77777777">
      <w:pPr>
        <w:pStyle w:val="Normal"/>
        <w:keepNext w:val="true"/>
        <w:spacing w:before="240" w:after="80"/>
        <w:rPr/>
      </w:pPr>
      <w:r>
        <w:rPr>
          <w:rFonts w:ascii="Calibri" w:hAnsi="Calibri"/>
          <w:b/>
          <w:color w:val="595959"/>
          <w:sz w:val="25"/>
        </w:rPr>
        <w:t>Phase 1b: Rules</w:t>
      </w:r>
    </w:p>
    <w:p xmlns:wp14="http://schemas.microsoft.com/office/word/2010/wordml" w14:paraId="7D269308"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1.1b: Masked Payer Account Suffix Match</w:t>
      </w:r>
    </w:p>
    <w:p xmlns:wp14="http://schemas.microsoft.com/office/word/2010/wordml" w14:paraId="2407CA90"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Regex \d{4}$ on bank_statements.payer_acc_no == RIGHT(customers.default_bank_acc, 4)</w:t>
      </w:r>
    </w:p>
    <w:p xmlns:wp14="http://schemas.microsoft.com/office/word/2010/wordml" w14:paraId="44CC7ED2" wp14:textId="77777777">
      <w:pPr>
        <w:pStyle w:val="Normal"/>
        <w:spacing w:before="0" w:after="100" w:line="276" w:lineRule="auto"/>
        <w:ind w:start="720"/>
        <w:rPr/>
      </w:pPr>
      <w:r>
        <w:rPr>
          <w:rFonts w:ascii="Calibri" w:hAnsi="Calibri"/>
          <w:color w:val="333333"/>
          <w:sz w:val="21"/>
        </w:rPr>
        <w:t>E</w:t>
      </w:r>
      <w:r>
        <w:rPr>
          <w:rFonts w:ascii="Calibri" w:hAnsi="Calibri"/>
          <w:b/>
          <w:bCs/>
          <w:color w:val="333333"/>
          <w:sz w:val="21"/>
        </w:rPr>
        <w:t>dge Case Handled:</w:t>
      </w:r>
      <w:r>
        <w:rPr>
          <w:rFonts w:ascii="Calibri" w:hAnsi="Calibri"/>
          <w:color w:val="333333"/>
          <w:sz w:val="21"/>
        </w:rPr>
        <w:t xml:space="preserve"> Banks mask the payer's account number in the statement (e.g., XXXXXX5678 or *5678). Creates a candidate pool of all customers sharing those last 4 digits.</w:t>
      </w:r>
    </w:p>
    <w:p xmlns:wp14="http://schemas.microsoft.com/office/word/2010/wordml" w14:paraId="413E4C7B" wp14:textId="77777777">
      <w:pPr>
        <w:pStyle w:val="Normal"/>
        <w:spacing w:before="0" w:after="60"/>
        <w:ind w:start="720"/>
        <w:rPr/>
      </w:pPr>
      <w:r>
        <w:rPr>
          <w:rFonts w:ascii="Calibri" w:hAnsi="Calibri"/>
          <w:b/>
          <w:sz w:val="21"/>
        </w:rPr>
        <w:t>Dummy Data Example:</w:t>
      </w:r>
    </w:p>
    <w:p xmlns:wp14="http://schemas.microsoft.com/office/word/2010/wordml" w14:paraId="6BECA00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Account Field: XXXXXX4455 | Amount: ₹50,000</w:t>
      </w:r>
    </w:p>
    <w:p xmlns:wp14="http://schemas.microsoft.com/office/word/2010/wordml" w14:paraId="2203AA4B"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Candidate Pool: [Customer X (Acc: ..4455), Customer Y (Acc: ..4455)]</w:t>
      </w:r>
    </w:p>
    <w:p xmlns:wp14="http://schemas.microsoft.com/office/word/2010/wordml" w14:paraId="66549506"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Passes Pool [X, Y] to Phase 2 for amount-based tie-breaking.</w:t>
      </w:r>
    </w:p>
    <w:p xmlns:wp14="http://schemas.microsoft.com/office/word/2010/wordml" w14:paraId="72A3D3EC"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5F20B38C"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1.2b: Token-Based Substring Match</w:t>
      </w:r>
    </w:p>
    <w:p xmlns:wp14="http://schemas.microsoft.com/office/word/2010/wordml" w14:paraId="5EAF5B30"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Split narration and company_name into word tokens. Evaluate intersection percentage.</w:t>
      </w:r>
    </w:p>
    <w:p xmlns:wp14="http://schemas.microsoft.com/office/word/2010/wordml" w14:paraId="02969185"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Standard fuzzy logic fails on heavily truncated words. This identifies matches when prefixes of words align.</w:t>
      </w:r>
    </w:p>
    <w:p xmlns:wp14="http://schemas.microsoft.com/office/word/2010/wordml" w14:paraId="30770E48" wp14:textId="77777777">
      <w:pPr>
        <w:pStyle w:val="Normal"/>
        <w:spacing w:before="0" w:after="60"/>
        <w:ind w:start="720"/>
        <w:rPr/>
      </w:pPr>
      <w:r>
        <w:rPr>
          <w:rFonts w:ascii="Calibri" w:hAnsi="Calibri"/>
          <w:b/>
          <w:sz w:val="21"/>
        </w:rPr>
        <w:t>Dummy Data Example:</w:t>
      </w:r>
    </w:p>
    <w:p xmlns:wp14="http://schemas.microsoft.com/office/word/2010/wordml" w14:paraId="10B9B98E"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TRFR TATA CONS SERV</w:t>
      </w:r>
    </w:p>
    <w:p xmlns:wp14="http://schemas.microsoft.com/office/word/2010/wordml" w14:paraId="50ECADAC"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Candidate Pool: [Tata Consultancy Services Limited, Tata Consumer Products]</w:t>
      </w:r>
    </w:p>
    <w:p xmlns:wp14="http://schemas.microsoft.com/office/word/2010/wordml" w14:paraId="6D907303"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Result: Passes Pool to Phase 2.</w:t>
      </w:r>
    </w:p>
    <w:p xmlns:wp14="http://schemas.microsoft.com/office/word/2010/wordml" w14:paraId="67B9558B" wp14:textId="77777777">
      <w:pPr>
        <w:pStyle w:val="Normal"/>
        <w:keepNext w:val="true"/>
        <w:spacing w:before="320" w:after="120"/>
        <w:rPr/>
      </w:pPr>
      <w:r>
        <w:rPr>
          <w:rFonts w:ascii="Calibri" w:hAnsi="Calibri"/>
          <w:b/>
          <w:color w:val="1F4E79"/>
          <w:sz w:val="30"/>
        </w:rPr>
        <w:t>4. Phase 2: Scoped Invoice Allocation &amp; Settlement (The Tie-Breaker)</w:t>
      </w:r>
    </w:p>
    <w:p xmlns:wp14="http://schemas.microsoft.com/office/word/2010/wordml" w14:paraId="224BEB74" wp14:textId="77777777">
      <w:pPr>
        <w:pStyle w:val="Normal"/>
        <w:spacing w:before="0" w:after="100" w:line="276" w:lineRule="auto"/>
        <w:ind w:start="0"/>
        <w:rPr/>
      </w:pPr>
      <w:r>
        <w:rPr>
          <w:rFonts w:ascii="Calibri" w:hAnsi="Calibri"/>
          <w:color w:val="333333"/>
          <w:sz w:val="21"/>
        </w:rPr>
        <w:t>Objective: With the Payer locked (Phase 1a) OR a Candidate Pool generated (Phase 1b), query ONLY the open invoices belonging to the specific customer(s). Before applying allocation rules, the engine enforces strict date boundaries and document net-offs via Phase 2.0. Note that Phase 2.0 acts as a dynamic pre-filter query builder applied to the customer's aggregate ledger pool rather than a standalone physical table. It then executes allocation rules sequentially, incorporating a universal partial/split payment property across all allocation mechanisms. If evaluating a Candidate Pool, the engine uses exact invoice matches or mathematical sums to declare the definitive 'winner' and discard other candidates.</w:t>
      </w:r>
    </w:p>
    <w:p xmlns:wp14="http://schemas.microsoft.com/office/word/2010/wordml" w14:paraId="587D1882" wp14:textId="77777777">
      <w:pPr>
        <w:pStyle w:val="Normal"/>
        <w:keepNext w:val="true"/>
        <w:spacing w:before="240" w:after="80"/>
        <w:rPr/>
      </w:pPr>
      <w:r>
        <w:rPr>
          <w:rFonts w:ascii="Calibri" w:hAnsi="Calibri"/>
          <w:b/>
          <w:color w:val="595959"/>
          <w:sz w:val="25"/>
        </w:rPr>
        <w:t>Phase 2: Required Database &amp; Document Fields</w:t>
      </w:r>
    </w:p>
    <w:p xmlns:wp14="http://schemas.microsoft.com/office/word/2010/wordml" w14:paraId="073B61B9" wp14:textId="77777777">
      <w:pPr>
        <w:pStyle w:val="Normal"/>
        <w:spacing w:before="0" w:after="100" w:line="276" w:lineRule="auto"/>
        <w:ind w:start="0"/>
        <w:rPr/>
      </w:pPr>
      <w:r>
        <w:rPr>
          <w:rFonts w:ascii="Calibri" w:hAnsi="Calibri"/>
          <w:b/>
          <w:color w:val="333333"/>
          <w:sz w:val="21"/>
        </w:rPr>
        <w:t xml:space="preserve">Bank Statement Fields: </w:t>
      </w:r>
      <w:r>
        <w:rPr>
          <w:rFonts w:ascii="Calibri" w:hAnsi="Calibri"/>
          <w:color w:val="333333"/>
          <w:sz w:val="21"/>
        </w:rPr>
        <w:t>amount, narration, tx_date, explicit_bank_fee</w:t>
      </w:r>
    </w:p>
    <w:p xmlns:wp14="http://schemas.microsoft.com/office/word/2010/wordml" w14:paraId="4D222B13" wp14:textId="77777777">
      <w:pPr>
        <w:pStyle w:val="Normal"/>
        <w:spacing w:before="0" w:after="100" w:line="276" w:lineRule="auto"/>
        <w:ind w:start="0"/>
        <w:rPr/>
      </w:pPr>
      <w:r>
        <w:rPr>
          <w:rFonts w:ascii="Calibri" w:hAnsi="Calibri"/>
          <w:b/>
          <w:color w:val="333333"/>
          <w:sz w:val="21"/>
        </w:rPr>
        <w:t xml:space="preserve">Gateway Settlement Fields: </w:t>
      </w:r>
      <w:r>
        <w:rPr>
          <w:rFonts w:ascii="Calibri" w:hAnsi="Calibri"/>
          <w:color w:val="333333"/>
          <w:sz w:val="21"/>
        </w:rPr>
        <w:t>gross_amount, fee, gst_on_fee, net_settled_amount (Stripe, Razorpay, etc.)</w:t>
      </w:r>
    </w:p>
    <w:p xmlns:wp14="http://schemas.microsoft.com/office/word/2010/wordml" w14:paraId="339EF01A" wp14:textId="77777777">
      <w:pPr>
        <w:pStyle w:val="Normal"/>
        <w:spacing w:before="0" w:after="100" w:line="276" w:lineRule="auto"/>
        <w:ind w:start="0"/>
        <w:rPr/>
      </w:pPr>
      <w:r>
        <w:rPr>
          <w:rFonts w:ascii="Calibri" w:hAnsi="Calibri"/>
          <w:b/>
          <w:color w:val="333333"/>
          <w:sz w:val="21"/>
        </w:rPr>
        <w:t xml:space="preserve">Sub Ledger Invoices Fields: </w:t>
      </w:r>
      <w:r>
        <w:rPr>
          <w:rFonts w:ascii="Calibri" w:hAnsi="Calibri"/>
          <w:color w:val="333333"/>
          <w:sz w:val="21"/>
        </w:rPr>
        <w:t>invoice_number, invoice_date, balance_due, allowed_tds_amount</w:t>
      </w:r>
    </w:p>
    <w:p xmlns:wp14="http://schemas.microsoft.com/office/word/2010/wordml" w14:paraId="70335F39" wp14:textId="77777777">
      <w:pPr>
        <w:pStyle w:val="Normal"/>
        <w:spacing w:before="0" w:after="100" w:line="276" w:lineRule="auto"/>
        <w:ind w:start="0"/>
        <w:rPr/>
      </w:pPr>
      <w:r>
        <w:rPr>
          <w:rFonts w:ascii="Calibri" w:hAnsi="Calibri"/>
          <w:b/>
          <w:color w:val="333333"/>
          <w:sz w:val="21"/>
        </w:rPr>
        <w:t xml:space="preserve">Credit / Debit Memos Fields: </w:t>
      </w:r>
      <w:r>
        <w:rPr>
          <w:rFonts w:ascii="Calibri" w:hAnsi="Calibri"/>
          <w:color w:val="333333"/>
          <w:sz w:val="21"/>
        </w:rPr>
        <w:t>memo_type (Credit/Debit), memo_date, memo_amount</w:t>
      </w:r>
    </w:p>
    <w:p xmlns:wp14="http://schemas.microsoft.com/office/word/2010/wordml" w14:paraId="3226A0C4" wp14:textId="77777777">
      <w:pPr>
        <w:pStyle w:val="Normal"/>
        <w:keepNext w:val="true"/>
        <w:spacing w:before="240" w:after="80"/>
        <w:rPr/>
      </w:pPr>
      <w:r>
        <w:rPr>
          <w:rFonts w:ascii="Calibri" w:hAnsi="Calibri"/>
          <w:b/>
          <w:color w:val="595959"/>
          <w:sz w:val="25"/>
        </w:rPr>
        <w:t>Phase 2: Pre-Allocation Guardrails &amp; Rule Set</w:t>
      </w:r>
    </w:p>
    <w:p xmlns:wp14="http://schemas.microsoft.com/office/word/2010/wordml" w14:paraId="43956F2C"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Phase 2.0 (a): Accounting Period &amp; Date Boundary Guardrail (Pre-Filter)</w:t>
      </w:r>
    </w:p>
    <w:p xmlns:wp14="http://schemas.microsoft.com/office/word/2010/wordml" w14:paraId="27ED6671" wp14:textId="77777777">
      <w:pPr>
        <w:pStyle w:val="Normal"/>
        <w:spacing w:before="0" w:after="100" w:line="276" w:lineRule="auto"/>
        <w:ind w:start="720"/>
        <w:rPr/>
      </w:pPr>
      <w:r>
        <w:rPr>
          <w:rFonts w:ascii="Calibri" w:hAnsi="Calibri"/>
          <w:b/>
          <w:bCs/>
          <w:color w:val="333333"/>
          <w:sz w:val="21"/>
        </w:rPr>
        <w:t xml:space="preserve">Condition: </w:t>
      </w:r>
      <w:r>
        <w:rPr>
          <w:rFonts w:ascii="Calibri" w:hAnsi="Calibri"/>
          <w:color w:val="333333"/>
          <w:sz w:val="21"/>
        </w:rPr>
        <w:t>Query sub-ledger invoices and credit/debit memos scoped to the locked customer/pool while enforcing: invoice_date &lt;= Reconciliation_Period_End_Date (excluding post-dated/future documents).</w:t>
      </w:r>
    </w:p>
    <w:p xmlns:wp14="http://schemas.microsoft.com/office/word/2010/wordml" w14:paraId="41845916"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Prevents payments meant for current period bills (e.g., June) from prematurely matching or stealing funds intended for future-dated bills (e.g., July invoices), protecting monthly revenue reporting and aging accuracy.</w:t>
      </w:r>
    </w:p>
    <w:p xmlns:wp14="http://schemas.microsoft.com/office/word/2010/wordml" w14:paraId="3CF17D69" wp14:textId="77777777">
      <w:pPr>
        <w:pStyle w:val="Normal"/>
        <w:spacing w:before="0" w:after="60"/>
        <w:ind w:start="720"/>
        <w:rPr/>
      </w:pPr>
      <w:r>
        <w:rPr>
          <w:rFonts w:ascii="Calibri" w:hAnsi="Calibri"/>
          <w:b/>
          <w:sz w:val="21"/>
        </w:rPr>
        <w:t>Dummy Data Example:</w:t>
      </w:r>
    </w:p>
    <w:p xmlns:wp14="http://schemas.microsoft.com/office/word/2010/wordml" w14:paraId="066F4E1B"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Reconciliation Period</w:t>
      </w:r>
      <w:r>
        <w:rPr>
          <w:rFonts w:ascii="Calibri" w:hAnsi="Calibri"/>
          <w:color w:val="333333"/>
          <w:sz w:val="21"/>
        </w:rPr>
        <w:t>: June 2026 (Cutoff: June 30, 2026)</w:t>
      </w:r>
    </w:p>
    <w:p xmlns:wp14="http://schemas.microsoft.com/office/word/2010/wordml" w14:paraId="727BC404"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Customer Open Documents:</w:t>
      </w:r>
      <w:r>
        <w:rPr>
          <w:rFonts w:ascii="Calibri" w:hAnsi="Calibri"/>
          <w:color w:val="333333"/>
          <w:sz w:val="21"/>
        </w:rPr>
        <w:t xml:space="preserve"> INV-JUNE-01 (Dated: June 15, Bal: ₹50,000), INV-JULY-01 (Dated: July 2, Bal: ₹50,000)</w:t>
      </w:r>
    </w:p>
    <w:p xmlns:wp14="http://schemas.microsoft.com/office/word/2010/wordml" w14:paraId="5F5C0DD4"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Period guardrail hides INV-JULY-01 from active pool. Allocation rules evaluate only June documents.</w:t>
      </w:r>
    </w:p>
    <w:p xmlns:wp14="http://schemas.microsoft.com/office/word/2010/wordml" w14:paraId="0D0B940D"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12CD0967"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Phase 2.0 (b): Credit &amp; Debit Note Net-Off Adjustment</w:t>
      </w:r>
    </w:p>
    <w:p xmlns:wp14="http://schemas.microsoft.com/office/word/2010/wordml" w14:paraId="7CE4669C"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Effective Balance Due = Invoice Balance Due - Open Credit Notes + Open Debit Notes (filtered where document_date &lt;= Reconciliation_Period_End_Date). Applied to the customer's aggregate ledger pool as a preparatory step before allocation rules execute.</w:t>
      </w:r>
    </w:p>
    <w:p xmlns:wp14="http://schemas.microsoft.com/office/word/2010/wordml" w14:paraId="17B084EC"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Prevents mismatch flags when a corporate buyer pays an invoice value minus a previously issued product return, discount, or price escalation. Also handles full-pay preference where gross amounts are paid while credit notes remain open on-account.</w:t>
      </w:r>
    </w:p>
    <w:p xmlns:wp14="http://schemas.microsoft.com/office/word/2010/wordml" w14:paraId="0BE34FC4" wp14:textId="77777777">
      <w:pPr>
        <w:pStyle w:val="Normal"/>
        <w:spacing w:before="0" w:after="60"/>
        <w:ind w:start="720"/>
        <w:rPr/>
      </w:pPr>
      <w:r>
        <w:rPr>
          <w:rFonts w:ascii="Calibri" w:hAnsi="Calibri"/>
          <w:b/>
          <w:sz w:val="21"/>
        </w:rPr>
        <w:t>Dummy Data Example:</w:t>
      </w:r>
    </w:p>
    <w:p xmlns:wp14="http://schemas.microsoft.com/office/word/2010/wordml" w14:paraId="6E095741"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Open Documents:</w:t>
      </w:r>
      <w:r>
        <w:rPr>
          <w:rFonts w:ascii="Calibri" w:hAnsi="Calibri"/>
          <w:color w:val="333333"/>
          <w:sz w:val="21"/>
        </w:rPr>
        <w:t xml:space="preserve"> INV-JUNE-10 for ₹50,000 (Dated: June 10) | CN-JUNE-02 for ₹5,000 (Dated: June 15)</w:t>
      </w:r>
    </w:p>
    <w:p xmlns:wp14="http://schemas.microsoft.com/office/word/2010/wordml" w14:paraId="5F2A606C"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Effective Net Balance Due:</w:t>
      </w:r>
      <w:r>
        <w:rPr>
          <w:rFonts w:ascii="Calibri" w:hAnsi="Calibri"/>
          <w:color w:val="333333"/>
          <w:sz w:val="21"/>
        </w:rPr>
        <w:t xml:space="preserve"> ₹45,000 (Matched against Bank Receipt of ₹45,000)</w:t>
      </w:r>
    </w:p>
    <w:p xmlns:wp14="http://schemas.microsoft.com/office/word/2010/wordml" w14:paraId="2FE02AA3"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Engine factors in credit note, matches net bank receipt, and simultaneously settles both invoice and credit note cleanly (or leaves credit note parked on-account if gross payment is received per customer choice).</w:t>
      </w:r>
    </w:p>
    <w:p xmlns:wp14="http://schemas.microsoft.com/office/word/2010/wordml" w14:paraId="0E27B00A"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3C3AF0E0"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2.1: Explicit Invoice Number Match (Priority 1)</w:t>
      </w:r>
    </w:p>
    <w:p xmlns:wp14="http://schemas.microsoft.com/office/word/2010/wordml" w14:paraId="70239A9A"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Regex extract Invoice No from narration matches sub_ledger_invoices.invoice_number (Scoped to Locked Customer/Pool)</w:t>
      </w:r>
    </w:p>
    <w:p xmlns:wp14="http://schemas.microsoft.com/office/word/2010/wordml" w14:paraId="46CEB5BE"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The client paid a specific invoice, but the amount is a partial payment. Matches correctly without throwing amount mismatch errors.</w:t>
      </w:r>
    </w:p>
    <w:p xmlns:wp14="http://schemas.microsoft.com/office/word/2010/wordml" w14:paraId="18B357B6" wp14:textId="77777777">
      <w:pPr>
        <w:pStyle w:val="Normal"/>
        <w:spacing w:before="0" w:after="60"/>
        <w:ind w:start="720"/>
        <w:rPr/>
      </w:pPr>
      <w:r>
        <w:rPr>
          <w:rFonts w:ascii="Calibri" w:hAnsi="Calibri"/>
          <w:b/>
          <w:sz w:val="21"/>
        </w:rPr>
        <w:t>Dummy Data Example:</w:t>
      </w:r>
    </w:p>
    <w:p xmlns:wp14="http://schemas.microsoft.com/office/word/2010/wordml" w14:paraId="0803C2DA"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&amp; Amount: NEFT-INV2026-99 | ₹5,000</w:t>
      </w:r>
    </w:p>
    <w:p xmlns:wp14="http://schemas.microsoft.com/office/word/2010/wordml" w14:paraId="11317B8D"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Open Invoices: INV-2026-99 (Bal: ₹10,000)</w:t>
      </w:r>
    </w:p>
    <w:p xmlns:wp14="http://schemas.microsoft.com/office/word/2010/wordml" w14:paraId="76D1CF31"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Allocates ₹5,000 to INV-2026-99. Status: Partially Settled.</w:t>
      </w:r>
    </w:p>
    <w:p xmlns:wp14="http://schemas.microsoft.com/office/word/2010/wordml" w14:paraId="60061E4C"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2A1221BA"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2.2: Truncated Invoice / Suffix Match (Priority 2)</w:t>
      </w:r>
    </w:p>
    <w:p xmlns:wp14="http://schemas.microsoft.com/office/word/2010/wordml" w14:paraId="198AE5A3"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Extract numeric blocks of 4+ digits from narration. Check if matches RIGHT(sub_ledger_invoices.invoice_number, Length).</w:t>
      </w:r>
    </w:p>
    <w:p xmlns:wp14="http://schemas.microsoft.com/office/word/2010/wordml" w14:paraId="0A6BCFF3"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Customers drop alphabetic prefixes (e.g., typing 8899 instead of INV-ACME-2526-8899), or gateway chops the string.</w:t>
      </w:r>
    </w:p>
    <w:p xmlns:wp14="http://schemas.microsoft.com/office/word/2010/wordml" w14:paraId="3E31F6B8" wp14:textId="77777777">
      <w:pPr>
        <w:pStyle w:val="Normal"/>
        <w:spacing w:before="0" w:after="60"/>
        <w:ind w:start="720"/>
        <w:rPr/>
      </w:pPr>
      <w:r>
        <w:rPr>
          <w:rFonts w:ascii="Calibri" w:hAnsi="Calibri"/>
          <w:b/>
          <w:sz w:val="21"/>
        </w:rPr>
        <w:t>Dummy Data Example:</w:t>
      </w:r>
    </w:p>
    <w:p xmlns:wp14="http://schemas.microsoft.com/office/word/2010/wordml" w14:paraId="56583D4D"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Bank Narration &amp; Amount: NEFT-PAYMENT FOR 8899 | ₹25,000</w:t>
      </w:r>
    </w:p>
    <w:p xmlns:wp14="http://schemas.microsoft.com/office/word/2010/wordml" w14:paraId="0FB0D7D1"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Customer Open Invoices: INV-ACME-2526-8899 (Bal: ₹25,000)</w:t>
      </w:r>
    </w:p>
    <w:p xmlns:wp14="http://schemas.microsoft.com/office/word/2010/wordml" w14:paraId="23534C2C"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color w:val="333333"/>
          <w:sz w:val="21"/>
        </w:rPr>
        <w:t>Result: Extracts 8899, validates exact amount triangulated match, and settles invoice.</w:t>
      </w:r>
    </w:p>
    <w:p xmlns:wp14="http://schemas.microsoft.com/office/word/2010/wordml" w14:paraId="44EAFD9C"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2C1C4CF9"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2.3: Exact Balance Match (Priority 3 / Tie-Breaker)</w:t>
      </w:r>
    </w:p>
    <w:p xmlns:wp14="http://schemas.microsoft.com/office/word/2010/wordml" w14:paraId="2CC21BA0"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bank_statements.amount == Effective Net Balance Due (or individual sub_ledger_invoices.balance_due)</w:t>
      </w:r>
    </w:p>
    <w:p xmlns:wp14="http://schemas.microsoft.com/office/word/2010/wordml" w14:paraId="7172D55B"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Narration is garbage, but the payment amount uniquely matches a single open invoice or pre-calculated net balance for that client, or breaks a candidate pool tie. If multiple open invoices or records within the customer's ledger share the exact same amount, the tie-breaker fails safe; the engine is strictly forbidden from guessing, flags the status as an 'Ambiguous Match', and routes the transaction directly to the Exception Queue for manual human adjudication.</w:t>
      </w:r>
    </w:p>
    <w:p xmlns:wp14="http://schemas.microsoft.com/office/word/2010/wordml" w14:paraId="2E13FAA8" wp14:textId="77777777">
      <w:pPr>
        <w:pStyle w:val="Normal"/>
        <w:spacing w:before="0" w:after="60"/>
        <w:ind w:start="720"/>
        <w:rPr/>
      </w:pPr>
      <w:r>
        <w:rPr>
          <w:rFonts w:ascii="Calibri" w:hAnsi="Calibri"/>
          <w:b/>
          <w:sz w:val="21"/>
        </w:rPr>
        <w:t>Dummy Data Example:</w:t>
      </w:r>
    </w:p>
    <w:p xmlns:wp14="http://schemas.microsoft.com/office/word/2010/wordml" w14:paraId="074BB130"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 xml:space="preserve">Bank Amount: </w:t>
      </w:r>
      <w:r>
        <w:rPr>
          <w:rFonts w:ascii="Calibri" w:hAnsi="Calibri"/>
          <w:color w:val="333333"/>
          <w:sz w:val="21"/>
        </w:rPr>
        <w:t>₹24,550.00</w:t>
      </w:r>
    </w:p>
    <w:p xmlns:wp14="http://schemas.microsoft.com/office/word/2010/wordml" w14:paraId="51B61D7A"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Candidate Pool Ledgers:</w:t>
      </w:r>
      <w:r>
        <w:rPr>
          <w:rFonts w:ascii="Calibri" w:hAnsi="Calibri"/>
          <w:color w:val="333333"/>
          <w:sz w:val="21"/>
        </w:rPr>
        <w:t xml:space="preserve"> Customer X: INV-A (₹10,000), Customer Y: INV-B (₹24,550)</w:t>
      </w:r>
    </w:p>
    <w:p xmlns:wp14="http://schemas.microsoft.com/office/word/2010/wordml" w14:paraId="3AA192B9"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Tie-breaker resolves to Customer Y. Matches and settles INV-B.(If multiple identical matches exist, routes to the Exception Queue). </w:t>
      </w:r>
    </w:p>
    <w:p xmlns:wp14="http://schemas.microsoft.com/office/word/2010/wordml" w14:paraId="4B94D5A5"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694016A3" wp14:textId="77777777">
      <w:pPr>
        <w:pStyle w:val="ListBullet"/>
        <w:numPr>
          <w:ilvl w:val="0"/>
          <w:numId w:val="1"/>
        </w:numPr>
        <w:spacing w:before="0" w:after="80" w:line="276" w:lineRule="auto"/>
        <w:ind w:start="648" w:hanging="360"/>
        <w:contextualSpacing/>
        <w:rPr/>
      </w:pPr>
      <w:r>
        <w:rPr>
          <w:rFonts w:ascii="Calibri" w:hAnsi="Calibri"/>
          <w:b/>
          <w:color w:val="158466"/>
          <w:sz w:val="21"/>
        </w:rPr>
        <w:t>Rule 2.4: Statutory TDS Deduction Net Match (Priority 4)</w:t>
      </w:r>
    </w:p>
    <w:p xmlns:wp14="http://schemas.microsoft.com/office/word/2010/wordml" w14:paraId="4C2FE4D7" wp14:textId="77777777">
      <w:pPr>
        <w:pStyle w:val="Normal"/>
        <w:spacing w:before="0" w:after="100" w:line="276" w:lineRule="auto"/>
        <w:ind w:start="720"/>
        <w:rPr/>
      </w:pPr>
      <w:r>
        <w:rPr>
          <w:rFonts w:ascii="Calibri" w:hAnsi="Calibri"/>
          <w:b/>
          <w:bCs/>
          <w:color w:val="333333"/>
          <w:sz w:val="21"/>
        </w:rPr>
        <w:t xml:space="preserve">Condition: </w:t>
      </w:r>
      <w:r>
        <w:rPr>
          <w:rFonts w:ascii="Calibri" w:hAnsi="Calibri"/>
          <w:color w:val="333333"/>
          <w:sz w:val="21"/>
        </w:rPr>
        <w:t>bank_statements.amount == (Effective Net Balance Due - allowed_tds_amount)</w:t>
      </w:r>
    </w:p>
    <w:p xmlns:wp14="http://schemas.microsoft.com/office/word/2010/wordml" w14:paraId="292DFE45"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Client deducted standard 2% or 10% TDS under Indian tax laws.</w:t>
      </w:r>
    </w:p>
    <w:p xmlns:wp14="http://schemas.microsoft.com/office/word/2010/wordml" w14:paraId="76FBC486" wp14:textId="77777777">
      <w:pPr>
        <w:pStyle w:val="Normal"/>
        <w:spacing w:before="0" w:after="60"/>
        <w:ind w:start="720"/>
        <w:rPr/>
      </w:pPr>
      <w:r>
        <w:rPr>
          <w:rFonts w:ascii="Calibri" w:hAnsi="Calibri"/>
          <w:b/>
          <w:sz w:val="21"/>
        </w:rPr>
        <w:t>Dummy Data Example:</w:t>
      </w:r>
    </w:p>
    <w:p xmlns:wp14="http://schemas.microsoft.com/office/word/2010/wordml" w14:paraId="19E9CA7D"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 xml:space="preserve">Bank Amount: </w:t>
      </w:r>
      <w:r>
        <w:rPr>
          <w:rFonts w:ascii="Calibri" w:hAnsi="Calibri"/>
          <w:color w:val="333333"/>
          <w:sz w:val="21"/>
        </w:rPr>
        <w:t>₹98,000</w:t>
      </w:r>
    </w:p>
    <w:p xmlns:wp14="http://schemas.microsoft.com/office/word/2010/wordml" w14:paraId="7C67C2A0"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Customer Open Invoices:</w:t>
      </w:r>
      <w:r>
        <w:rPr>
          <w:rFonts w:ascii="Calibri" w:hAnsi="Calibri"/>
          <w:color w:val="333333"/>
          <w:sz w:val="21"/>
        </w:rPr>
        <w:t xml:space="preserve"> INV-C (Bal: ₹100,000)</w:t>
      </w:r>
    </w:p>
    <w:p xmlns:wp14="http://schemas.microsoft.com/office/word/2010/wordml" w14:paraId="37180CD4"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Engine validates ₹100,000 - 2% = ₹98,000. Settles INV-C fully; ₹2,000 marked as TDS.</w:t>
      </w:r>
    </w:p>
    <w:p xmlns:wp14="http://schemas.microsoft.com/office/word/2010/wordml" w14:paraId="3DEEC669"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3C4EF3F5"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2.5: Many-to-Many Subset Sum Match (Priority 5)</w:t>
      </w:r>
    </w:p>
    <w:p xmlns:wp14="http://schemas.microsoft.com/office/word/2010/wordml" w14:paraId="579B10A0" wp14:textId="77777777">
      <w:pPr>
        <w:pStyle w:val="Normal"/>
        <w:spacing w:before="0" w:after="100" w:line="276" w:lineRule="auto"/>
        <w:ind w:start="720"/>
        <w:rPr/>
      </w:pPr>
      <w:r>
        <w:rPr>
          <w:rFonts w:ascii="Calibri" w:hAnsi="Calibri"/>
          <w:b/>
          <w:bCs/>
          <w:color w:val="333333"/>
          <w:sz w:val="21"/>
        </w:rPr>
        <w:t xml:space="preserve">Condition: </w:t>
      </w:r>
      <w:r>
        <w:rPr>
          <w:rFonts w:ascii="Calibri" w:hAnsi="Calibri"/>
          <w:color w:val="333333"/>
          <w:sz w:val="21"/>
        </w:rPr>
        <w:t>bank_statements.amount == SUM(Subset of Customer's Open Invoices / Net Pool)</w:t>
      </w:r>
    </w:p>
    <w:p xmlns:wp14="http://schemas.microsoft.com/office/word/2010/wordml" w14:paraId="5BCD9351"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Client clubs multiple invoices into a single wire transfer where multiple mathematical combinations could sum up to the exact bank amount. To prevent random selection and maintain strict aging integrity, the engine applies a FIFO (First-In, First-Out) chronological waterfall based on invoice due dates. It prioritizes settling the oldest outstanding invoices first.</w:t>
      </w:r>
    </w:p>
    <w:p xmlns:wp14="http://schemas.microsoft.com/office/word/2010/wordml" w14:paraId="61FB72E2" wp14:textId="77777777">
      <w:pPr>
        <w:pStyle w:val="Normal"/>
        <w:spacing w:before="0" w:after="60"/>
        <w:ind w:start="720"/>
        <w:rPr/>
      </w:pPr>
      <w:r>
        <w:rPr>
          <w:rFonts w:ascii="Calibri" w:hAnsi="Calibri"/>
          <w:b/>
          <w:sz w:val="21"/>
        </w:rPr>
        <w:t>Dummy Data Example:</w:t>
      </w:r>
    </w:p>
    <w:p xmlns:wp14="http://schemas.microsoft.com/office/word/2010/wordml" w14:paraId="0141E5B4"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 xml:space="preserve">Bank Amount: </w:t>
      </w:r>
      <w:r>
        <w:rPr>
          <w:rFonts w:ascii="Calibri" w:hAnsi="Calibri"/>
          <w:color w:val="333333"/>
          <w:sz w:val="21"/>
        </w:rPr>
        <w:t>₹150,000</w:t>
      </w:r>
    </w:p>
    <w:p xmlns:wp14="http://schemas.microsoft.com/office/word/2010/wordml" w14:paraId="32B3BBE4"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Customer Open Invoices:</w:t>
      </w:r>
      <w:r>
        <w:rPr>
          <w:rFonts w:ascii="Calibri" w:hAnsi="Calibri"/>
          <w:color w:val="333333"/>
          <w:sz w:val="21"/>
        </w:rPr>
        <w:t xml:space="preserve"> </w:t>
      </w:r>
    </w:p>
    <w:p xmlns:wp14="http://schemas.microsoft.com/office/word/2010/wordml" w14:paraId="1D971188" wp14:textId="77777777">
      <w:pPr>
        <w:pStyle w:val="Normal"/>
        <w:numPr>
          <w:ilvl w:val="0"/>
          <w:numId w:val="7"/>
        </w:numPr>
        <w:spacing w:before="0" w:after="100" w:line="276" w:lineRule="auto"/>
        <w:rPr>
          <w:rFonts w:ascii="Calibri" w:hAnsi="Calibri"/>
          <w:color w:val="333333"/>
          <w:sz w:val="21"/>
        </w:rPr>
      </w:pPr>
      <w:r>
        <w:rPr>
          <w:rFonts w:ascii="Calibri" w:hAnsi="Calibri"/>
          <w:b/>
          <w:bCs/>
          <w:color w:val="333333"/>
          <w:sz w:val="21"/>
        </w:rPr>
        <w:t>INV-1:</w:t>
      </w:r>
      <w:r>
        <w:rPr>
          <w:rFonts w:ascii="Calibri" w:hAnsi="Calibri"/>
          <w:color w:val="333333"/>
          <w:sz w:val="21"/>
        </w:rPr>
        <w:t xml:space="preserve"> ₹50,000 (Due June 1) — Oldest</w:t>
      </w:r>
    </w:p>
    <w:p xmlns:wp14="http://schemas.microsoft.com/office/word/2010/wordml" w14:paraId="19CA515B" wp14:textId="77777777">
      <w:pPr>
        <w:pStyle w:val="Normal"/>
        <w:numPr>
          <w:ilvl w:val="0"/>
          <w:numId w:val="7"/>
        </w:numPr>
        <w:spacing w:before="0" w:after="100" w:line="276" w:lineRule="auto"/>
        <w:rPr>
          <w:rFonts w:ascii="Calibri" w:hAnsi="Calibri"/>
          <w:color w:val="333333"/>
          <w:sz w:val="21"/>
        </w:rPr>
      </w:pPr>
      <w:r>
        <w:rPr>
          <w:rFonts w:ascii="Calibri" w:hAnsi="Calibri"/>
          <w:b/>
          <w:bCs/>
          <w:color w:val="333333"/>
          <w:sz w:val="21"/>
        </w:rPr>
        <w:t>INV-2:</w:t>
      </w:r>
      <w:r>
        <w:rPr>
          <w:rFonts w:ascii="Calibri" w:hAnsi="Calibri"/>
          <w:color w:val="333333"/>
          <w:sz w:val="21"/>
        </w:rPr>
        <w:t xml:space="preserve"> ₹20,000 (Due June 5) — Middle</w:t>
      </w:r>
    </w:p>
    <w:p xmlns:wp14="http://schemas.microsoft.com/office/word/2010/wordml" w14:paraId="71EF4629" wp14:textId="77777777">
      <w:pPr>
        <w:pStyle w:val="Normal"/>
        <w:numPr>
          <w:ilvl w:val="0"/>
          <w:numId w:val="7"/>
        </w:numPr>
        <w:spacing w:before="0" w:after="100" w:line="276" w:lineRule="auto"/>
        <w:rPr>
          <w:rFonts w:ascii="Calibri" w:hAnsi="Calibri"/>
          <w:color w:val="333333"/>
          <w:sz w:val="21"/>
        </w:rPr>
      </w:pPr>
      <w:r>
        <w:rPr>
          <w:rFonts w:ascii="Calibri" w:hAnsi="Calibri"/>
          <w:b/>
          <w:bCs/>
          <w:color w:val="333333"/>
          <w:sz w:val="21"/>
        </w:rPr>
        <w:t xml:space="preserve">INV-3: </w:t>
      </w:r>
      <w:r>
        <w:rPr>
          <w:rFonts w:ascii="Calibri" w:hAnsi="Calibri"/>
          <w:color w:val="333333"/>
          <w:sz w:val="21"/>
        </w:rPr>
        <w:t>₹100,000 (Due June 10) — Newest</w:t>
      </w:r>
      <w:r>
        <w:rPr>
          <w:rFonts w:ascii="Calibri" w:hAnsi="Calibri"/>
          <w:color w:val="333333"/>
          <w:sz w:val="21"/>
        </w:rPr>
        <w:tab/>
      </w:r>
    </w:p>
    <w:p xmlns:wp14="http://schemas.microsoft.com/office/word/2010/wordml" w14:paraId="7349216D"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Result</w:t>
      </w:r>
      <w:r>
        <w:rPr>
          <w:b/>
          <w:bCs/>
        </w:rPr>
        <w:t>(FIFO Application)</w:t>
      </w:r>
      <w:r>
        <w:rPr>
          <w:rFonts w:ascii="Calibri" w:hAnsi="Calibri"/>
          <w:b/>
          <w:bCs/>
          <w:color w:val="333333"/>
          <w:sz w:val="21"/>
        </w:rPr>
        <w:t>:</w:t>
      </w:r>
      <w:r>
        <w:rPr>
          <w:rFonts w:ascii="Calibri" w:hAnsi="Calibri"/>
          <w:color w:val="333333"/>
          <w:sz w:val="21"/>
        </w:rPr>
        <w:t xml:space="preserve"> The engine sequentially allocates the ₹150,000 starting from the oldest invoice. It fully settles INV-1 (₹50,000) and INV-2 (₹20,000) completely (totaling ₹70,000). The remaining ₹80,000 is applied as a partial payment (short-pay) against the next oldest invoice, INV-3, reducing its remaining balance due to ₹20,000 and leaving it as partially settled while awaiting the remaining payment. (If multiple valid chronological subsets exist for the exact same due dates, the engine fails safe, flags the status as an 'Ambiguous Match', and routes the transaction to the Exception Queue).</w:t>
      </w:r>
    </w:p>
    <w:p xmlns:wp14="http://schemas.microsoft.com/office/word/2010/wordml" w14:paraId="3656B9AB"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0DB4ABA8"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2.6: Bank Transaction Fee &amp; Minor Variance Tolerance with Explicit Fee Decoupling (Priority 6)</w:t>
      </w:r>
    </w:p>
    <w:p xmlns:wp14="http://schemas.microsoft.com/office/word/2010/wordml" w14:paraId="58AA86F3"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ABS(bank_statements.amount - Effective Net Balance Due) &lt;= Tolerance_Limit AND bank_statements.explicit_bank_fee == 0 (or gateway_settlement_reports.fee == 0).</w:t>
      </w:r>
    </w:p>
    <w:p xmlns:wp14="http://schemas.microsoft.com/office/word/2010/wordml" w14:paraId="12289283" wp14:textId="77777777">
      <w:pPr>
        <w:pStyle w:val="Normal"/>
        <w:spacing w:before="0" w:after="100" w:line="276" w:lineRule="auto"/>
        <w:ind w:start="720"/>
        <w:rPr/>
      </w:pPr>
      <w:r>
        <w:rPr>
          <w:rFonts w:ascii="Calibri" w:hAnsi="Calibri"/>
          <w:b/>
          <w:bCs/>
          <w:color w:val="333333"/>
          <w:sz w:val="21"/>
        </w:rPr>
        <w:t>Edge Case Handled (Handling Fee Double-Entry):</w:t>
      </w:r>
      <w:r>
        <w:rPr>
          <w:rFonts w:ascii="Calibri" w:hAnsi="Calibri"/>
          <w:color w:val="333333"/>
          <w:sz w:val="21"/>
        </w:rPr>
        <w:t xml:space="preserve"> Modern payment gateway feeds (Stripe, Razorpay) and advanced bank CSVs provide distinct columns like explicit_bank_fee, interchange_fee, or gst_on_fee. Before invoking tolerance matching, the engine inspects the explicit fee field. If explicit_bank_fee &gt; 0, the engine routes that exact fee directly to the Bank Charges ledger without touching the tolerance rule. If the fee field is blank/zero and the micro-variance is within the tolerance limit (&lt; ₹100 or 0.5%), Rule 2.6 absorbs the variance into Bank Charges.</w:t>
      </w:r>
    </w:p>
    <w:p xmlns:wp14="http://schemas.microsoft.com/office/word/2010/wordml" w14:paraId="1A867C2D" wp14:textId="77777777">
      <w:pPr>
        <w:pStyle w:val="Normal"/>
        <w:spacing w:before="0" w:after="60"/>
        <w:ind w:start="720"/>
        <w:rPr/>
      </w:pPr>
      <w:r>
        <w:rPr>
          <w:rFonts w:ascii="Calibri" w:hAnsi="Calibri"/>
          <w:b/>
          <w:sz w:val="21"/>
        </w:rPr>
        <w:t>Dummy Data Example:</w:t>
      </w:r>
    </w:p>
    <w:p xmlns:wp14="http://schemas.microsoft.com/office/word/2010/wordml" w14:paraId="3286D0AA"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Bank Amount Received:</w:t>
      </w:r>
      <w:r>
        <w:rPr>
          <w:rFonts w:ascii="Calibri" w:hAnsi="Calibri"/>
          <w:color w:val="333333"/>
          <w:sz w:val="21"/>
        </w:rPr>
        <w:t xml:space="preserve"> ₹99,850 | Invoice Balance Due: ₹1,00,000 | Explicit Bank Fee Column: ₹150</w:t>
      </w:r>
    </w:p>
    <w:p xmlns:wp14="http://schemas.microsoft.com/office/word/2010/wordml" w14:paraId="3762CFBE" wp14:textId="77777777">
      <w:pPr>
        <w:pStyle w:val="Normal"/>
        <w:spacing w:before="0" w:after="100" w:line="276" w:lineRule="auto"/>
        <w:ind w:start="1080"/>
        <w:rPr>
          <w:rFonts w:ascii="Calibri" w:hAnsi="Calibri"/>
          <w:color w:val="333333"/>
          <w:sz w:val="21"/>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Engine bypasses tolerance matching, books ₹150 directly to Bank Charges GL, and settles the ₹1,00,000 invoice cleanly with zero double-counting.</w:t>
      </w:r>
    </w:p>
    <w:p xmlns:wp14="http://schemas.microsoft.com/office/word/2010/wordml" w14:paraId="45FB0818"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154AC7EA"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2.7: Small Balance / 'Dust' Write-Off Threshold (Priority 7)</w:t>
      </w:r>
    </w:p>
    <w:p xmlns:wp14="http://schemas.microsoft.com/office/word/2010/wordml" w14:paraId="11A4AA35"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Remaining invoice balance due &lt;= pre-configured organizational write-off limit (e.g., ₹50) with no future payment expected.</w:t>
      </w:r>
    </w:p>
    <w:p xmlns:wp14="http://schemas.microsoft.com/office/word/2010/wordml" w14:paraId="5D2820AF"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Residual penny-differences caused by complex tax-rounding splits or unrecoverable micro-balances that cost more in operational overhead to chase than their actual monetary value.</w:t>
      </w:r>
    </w:p>
    <w:p xmlns:wp14="http://schemas.microsoft.com/office/word/2010/wordml" w14:paraId="59C27D0A" wp14:textId="77777777">
      <w:pPr>
        <w:pStyle w:val="Normal"/>
        <w:spacing w:before="0" w:after="60"/>
        <w:ind w:start="720"/>
        <w:rPr/>
      </w:pPr>
      <w:r>
        <w:rPr>
          <w:rFonts w:ascii="Calibri" w:hAnsi="Calibri"/>
          <w:b/>
          <w:sz w:val="21"/>
        </w:rPr>
        <w:t>Dummy Data Example:</w:t>
      </w:r>
    </w:p>
    <w:p xmlns:wp14="http://schemas.microsoft.com/office/word/2010/wordml" w14:paraId="448AA374"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Remaining Invoice Balance:</w:t>
      </w:r>
      <w:r>
        <w:rPr>
          <w:rFonts w:ascii="Calibri" w:hAnsi="Calibri"/>
          <w:color w:val="333333"/>
          <w:sz w:val="21"/>
        </w:rPr>
        <w:t xml:space="preserve"> ₹12.00 (Customer short-paid or rounded down)</w:t>
      </w:r>
    </w:p>
    <w:p xmlns:wp14="http://schemas.microsoft.com/office/word/2010/wordml" w14:paraId="73989063"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Automatically applies a small-balance write-off adjustment code, closes the invoice to ₹0, and logs the adjustment for financial controller review.</w:t>
      </w:r>
    </w:p>
    <w:p xmlns:wp14="http://schemas.microsoft.com/office/word/2010/wordml" w14:paraId="049F31CB"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0CCAB068"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2.8: Excess Payment / On-Account Advance Allocation (Priority 8)</w:t>
      </w:r>
    </w:p>
    <w:p xmlns:wp14="http://schemas.microsoft.com/office/word/2010/wordml" w14:paraId="44F1ED26"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bank_statements.amount &gt; SUM(Matched Open Invoices Balance Due)</w:t>
      </w:r>
    </w:p>
    <w:p xmlns:wp14="http://schemas.microsoft.com/office/word/2010/wordml" w14:paraId="6AD58E2C"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Client pays a lump sum that exceeds the total outstanding balance of their open invoices (e.g., paying an extra advance for next month or rounding up a large sum).</w:t>
      </w:r>
    </w:p>
    <w:p xmlns:wp14="http://schemas.microsoft.com/office/word/2010/wordml" w14:paraId="5FBCF370" wp14:textId="77777777">
      <w:pPr>
        <w:pStyle w:val="Normal"/>
        <w:spacing w:before="0" w:after="60"/>
        <w:ind w:start="720"/>
        <w:rPr/>
      </w:pPr>
      <w:r>
        <w:rPr>
          <w:rFonts w:ascii="Calibri" w:hAnsi="Calibri"/>
          <w:b/>
          <w:sz w:val="21"/>
        </w:rPr>
        <w:t>Dummy Data Example:</w:t>
      </w:r>
    </w:p>
    <w:p xmlns:wp14="http://schemas.microsoft.com/office/word/2010/wordml" w14:paraId="134AF1DC"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Bank Amount:</w:t>
      </w:r>
      <w:r>
        <w:rPr>
          <w:rFonts w:ascii="Calibri" w:hAnsi="Calibri"/>
          <w:color w:val="333333"/>
          <w:sz w:val="21"/>
        </w:rPr>
        <w:t xml:space="preserve"> ₹1,50,000 | Open Invoices Total: ₹1,00,000</w:t>
      </w:r>
    </w:p>
    <w:p xmlns:wp14="http://schemas.microsoft.com/office/word/2010/wordml" w14:paraId="48A331CD" wp14:textId="77777777">
      <w:pPr>
        <w:pStyle w:val="Normal"/>
        <w:spacing w:before="0" w:after="100" w:line="276" w:lineRule="auto"/>
        <w:ind w:start="1080"/>
        <w:rPr/>
      </w:pPr>
      <w:r>
        <w:rPr>
          <w:rFonts w:ascii="Calibri" w:hAnsi="Calibri"/>
          <w:color w:val="333333"/>
          <w:sz w:val="21"/>
        </w:rPr>
        <w:t xml:space="preserve">• </w:t>
      </w:r>
      <w:r>
        <w:rPr>
          <w:rFonts w:ascii="Calibri" w:hAnsi="Calibri"/>
          <w:b/>
          <w:bCs/>
          <w:color w:val="333333"/>
          <w:sz w:val="21"/>
        </w:rPr>
        <w:t>Result:</w:t>
      </w:r>
      <w:r>
        <w:rPr>
          <w:rFonts w:ascii="Calibri" w:hAnsi="Calibri"/>
          <w:color w:val="333333"/>
          <w:sz w:val="21"/>
        </w:rPr>
        <w:t xml:space="preserve"> Fully settles open invoices (₹1,00,000) and automatically parks the remaining ₹50,000 into the customer's On-Account / Advance Receipt Ledger as Unapplied Cash, flagged for the next billing cycle.</w:t>
      </w:r>
    </w:p>
    <w:p xmlns:wp14="http://schemas.microsoft.com/office/word/2010/wordml" w14:paraId="53128261" wp14:textId="77777777">
      <w:pPr>
        <w:pStyle w:val="Normal"/>
        <w:spacing w:before="0" w:after="100" w:line="276" w:lineRule="auto"/>
        <w:ind w:start="1080"/>
        <w:rPr>
          <w:rFonts w:ascii="Calibri" w:hAnsi="Calibri"/>
          <w:color w:val="333333"/>
          <w:sz w:val="21"/>
        </w:rPr>
      </w:pPr>
      <w:r>
        <w:rPr>
          <w:rFonts w:ascii="Calibri" w:hAnsi="Calibri"/>
          <w:color w:val="333333"/>
          <w:sz w:val="21"/>
        </w:rPr>
      </w:r>
    </w:p>
    <w:p xmlns:wp14="http://schemas.microsoft.com/office/word/2010/wordml" w14:paraId="37016677" wp14:textId="77777777">
      <w:pPr>
        <w:pStyle w:val="ListBullet"/>
        <w:numPr>
          <w:ilvl w:val="0"/>
          <w:numId w:val="1"/>
        </w:numPr>
        <w:spacing w:before="0" w:after="80" w:line="276" w:lineRule="auto"/>
        <w:ind w:start="648" w:hanging="360"/>
        <w:contextualSpacing/>
        <w:rPr>
          <w:color w:val="158466"/>
        </w:rPr>
      </w:pPr>
      <w:r>
        <w:rPr>
          <w:rFonts w:ascii="Calibri" w:hAnsi="Calibri"/>
          <w:b/>
          <w:color w:val="158466"/>
          <w:sz w:val="21"/>
        </w:rPr>
        <w:t>Rule 2.9: Universal Split / Partial Payment Handler (Cross-Rule Property / Priority 9)</w:t>
      </w:r>
    </w:p>
    <w:p xmlns:wp14="http://schemas.microsoft.com/office/word/2010/wordml" w14:paraId="0EB73B28" wp14:textId="77777777">
      <w:pPr>
        <w:pStyle w:val="Normal"/>
        <w:spacing w:before="0" w:after="100" w:line="276" w:lineRule="auto"/>
        <w:ind w:start="720"/>
        <w:rPr/>
      </w:pPr>
      <w:r>
        <w:rPr>
          <w:rFonts w:ascii="Calibri" w:hAnsi="Calibri"/>
          <w:b/>
          <w:bCs/>
          <w:color w:val="333333"/>
          <w:sz w:val="21"/>
        </w:rPr>
        <w:t>Condition:</w:t>
      </w:r>
      <w:r>
        <w:rPr>
          <w:rFonts w:ascii="Calibri" w:hAnsi="Calibri"/>
          <w:color w:val="333333"/>
          <w:sz w:val="21"/>
        </w:rPr>
        <w:t xml:space="preserve"> Whenever any primary allocation rule (2.1 to 2.5) or variance/write-off rule identifies a target invoice or group where Bank Amount &lt; Cumulative Balance Due, accept the partial payment, update the invoice remaining balance (New Balance = Current Balance - Bank Amount), and set status to Partially Settled.</w:t>
      </w:r>
    </w:p>
    <w:p xmlns:wp14="http://schemas.microsoft.com/office/word/2010/wordml" w14:paraId="4097669A" wp14:textId="77777777">
      <w:pPr>
        <w:pStyle w:val="Normal"/>
        <w:spacing w:before="0" w:after="100" w:line="276" w:lineRule="auto"/>
        <w:ind w:start="720"/>
        <w:rPr/>
      </w:pPr>
      <w:r>
        <w:rPr>
          <w:rFonts w:ascii="Calibri" w:hAnsi="Calibri"/>
          <w:b/>
          <w:bCs/>
          <w:color w:val="333333"/>
          <w:sz w:val="21"/>
        </w:rPr>
        <w:t>Edge Case Handled:</w:t>
      </w:r>
      <w:r>
        <w:rPr>
          <w:rFonts w:ascii="Calibri" w:hAnsi="Calibri"/>
          <w:color w:val="333333"/>
          <w:sz w:val="21"/>
        </w:rPr>
        <w:t xml:space="preserve"> Large corporate clients splitting bills into milestone payments, making part-payments against suffixed invoice numbers, or paying installment amounts across multiple separate bank wire transfers.</w:t>
      </w:r>
    </w:p>
    <w:p xmlns:wp14="http://schemas.microsoft.com/office/word/2010/wordml" w14:paraId="2FCAED09" wp14:textId="77777777">
      <w:pPr>
        <w:pStyle w:val="Normal"/>
        <w:spacing w:before="0" w:after="60"/>
        <w:ind w:start="720"/>
        <w:rPr/>
      </w:pPr>
      <w:r>
        <w:rPr>
          <w:rFonts w:ascii="Calibri" w:hAnsi="Calibri"/>
          <w:b/>
          <w:sz w:val="21"/>
        </w:rPr>
        <w:t>Dummy Data Example:</w:t>
      </w:r>
    </w:p>
    <w:p xmlns:wp14="http://schemas.microsoft.com/office/word/2010/wordml" w14:paraId="3673CAD0"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Open Invoice: INV-2026-99 (Gross Balance: ₹1,00,000)</w:t>
      </w:r>
    </w:p>
    <w:p xmlns:wp14="http://schemas.microsoft.com/office/word/2010/wordml" w14:paraId="110930A3"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Payment 1: ₹40,000 received on June 5. Updates balance to ₹60,000 (Partially Settled).</w:t>
      </w:r>
    </w:p>
    <w:p xmlns:wp14="http://schemas.microsoft.com/office/word/2010/wordml" w14:paraId="6F90A399" wp14:textId="77777777">
      <w:pPr>
        <w:pStyle w:val="Normal"/>
        <w:spacing w:before="0" w:after="100" w:line="276" w:lineRule="auto"/>
        <w:ind w:start="1080"/>
        <w:rPr/>
      </w:pPr>
      <w:r>
        <w:rPr>
          <w:rFonts w:ascii="Calibri" w:hAnsi="Calibri"/>
          <w:color w:val="333333"/>
          <w:sz w:val="21"/>
        </w:rPr>
        <w:t xml:space="preserve">• </w:t>
      </w:r>
      <w:r>
        <w:rPr>
          <w:rFonts w:ascii="Calibri" w:hAnsi="Calibri"/>
          <w:color w:val="333333"/>
          <w:sz w:val="21"/>
        </w:rPr>
        <w:t>Payment 2: ₹60,000 received on June 18. Matches updated balance, drops to ₹0 (Fully Settled).</w:t>
      </w:r>
    </w:p>
    <w:p xmlns:wp14="http://schemas.microsoft.com/office/word/2010/wordml" w14:paraId="4B04B9C0" wp14:textId="77777777">
      <w:pPr>
        <w:pStyle w:val="Normal"/>
        <w:keepNext w:val="true"/>
        <w:spacing w:before="320" w:after="120"/>
        <w:rPr/>
      </w:pPr>
      <w:r>
        <w:rPr>
          <w:rFonts w:ascii="Calibri" w:hAnsi="Calibri"/>
          <w:b/>
          <w:color w:val="1F4E79"/>
          <w:sz w:val="30"/>
        </w:rPr>
        <w:t>5. Exception &amp; Fallback Routing</w:t>
      </w:r>
    </w:p>
    <w:p xmlns:wp14="http://schemas.microsoft.com/office/word/2010/wordml" w14:paraId="6515DE9D" wp14:textId="77777777">
      <w:pPr>
        <w:pStyle w:val="ListBullet"/>
        <w:numPr>
          <w:ilvl w:val="0"/>
          <w:numId w:val="1"/>
        </w:numPr>
        <w:spacing w:before="0" w:after="80" w:line="276" w:lineRule="auto"/>
        <w:ind w:start="648" w:hanging="360"/>
        <w:contextualSpacing/>
        <w:rPr/>
      </w:pPr>
      <w:r>
        <w:rPr>
          <w:rFonts w:ascii="Calibri" w:hAnsi="Calibri"/>
          <w:b/>
          <w:color w:val="333333"/>
          <w:sz w:val="21"/>
        </w:rPr>
        <w:t>1. Suspense Account Routing:</w:t>
      </w:r>
      <w:r>
        <w:rPr>
          <w:rFonts w:ascii="Calibri" w:hAnsi="Calibri"/>
          <w:color w:val="333333"/>
          <w:sz w:val="21"/>
        </w:rPr>
        <w:t xml:space="preserve"> If Phase 1a and 1b completely fail to identify any customer candidates, the transaction is marked 'Unidentified' and routed to the Suspense Account queue.</w:t>
      </w:r>
    </w:p>
    <w:p xmlns:wp14="http://schemas.microsoft.com/office/word/2010/wordml" w14:paraId="5936D1B4" wp14:textId="77777777">
      <w:pPr>
        <w:pStyle w:val="ListBullet"/>
        <w:numPr>
          <w:ilvl w:val="0"/>
          <w:numId w:val="1"/>
        </w:numPr>
        <w:spacing w:before="0" w:after="80" w:line="276" w:lineRule="auto"/>
        <w:ind w:start="648" w:hanging="360"/>
        <w:contextualSpacing/>
        <w:rPr/>
      </w:pPr>
      <w:r>
        <w:rPr>
          <w:rFonts w:ascii="Calibri" w:hAnsi="Calibri"/>
          <w:b/>
          <w:color w:val="333333"/>
          <w:sz w:val="21"/>
        </w:rPr>
        <w:t>2. Scoped Review Queue:</w:t>
      </w:r>
      <w:r>
        <w:rPr>
          <w:rFonts w:ascii="Calibri" w:hAnsi="Calibri"/>
          <w:color w:val="333333"/>
          <w:sz w:val="21"/>
        </w:rPr>
        <w:t xml:space="preserve"> If Phase 1a locks a customer, but Phase 2 cannot find a matching amount (e.g., an overpayment or short-pay without TDS), the transaction is pushed to the 'Exceptions Dashboard'. Because Phase 1a succeeded, the UI will pre-load the customer's profile, saving the AR agent search time.</w:t>
      </w:r>
    </w:p>
    <w:p xmlns:wp14="http://schemas.microsoft.com/office/word/2010/wordml" w14:paraId="0DF491C1" wp14:textId="77777777">
      <w:pPr>
        <w:pStyle w:val="ListBullet"/>
        <w:numPr>
          <w:ilvl w:val="0"/>
          <w:numId w:val="1"/>
        </w:numPr>
        <w:spacing w:before="0" w:after="80" w:line="276" w:lineRule="auto"/>
        <w:ind w:start="648" w:hanging="360"/>
        <w:contextualSpacing/>
        <w:rPr/>
      </w:pPr>
      <w:r>
        <w:rPr>
          <w:rFonts w:ascii="Calibri" w:hAnsi="Calibri"/>
          <w:b/>
          <w:color w:val="333333"/>
          <w:sz w:val="21"/>
        </w:rPr>
        <w:t>3. Standalone Bank-Initiated Fees (Monthly Charges):</w:t>
      </w:r>
      <w:r>
        <w:rPr>
          <w:rFonts w:ascii="Calibri" w:hAnsi="Calibri"/>
          <w:color w:val="333333"/>
          <w:sz w:val="21"/>
        </w:rPr>
        <w:t xml:space="preserve"> Standalone bank debit rows (such as account maintenance charges, locker rent, or sweeping service fees appearing on bank statements with no corresponding customer or invoice) bypass Phase 1 and Phase 2 entirely. They are routed directly to a General Ledger Direct Adjustment Queue and booked via a direct JE (Debit: Bank Charges / Credit: Cash Control Account). Because these fees do not touch customer sub-ledgers, they affect bank reconciliation while maintaining zero variance against A/R Control Account 1200.</w:t>
      </w:r>
    </w:p>
    <w:p xmlns:wp14="http://schemas.microsoft.com/office/word/2010/wordml" w14:paraId="7A221B82" wp14:textId="77777777">
      <w:pPr>
        <w:pStyle w:val="ListBullet"/>
        <w:numPr>
          <w:ilvl w:val="0"/>
          <w:numId w:val="1"/>
        </w:numPr>
        <w:spacing w:before="0" w:after="80" w:line="276" w:lineRule="auto"/>
        <w:ind w:start="648" w:hanging="360"/>
        <w:contextualSpacing/>
        <w:rPr/>
      </w:pPr>
      <w:r>
        <w:rPr>
          <w:rFonts w:ascii="Calibri" w:hAnsi="Calibri"/>
          <w:b/>
          <w:color w:val="333333"/>
          <w:sz w:val="21"/>
        </w:rPr>
        <w:t>4. The 'Double Collision' Exception (Crucial):</w:t>
      </w:r>
      <w:r>
        <w:rPr>
          <w:rFonts w:ascii="Calibri" w:hAnsi="Calibri"/>
          <w:color w:val="333333"/>
          <w:sz w:val="21"/>
        </w:rPr>
        <w:t xml:space="preserve"> If Phase 1b yields a Candidate Pool (e.g., [Customer A, Customer B]), and in Phase 2, BOTH customers happen to have an exact mathematical match for the transaction amount (e.g., both owe exactly ₹50,000). The engine is strictly forbidden from guessing. The tie-breaker fails, and the status changes to 'Ambiguous Match'. It is pushed to the Exception Queue where the UI presents both customers side-by-side for manual human adjudication.</w:t>
      </w:r>
    </w:p>
    <w:p xmlns:wp14="http://schemas.microsoft.com/office/word/2010/wordml" w14:paraId="69483220" wp14:textId="77777777">
      <w:pPr>
        <w:pStyle w:val="Normal"/>
        <w:keepNext w:val="true"/>
        <w:spacing w:before="320" w:after="120"/>
        <w:rPr/>
      </w:pPr>
      <w:r>
        <w:rPr>
          <w:rFonts w:ascii="Calibri" w:hAnsi="Calibri"/>
          <w:b/>
          <w:color w:val="1F4E79"/>
          <w:sz w:val="30"/>
        </w:rPr>
        <w:t>6. Post-Reconciliation Sub-Ledger (SL) vs. General Ledger (GL) Timing &amp; JE Workflow</w:t>
      </w:r>
    </w:p>
    <w:p xmlns:wp14="http://schemas.microsoft.com/office/word/2010/wordml" w14:paraId="71AB42A9" wp14:textId="77777777">
      <w:pPr>
        <w:pStyle w:val="Normal"/>
        <w:spacing w:before="0" w:after="100" w:line="276" w:lineRule="auto"/>
        <w:ind w:start="0"/>
        <w:rPr/>
      </w:pPr>
      <w:r>
        <w:rPr>
          <w:rFonts w:ascii="Calibri" w:hAnsi="Calibri"/>
          <w:color w:val="333333"/>
          <w:sz w:val="21"/>
        </w:rPr>
        <w:t>Accounting Control Protocol: To prevent temporary accounts, unapplied cash clutter, or distorted aging reports, Journal Entries (JEs) for sub-ledgers and GL control accounts are strictly executed AFTER all exceptions, write-offs, manual mappings, and fee decouplings are fully resolved.</w:t>
      </w:r>
    </w:p>
    <w:p xmlns:wp14="http://schemas.microsoft.com/office/word/2010/wordml" w14:paraId="0FE7EAF1" wp14:textId="77777777">
      <w:pPr>
        <w:pStyle w:val="Normal"/>
        <w:spacing w:before="0" w:after="100" w:line="276" w:lineRule="auto"/>
        <w:ind w:start="0"/>
        <w:rPr/>
      </w:pPr>
      <w:r>
        <w:rPr>
          <w:rFonts w:ascii="Calibri" w:hAnsi="Calibri"/>
          <w:color w:val="333333"/>
          <w:sz w:val="21"/>
        </w:rPr>
        <w:t>Workflow Sequence: 1. Ingest Bank &amp; Gateway Feeds -&gt; 2. Execute Phase 1 Payer Locking &amp; Phase 2 Invoice Allocation -&gt; 3. Resolve Exceptions and On-Account Advances -&gt; 4. Post Consolidated Sub-Ledger and General Ledger Journal Entries -&gt; 5. Generate Final Sign-Off Report. This ensures that the Sub-Ledger vs. General Ledger Control Proof report instantly balances with zero unaccounted variance upon sign-off.</w:t>
      </w:r>
    </w:p>
    <w:p xmlns:wp14="http://schemas.microsoft.com/office/word/2010/wordml" w14:paraId="3CEF8536" wp14:textId="77777777">
      <w:pPr>
        <w:pStyle w:val="Normal"/>
        <w:keepNext w:val="true"/>
        <w:spacing w:before="320" w:after="120"/>
        <w:rPr/>
      </w:pPr>
      <w:r>
        <w:rPr>
          <w:rFonts w:ascii="Calibri" w:hAnsi="Calibri"/>
          <w:b/>
          <w:color w:val="1F4E79"/>
          <w:sz w:val="30"/>
        </w:rPr>
        <w:t>7. Immutable Audit Trail Process Architecture</w:t>
      </w:r>
    </w:p>
    <w:p xmlns:wp14="http://schemas.microsoft.com/office/word/2010/wordml" w14:paraId="34AC1F72" wp14:textId="77777777">
      <w:pPr>
        <w:pStyle w:val="Normal"/>
        <w:spacing w:before="0" w:after="100" w:line="276" w:lineRule="auto"/>
        <w:ind w:start="0"/>
        <w:rPr/>
      </w:pPr>
      <w:r>
        <w:rPr>
          <w:rFonts w:ascii="Calibri" w:hAnsi="Calibri"/>
          <w:color w:val="333333"/>
          <w:sz w:val="21"/>
        </w:rPr>
        <w:t>To ensure regulatory compliance (such as SOX or internal financial controls) and satisfy executive sign-off requirements, the audit architecture implements a 4-tier process:</w:t>
      </w:r>
    </w:p>
    <w:p xmlns:wp14="http://schemas.microsoft.com/office/word/2010/wordml" w14:paraId="0706AA42" wp14:textId="77777777">
      <w:pPr>
        <w:pStyle w:val="ListBullet"/>
        <w:numPr>
          <w:ilvl w:val="0"/>
          <w:numId w:val="1"/>
        </w:numPr>
        <w:spacing w:before="0" w:after="80" w:line="276" w:lineRule="auto"/>
        <w:ind w:start="648" w:hanging="360"/>
        <w:contextualSpacing/>
        <w:rPr/>
      </w:pPr>
      <w:r>
        <w:rPr>
          <w:rFonts w:ascii="Calibri" w:hAnsi="Calibri"/>
          <w:b/>
          <w:color w:val="333333"/>
          <w:sz w:val="21"/>
        </w:rPr>
        <w:t>1. Granular Event-Driven Logging:</w:t>
      </w:r>
      <w:r>
        <w:rPr>
          <w:rFonts w:ascii="Calibri" w:hAnsi="Calibri"/>
          <w:color w:val="333333"/>
          <w:sz w:val="21"/>
        </w:rPr>
        <w:t xml:space="preserve"> Every automated action or manual intervention writes an immutable record to an append-only audit database table capturing Timestamp, Run_ID, Event_Type, Entity_ID, Old_State, New_State, and User_ID.</w:t>
      </w:r>
    </w:p>
    <w:p xmlns:wp14="http://schemas.microsoft.com/office/word/2010/wordml" w14:paraId="1922234C" wp14:textId="77777777">
      <w:pPr>
        <w:pStyle w:val="ListBullet"/>
        <w:numPr>
          <w:ilvl w:val="0"/>
          <w:numId w:val="1"/>
        </w:numPr>
        <w:spacing w:before="0" w:after="80" w:line="276" w:lineRule="auto"/>
        <w:ind w:start="648" w:hanging="360"/>
        <w:contextualSpacing/>
        <w:rPr/>
      </w:pPr>
      <w:r>
        <w:rPr>
          <w:rFonts w:ascii="Calibri" w:hAnsi="Calibri"/>
          <w:b/>
          <w:color w:val="333333"/>
          <w:sz w:val="21"/>
        </w:rPr>
        <w:t>2. User Action Stamping &amp; Segregation of Duties (SoD):</w:t>
      </w:r>
      <w:r>
        <w:rPr>
          <w:rFonts w:ascii="Calibri" w:hAnsi="Calibri"/>
          <w:color w:val="333333"/>
          <w:sz w:val="21"/>
        </w:rPr>
        <w:t xml:space="preserve"> Manual overrides, mystery receipt mappings, and write-offs capture explicit user credentials (e.g., Executed By: John Doe | ID: USR-8842).</w:t>
      </w:r>
    </w:p>
    <w:p xmlns:wp14="http://schemas.microsoft.com/office/word/2010/wordml" w14:paraId="3BC1A8A4" wp14:textId="77777777">
      <w:pPr>
        <w:pStyle w:val="ListBullet"/>
        <w:numPr>
          <w:ilvl w:val="0"/>
          <w:numId w:val="1"/>
        </w:numPr>
        <w:spacing w:before="0" w:after="80" w:line="276" w:lineRule="auto"/>
        <w:ind w:start="648" w:hanging="360"/>
        <w:contextualSpacing/>
        <w:rPr/>
      </w:pPr>
      <w:r>
        <w:rPr>
          <w:rFonts w:ascii="Calibri" w:hAnsi="Calibri"/>
          <w:b/>
          <w:color w:val="333333"/>
          <w:sz w:val="21"/>
        </w:rPr>
        <w:t>3. Cryptographic Run Hashing:</w:t>
      </w:r>
      <w:r>
        <w:rPr>
          <w:rFonts w:ascii="Calibri" w:hAnsi="Calibri"/>
          <w:color w:val="333333"/>
          <w:sz w:val="21"/>
        </w:rPr>
        <w:t xml:space="preserve"> Upon clicking 'Complete Reconciliation and Sign-Off,' the system compiles matched pairs, adjustments, unapplied cash totals, and JEs into a canonical string and generates a cryptographic hash (e.g., RUN-2026-0723-9941X-SHA256) ensuring tamper-proof verification.</w:t>
      </w:r>
    </w:p>
    <w:p xmlns:wp14="http://schemas.microsoft.com/office/word/2010/wordml" w14:paraId="5896EE6B" wp14:textId="77777777">
      <w:pPr>
        <w:pStyle w:val="ListBullet"/>
        <w:numPr>
          <w:ilvl w:val="0"/>
          <w:numId w:val="1"/>
        </w:numPr>
        <w:spacing w:before="0" w:after="80" w:line="276" w:lineRule="auto"/>
        <w:ind w:start="648" w:hanging="360"/>
        <w:contextualSpacing/>
        <w:rPr/>
      </w:pPr>
      <w:r>
        <w:rPr>
          <w:rFonts w:ascii="Calibri" w:hAnsi="Calibri"/>
          <w:b/>
          <w:color w:val="333333"/>
          <w:sz w:val="21"/>
        </w:rPr>
        <w:t>4. Automated Export &amp; Read-Only Archival Package:</w:t>
      </w:r>
      <w:r>
        <w:rPr>
          <w:rFonts w:ascii="Calibri" w:hAnsi="Calibri"/>
          <w:color w:val="333333"/>
          <w:sz w:val="21"/>
        </w:rPr>
        <w:t xml:space="preserve"> Bundles the Executive Summary Statement, Final Matched Pairs Summary, SL vs. GL Control Proof, and time-stamped Audit Register into a read-only compliance vault.</w:t>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9e1ae98"/>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6ac13b09"/>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6235b0c7"/>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4e3860a7"/>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5c23aa65"/>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0081a1c"/>
  </w:abstractNum>
  <w:abstractNum w:abstractNumId="7">
    <w:lvl w:ilvl="0">
      <w:start w:val="1"/>
      <w:numFmt w:val="bullet"/>
      <w:lvlText w:val=""/>
      <w:lvlJc w:val="start"/>
      <w:pPr>
        <w:tabs>
          <w:tab w:val="num" w:pos="1800"/>
        </w:tabs>
        <w:ind w:start="1800" w:hanging="360"/>
      </w:pPr>
      <w:rPr>
        <w:rFonts w:hint="default" w:ascii="Symbol" w:hAnsi="Symbol" w:cs="Symbol"/>
      </w:rPr>
    </w:lvl>
    <w:lvl w:ilvl="1">
      <w:start w:val="1"/>
      <w:numFmt w:val="bullet"/>
      <w:lvlText w:val="◦"/>
      <w:lvlJc w:val="start"/>
      <w:pPr>
        <w:tabs>
          <w:tab w:val="num" w:pos="2160"/>
        </w:tabs>
        <w:ind w:start="2160" w:hanging="360"/>
      </w:pPr>
      <w:rPr>
        <w:rFonts w:hint="default" w:ascii="OpenSymbol" w:hAnsi="OpenSymbol" w:cs="OpenSymbol"/>
      </w:rPr>
    </w:lvl>
    <w:lvl w:ilvl="2">
      <w:start w:val="1"/>
      <w:numFmt w:val="bullet"/>
      <w:lvlText w:val="▪"/>
      <w:lvlJc w:val="start"/>
      <w:pPr>
        <w:tabs>
          <w:tab w:val="num" w:pos="2520"/>
        </w:tabs>
        <w:ind w:start="2520" w:hanging="360"/>
      </w:pPr>
      <w:rPr>
        <w:rFonts w:hint="default" w:ascii="OpenSymbol" w:hAnsi="OpenSymbol" w:cs="OpenSymbol"/>
      </w:rPr>
    </w:lvl>
    <w:lvl w:ilvl="3">
      <w:start w:val="1"/>
      <w:numFmt w:val="bullet"/>
      <w:lvlText w:val=""/>
      <w:lvlJc w:val="start"/>
      <w:pPr>
        <w:tabs>
          <w:tab w:val="num" w:pos="2880"/>
        </w:tabs>
        <w:ind w:start="2880" w:hanging="360"/>
      </w:pPr>
      <w:rPr>
        <w:rFonts w:hint="default" w:ascii="Symbol" w:hAnsi="Symbol" w:cs="Symbol"/>
      </w:rPr>
    </w:lvl>
    <w:lvl w:ilvl="4">
      <w:start w:val="1"/>
      <w:numFmt w:val="bullet"/>
      <w:lvlText w:val="◦"/>
      <w:lvlJc w:val="start"/>
      <w:pPr>
        <w:tabs>
          <w:tab w:val="num" w:pos="3240"/>
        </w:tabs>
        <w:ind w:start="3240" w:hanging="360"/>
      </w:pPr>
      <w:rPr>
        <w:rFonts w:hint="default" w:ascii="OpenSymbol" w:hAnsi="OpenSymbol" w:cs="OpenSymbol"/>
      </w:rPr>
    </w:lvl>
    <w:lvl w:ilvl="5">
      <w:start w:val="1"/>
      <w:numFmt w:val="bullet"/>
      <w:lvlText w:val="▪"/>
      <w:lvlJc w:val="start"/>
      <w:pPr>
        <w:tabs>
          <w:tab w:val="num" w:pos="3600"/>
        </w:tabs>
        <w:ind w:start="3600" w:hanging="360"/>
      </w:pPr>
      <w:rPr>
        <w:rFonts w:hint="default" w:ascii="OpenSymbol" w:hAnsi="OpenSymbol" w:cs="OpenSymbol"/>
      </w:rPr>
    </w:lvl>
    <w:lvl w:ilvl="6">
      <w:start w:val="1"/>
      <w:numFmt w:val="bullet"/>
      <w:lvlText w:val=""/>
      <w:lvlJc w:val="start"/>
      <w:pPr>
        <w:tabs>
          <w:tab w:val="num" w:pos="3960"/>
        </w:tabs>
        <w:ind w:start="3960" w:hanging="360"/>
      </w:pPr>
      <w:rPr>
        <w:rFonts w:hint="default" w:ascii="Symbol" w:hAnsi="Symbol" w:cs="Symbol"/>
      </w:rPr>
    </w:lvl>
    <w:lvl w:ilvl="7">
      <w:start w:val="1"/>
      <w:numFmt w:val="bullet"/>
      <w:lvlText w:val="◦"/>
      <w:lvlJc w:val="start"/>
      <w:pPr>
        <w:tabs>
          <w:tab w:val="num" w:pos="4320"/>
        </w:tabs>
        <w:ind w:start="4320" w:hanging="360"/>
      </w:pPr>
      <w:rPr>
        <w:rFonts w:hint="default" w:ascii="OpenSymbol" w:hAnsi="OpenSymbol" w:cs="OpenSymbol"/>
      </w:rPr>
    </w:lvl>
    <w:lvl w:ilvl="8">
      <w:start w:val="1"/>
      <w:numFmt w:val="bullet"/>
      <w:lvlText w:val="▪"/>
      <w:lvlJc w:val="start"/>
      <w:pPr>
        <w:tabs>
          <w:tab w:val="num" w:pos="4680"/>
        </w:tabs>
        <w:ind w:start="4680" w:hanging="360"/>
      </w:pPr>
      <w:rPr>
        <w:rFonts w:hint="default" w:ascii="OpenSymbol" w:hAnsi="OpenSymbol" w:cs="OpenSymbol"/>
      </w:rPr>
    </w:lvl>
    <w:nsid w:val="15fafaea"/>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2107b546"/>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0"/>
  <w:trackRevisions w:val="false"/>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66C848B1"/>
  <w15:docId w15:val="{E43DEC34-025B-4DCA-8771-E2F955C92F84}"/>
  <w:rsids>
    <w:rsidRoot w:val="0B1C6B03"/>
    <w:rsid w:val="0B1C6B03"/>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before="0" w:after="200" w:line="276"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suppressAutoHyphens w:val="true"/>
      <w:bidi w:val="0"/>
      <w:spacing w:before="0" w:after="0" w:line="240"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true"/>
      <w:bidi w:val="0"/>
      <w:spacing w:before="0" w:after="200" w:line="276" w:lineRule="auto"/>
      <w:jc w:val="start"/>
    </w:pPr>
    <w:rPr>
      <w:rFonts w:ascii="Courier" w:hAnsi="Courier" w:eastAsia=""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customXml" Target="../customXml/item1.xml" Id="rId6"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Shreyas S</lastModifiedBy>
  <dcterms:modified xsi:type="dcterms:W3CDTF">2026-07-28T10:46:16.9840961Z</dcterms:modified>
  <revision>20</revision>
  <dc:subject/>
  <dc:title/>
</coreProperties>
</file>

<file path=docProps/custom.xml><?xml version="1.0" encoding="utf-8"?>
<Properties xmlns="http://schemas.openxmlformats.org/officeDocument/2006/custom-properties" xmlns:vt="http://schemas.openxmlformats.org/officeDocument/2006/docPropsVTypes"/>
</file>