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 Reconciliation Engine - Database Schema v6.0</w:t>
      </w:r>
    </w:p>
    <w:p>
      <w:r>
        <w:t>Finalized Enterprise Architecture: Includes Sub-Ledger Allocations, GL Account Mapping, Multi-Currency normalization, and Enhanced Financial Audit Trails.</w:t>
      </w:r>
    </w:p>
    <w:p>
      <w:pPr>
        <w:pStyle w:val="Heading2"/>
      </w:pPr>
      <w:r>
        <w:t>1. Customers (customers)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Stores foundational customer master data identifier.</w:t>
            </w:r>
          </w:p>
        </w:tc>
      </w:tr>
      <w:tr>
        <w:tc>
          <w:tcPr>
            <w:tcW w:type="dxa" w:w="2880"/>
          </w:tcPr>
          <w:p>
            <w:r>
              <w:t>company_name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The name of the company, utilized for standard fuzzy company name matching.</w:t>
            </w:r>
          </w:p>
        </w:tc>
      </w:tr>
      <w:tr>
        <w:tc>
          <w:tcPr>
            <w:tcW w:type="dxa" w:w="2880"/>
          </w:tcPr>
          <w:p>
            <w:r>
              <w:t>payment_terms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Indicates the payment terms agreed upon with the customer.</w:t>
            </w:r>
          </w:p>
        </w:tc>
      </w:tr>
      <w:tr>
        <w:tc>
          <w:tcPr>
            <w:tcW w:type="dxa" w:w="2880"/>
          </w:tcPr>
          <w:p>
            <w:r>
              <w:t>credit_limit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Tracks the customer's overall credit limit.</w:t>
            </w:r>
          </w:p>
        </w:tc>
      </w:tr>
      <w:tr>
        <w:tc>
          <w:tcPr>
            <w:tcW w:type="dxa" w:w="2880"/>
          </w:tcPr>
          <w:p>
            <w:r>
              <w:t>pan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Permanent Account Number used for exact tax ID extraction matching.</w:t>
            </w:r>
          </w:p>
        </w:tc>
      </w:tr>
      <w:tr>
        <w:tc>
          <w:tcPr>
            <w:tcW w:type="dxa" w:w="2880"/>
          </w:tcPr>
          <w:p>
            <w:r>
              <w:t>gstin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Goods and Services Tax Identification Number utilized to resolve ambiguity.</w:t>
            </w:r>
          </w:p>
        </w:tc>
      </w:tr>
      <w:tr>
        <w:tc>
          <w:tcPr>
            <w:tcW w:type="dxa" w:w="2880"/>
          </w:tcPr>
          <w:p>
            <w:r>
              <w:t>vpa_handle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Unified Payments Interface (UPI) Virtual Payment Address handle.</w:t>
            </w:r>
          </w:p>
        </w:tc>
      </w:tr>
    </w:tbl>
    <w:p>
      <w:pPr>
        <w:pStyle w:val="Heading2"/>
      </w:pPr>
      <w:r>
        <w:t>2. Customer Bank Accounts (customer_bank_accounts)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Primary key for this specific bank account record.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Foreign key linking back to the customers table.</w:t>
            </w:r>
          </w:p>
        </w:tc>
      </w:tr>
      <w:tr>
        <w:tc>
          <w:tcPr>
            <w:tcW w:type="dxa" w:w="2880"/>
          </w:tcPr>
          <w:p>
            <w:r>
              <w:t>bank_account_no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The actual bank account number used by the customer.</w:t>
            </w:r>
          </w:p>
        </w:tc>
      </w:tr>
      <w:tr>
        <w:tc>
          <w:tcPr>
            <w:tcW w:type="dxa" w:w="2880"/>
          </w:tcPr>
          <w:p>
            <w:r>
              <w:t>ifsc_code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The bank's IFSC/Routing code for this specific account.</w:t>
            </w:r>
          </w:p>
        </w:tc>
      </w:tr>
      <w:tr>
        <w:tc>
          <w:tcPr>
            <w:tcW w:type="dxa" w:w="2880"/>
          </w:tcPr>
          <w:p>
            <w:r>
              <w:t>account_alias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A human-readable label (e.g., 'North Region Subsidiary').</w:t>
            </w:r>
          </w:p>
        </w:tc>
      </w:tr>
      <w:tr>
        <w:tc>
          <w:tcPr>
            <w:tcW w:type="dxa" w:w="2880"/>
          </w:tcPr>
          <w:p>
            <w:r>
              <w:t>is_primary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Flags if this is their default/most common account.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ACTIVE or INACTIVE (allows deprecating old accounts without deleting history).</w:t>
            </w:r>
          </w:p>
        </w:tc>
      </w:tr>
    </w:tbl>
    <w:p>
      <w:pPr>
        <w:pStyle w:val="Heading2"/>
      </w:pPr>
      <w:r>
        <w:t>3. Customer Reference Codes (customer_reference_codes)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reference_id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Primary key for this reference mapping.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Foreign key linking back to the customers table.</w:t>
            </w:r>
          </w:p>
        </w:tc>
      </w:tr>
      <w:tr>
        <w:tc>
          <w:tcPr>
            <w:tcW w:type="dxa" w:w="2880"/>
          </w:tcPr>
          <w:p>
            <w:r>
              <w:t>code_type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Categorizes the code (e.g., 'VIRTUAL_ACCOUNT', 'ERP_ID').</w:t>
            </w:r>
          </w:p>
        </w:tc>
      </w:tr>
      <w:tr>
        <w:tc>
          <w:tcPr>
            <w:tcW w:type="dxa" w:w="2880"/>
          </w:tcPr>
          <w:p>
            <w:r>
              <w:t>code_value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The actual alphanumeric string the engine will search for in the bank narration.</w:t>
            </w:r>
          </w:p>
        </w:tc>
      </w:tr>
      <w:tr>
        <w:tc>
          <w:tcPr>
            <w:tcW w:type="dxa" w:w="2880"/>
          </w:tcPr>
          <w:p>
            <w:r>
              <w:t>match_priority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Tells the engine how heavily to weight this match (e.g., 1 for absolute).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Flags whether the matching engine should currently look for this code.</w:t>
            </w:r>
          </w:p>
        </w:tc>
      </w:tr>
    </w:tbl>
    <w:p>
      <w:pPr>
        <w:pStyle w:val="Heading2"/>
      </w:pPr>
      <w:r>
        <w:t>4. Sub-Ledger Invoices (invoices)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invoice_id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Unique identifier for tracking billing activity.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Relates the invoice back to the specific customer.</w:t>
            </w:r>
          </w:p>
        </w:tc>
      </w:tr>
      <w:tr>
        <w:tc>
          <w:tcPr>
            <w:tcW w:type="dxa" w:w="2880"/>
          </w:tcPr>
          <w:p>
            <w:r>
              <w:t>invoice_number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Used for explicit string matching or truncated numeric suffix matching.</w:t>
            </w:r>
          </w:p>
        </w:tc>
      </w:tr>
      <w:tr>
        <w:tc>
          <w:tcPr>
            <w:tcW w:type="dxa" w:w="2880"/>
          </w:tcPr>
          <w:p>
            <w:r>
              <w:t>invoice_date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the document was issued.</w:t>
            </w:r>
          </w:p>
        </w:tc>
      </w:tr>
      <w:tr>
        <w:tc>
          <w:tcPr>
            <w:tcW w:type="dxa" w:w="2880"/>
          </w:tcPr>
          <w:p>
            <w:r>
              <w:t>due_date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Payment deadline, used to enforce FIFO chronological waterfalls.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VARCHAR(3)</w:t>
            </w:r>
          </w:p>
        </w:tc>
        <w:tc>
          <w:tcPr>
            <w:tcW w:type="dxa" w:w="2880"/>
          </w:tcPr>
          <w:p>
            <w:r>
              <w:t>The original ISO currency code of the invoice.</w:t>
            </w:r>
          </w:p>
        </w:tc>
      </w:tr>
      <w:tr>
        <w:tc>
          <w:tcPr>
            <w:tcW w:type="dxa" w:w="2880"/>
          </w:tcPr>
          <w:p>
            <w:r>
              <w:t>inv_amount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base sub-total of the invoice before taxes.</w:t>
            </w:r>
          </w:p>
        </w:tc>
      </w:tr>
      <w:tr>
        <w:tc>
          <w:tcPr>
            <w:tcW w:type="dxa" w:w="2880"/>
          </w:tcPr>
          <w:p>
            <w:r>
              <w:t>gst_amount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isolated tax component in original currency.</w:t>
            </w:r>
          </w:p>
        </w:tc>
      </w:tr>
      <w:tr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overall total amount billed on the invoice in original currency.</w:t>
            </w:r>
          </w:p>
        </w:tc>
      </w:tr>
      <w:tr>
        <w:tc>
          <w:tcPr>
            <w:tcW w:type="dxa" w:w="2880"/>
          </w:tcPr>
          <w:p>
            <w:r>
              <w:t>recon_total_amount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total billed amount converted to the base currency (INR).</w:t>
            </w:r>
          </w:p>
        </w:tc>
      </w:tr>
      <w:tr>
        <w:tc>
          <w:tcPr>
            <w:tcW w:type="dxa" w:w="2880"/>
          </w:tcPr>
          <w:p>
            <w:r>
              <w:t>balance_due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remaining open balance on the invoice in original currency.</w:t>
            </w:r>
          </w:p>
        </w:tc>
      </w:tr>
      <w:tr>
        <w:tc>
          <w:tcPr>
            <w:tcW w:type="dxa" w:w="2880"/>
          </w:tcPr>
          <w:p>
            <w:r>
              <w:t>recon_balance_due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remaining unpaid balance in base currency (INR).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Tracks the operational state (OPEN, PARTIAL, PAID).</w:t>
            </w:r>
          </w:p>
        </w:tc>
      </w:tr>
    </w:tbl>
    <w:p>
      <w:pPr>
        <w:pStyle w:val="Heading2"/>
      </w:pPr>
      <w:r>
        <w:t>5. Bank Statements (bank_statements)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bank_txn_id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Unique identifier for the ingested bank transaction record.</w:t>
            </w:r>
          </w:p>
        </w:tc>
      </w:tr>
      <w:tr>
        <w:tc>
          <w:tcPr>
            <w:tcW w:type="dxa" w:w="2880"/>
          </w:tcPr>
          <w:p>
            <w:r>
              <w:t>bank_tx_ref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The bank's UTR or transaction reference.</w:t>
            </w:r>
          </w:p>
        </w:tc>
      </w:tr>
      <w:tr>
        <w:tc>
          <w:tcPr>
            <w:tcW w:type="dxa" w:w="2880"/>
          </w:tcPr>
          <w:p>
            <w:r>
              <w:t>transaction_date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The date the actual cash inflow occurred.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financial amount of the deposit in original currency.</w:t>
            </w:r>
          </w:p>
        </w:tc>
      </w:tr>
      <w:tr>
        <w:tc>
          <w:tcPr>
            <w:tcW w:type="dxa" w:w="2880"/>
          </w:tcPr>
          <w:p>
            <w:r>
              <w:t>recon_amount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cash deposit standardized to INR.</w:t>
            </w:r>
          </w:p>
        </w:tc>
      </w:tr>
      <w:tr>
        <w:tc>
          <w:tcPr>
            <w:tcW w:type="dxa" w:w="2880"/>
          </w:tcPr>
          <w:p>
            <w:r>
              <w:t>payer_acc_no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The remitting payer's bank account number.</w:t>
            </w:r>
          </w:p>
        </w:tc>
      </w:tr>
      <w:tr>
        <w:tc>
          <w:tcPr>
            <w:tcW w:type="dxa" w:w="2880"/>
          </w:tcPr>
          <w:p>
            <w:r>
              <w:t>narration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Bank statement remarks field.</w:t>
            </w:r>
          </w:p>
        </w:tc>
      </w:tr>
      <w:tr>
        <w:tc>
          <w:tcPr>
            <w:tcW w:type="dxa" w:w="2880"/>
          </w:tcPr>
          <w:p>
            <w:r>
              <w:t>recon_status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Tracks matching state (UNMATCHED, PARTIAL, MATCHED).</w:t>
            </w:r>
          </w:p>
        </w:tc>
      </w:tr>
      <w:tr>
        <w:tc>
          <w:tcPr>
            <w:tcW w:type="dxa" w:w="2880"/>
          </w:tcPr>
          <w:p>
            <w:r>
              <w:t>gl_posted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Flags TRUE when this transaction's journals have successfully posted to the GL.</w:t>
            </w:r>
          </w:p>
        </w:tc>
      </w:tr>
    </w:tbl>
    <w:p>
      <w:pPr>
        <w:pStyle w:val="Heading2"/>
      </w:pPr>
      <w:r>
        <w:t>6. Invoice Allocations (invoice_allocations)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allocation_id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Primary key for this specific allocation event.</w:t>
            </w:r>
          </w:p>
        </w:tc>
      </w:tr>
      <w:tr>
        <w:tc>
          <w:tcPr>
            <w:tcW w:type="dxa" w:w="2880"/>
          </w:tcPr>
          <w:p>
            <w:r>
              <w:t>invoice_id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Foreign key linking to the specific invoice being paid.</w:t>
            </w:r>
          </w:p>
        </w:tc>
      </w:tr>
      <w:tr>
        <w:tc>
          <w:tcPr>
            <w:tcW w:type="dxa" w:w="2880"/>
          </w:tcPr>
          <w:p>
            <w:r>
              <w:t>bank_txn_id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Foreign key linking to the bank deposit funding the payment.</w:t>
            </w:r>
          </w:p>
        </w:tc>
      </w:tr>
      <w:tr>
        <w:tc>
          <w:tcPr>
            <w:tcW w:type="dxa" w:w="2880"/>
          </w:tcPr>
          <w:p>
            <w:r>
              <w:t>allocated_amount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exact financial amount from the deposit applied to this invoice.</w:t>
            </w:r>
          </w:p>
        </w:tc>
      </w:tr>
      <w:tr>
        <w:tc>
          <w:tcPr>
            <w:tcW w:type="dxa" w:w="2880"/>
          </w:tcPr>
          <w:p>
            <w:r>
              <w:t>allocation_date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the matching engine or user created this allocation.</w:t>
            </w:r>
          </w:p>
        </w:tc>
      </w:tr>
      <w:tr>
        <w:tc>
          <w:tcPr>
            <w:tcW w:type="dxa" w:w="2880"/>
          </w:tcPr>
          <w:p>
            <w:r>
              <w:t>gl_journal_id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Foreign key linking to the GL Journal Entry, bridging the SL to the GL.</w:t>
            </w:r>
          </w:p>
        </w:tc>
      </w:tr>
    </w:tbl>
    <w:p>
      <w:pPr>
        <w:pStyle w:val="Heading2"/>
      </w:pPr>
      <w:r>
        <w:t>7. Credit &amp; Debit Memos (credit_debit_memos)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memo_id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Primary key for the memo record.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Foreign key linking to the customer.</w:t>
            </w:r>
          </w:p>
        </w:tc>
      </w:tr>
      <w:tr>
        <w:tc>
          <w:tcPr>
            <w:tcW w:type="dxa" w:w="2880"/>
          </w:tcPr>
          <w:p>
            <w:r>
              <w:t>memo_type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Specifies whether the record is a Credit or Debit memo.</w:t>
            </w:r>
          </w:p>
        </w:tc>
      </w:tr>
      <w:tr>
        <w:tc>
          <w:tcPr>
            <w:tcW w:type="dxa" w:w="2880"/>
          </w:tcPr>
          <w:p>
            <w:r>
              <w:t>memo_date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The document date, used to filter memos by reconciliation period end dates.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VARCHAR(3)</w:t>
            </w:r>
          </w:p>
        </w:tc>
        <w:tc>
          <w:tcPr>
            <w:tcW w:type="dxa" w:w="2880"/>
          </w:tcPr>
          <w:p>
            <w:r>
              <w:t>Original ISO currency code of the memo.</w:t>
            </w:r>
          </w:p>
        </w:tc>
      </w:tr>
      <w:tr>
        <w:tc>
          <w:tcPr>
            <w:tcW w:type="dxa" w:w="2880"/>
          </w:tcPr>
          <w:p>
            <w:r>
              <w:t>memo_amount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financial value of the memo in original currency.</w:t>
            </w:r>
          </w:p>
        </w:tc>
      </w:tr>
      <w:tr>
        <w:tc>
          <w:tcPr>
            <w:tcW w:type="dxa" w:w="2880"/>
          </w:tcPr>
          <w:p>
            <w:r>
              <w:t>recon_memo_amount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memo amount normalized to base currency for Phase 2.0 net-offs.</w:t>
            </w:r>
          </w:p>
        </w:tc>
      </w:tr>
    </w:tbl>
    <w:p>
      <w:pPr>
        <w:pStyle w:val="Heading2"/>
      </w:pPr>
      <w:r>
        <w:t>8. Expected Remittance Communications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remittance_id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Primary key for this proactive communication record.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Foreign key mapping directly to the customer master profile.</w:t>
            </w:r>
          </w:p>
        </w:tc>
      </w:tr>
      <w:tr>
        <w:tc>
          <w:tcPr>
            <w:tcW w:type="dxa" w:w="2880"/>
          </w:tcPr>
          <w:p>
            <w:r>
              <w:t>message_timestamp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Captures the exact date and time the proactive message was received.</w:t>
            </w:r>
          </w:p>
        </w:tc>
      </w:tr>
      <w:tr>
        <w:tc>
          <w:tcPr>
            <w:tcW w:type="dxa" w:w="2880"/>
          </w:tcPr>
          <w:p>
            <w:r>
              <w:t>declared_amount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financial amount stated by the customer in its original currency.</w:t>
            </w:r>
          </w:p>
        </w:tc>
      </w:tr>
      <w:tr>
        <w:tc>
          <w:tcPr>
            <w:tcW w:type="dxa" w:w="2880"/>
          </w:tcPr>
          <w:p>
            <w:r>
              <w:t>recon_declared_amount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declared amount converted into the base operational currency (INR).</w:t>
            </w:r>
          </w:p>
        </w:tc>
      </w:tr>
      <w:tr>
        <w:tc>
          <w:tcPr>
            <w:tcW w:type="dxa" w:w="2880"/>
          </w:tcPr>
          <w:p>
            <w:r>
              <w:t>declared_date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The anticipated payment date indicated by the customer.</w:t>
            </w:r>
          </w:p>
        </w:tc>
      </w:tr>
      <w:tr>
        <w:tc>
          <w:tcPr>
            <w:tcW w:type="dxa" w:w="2880"/>
          </w:tcPr>
          <w:p>
            <w:r>
              <w:t>utr_number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The specific Unique Transaction Reference provided by the customer.</w:t>
            </w:r>
          </w:p>
        </w:tc>
      </w:tr>
      <w:tr>
        <w:tc>
          <w:tcPr>
            <w:tcW w:type="dxa" w:w="2880"/>
          </w:tcPr>
          <w:p>
            <w:r>
              <w:t>reconciled_status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Flags to TRUE once the communication is successfully tied to a settled bank transaction.</w:t>
            </w:r>
          </w:p>
        </w:tc>
      </w:tr>
    </w:tbl>
    <w:p>
      <w:pPr>
        <w:pStyle w:val="Heading2"/>
      </w:pPr>
      <w:r>
        <w:t>9. GL Journal Entries (gl_journal_entries)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journal_id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Unique identifier for the journal entry log.</w:t>
            </w:r>
          </w:p>
        </w:tc>
      </w:tr>
      <w:tr>
        <w:tc>
          <w:tcPr>
            <w:tcW w:type="dxa" w:w="2880"/>
          </w:tcPr>
          <w:p>
            <w:r>
              <w:t>posting_date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The date the journal entry is posted.</w:t>
            </w:r>
          </w:p>
        </w:tc>
      </w:tr>
      <w:tr>
        <w:tc>
          <w:tcPr>
            <w:tcW w:type="dxa" w:w="2880"/>
          </w:tcPr>
          <w:p>
            <w:r>
              <w:t>gl_account_code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The target general ledger account number (e.g., 1200, 4000).</w:t>
            </w:r>
          </w:p>
        </w:tc>
      </w:tr>
      <w:tr>
        <w:tc>
          <w:tcPr>
            <w:tcW w:type="dxa" w:w="2880"/>
          </w:tcPr>
          <w:p>
            <w:r>
              <w:t>gl_account_name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The human-readable name of the GL account (e.g., A/R Control).</w:t>
            </w:r>
          </w:p>
        </w:tc>
      </w:tr>
      <w:tr>
        <w:tc>
          <w:tcPr>
            <w:tcW w:type="dxa" w:w="2880"/>
          </w:tcPr>
          <w:p>
            <w:r>
              <w:t>debit_amount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debit amount applied to the account.</w:t>
            </w:r>
          </w:p>
        </w:tc>
      </w:tr>
      <w:tr>
        <w:tc>
          <w:tcPr>
            <w:tcW w:type="dxa" w:w="2880"/>
          </w:tcPr>
          <w:p>
            <w:r>
              <w:t>credit_amount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credit amount applied to the account.</w:t>
            </w:r>
          </w:p>
        </w:tc>
      </w:tr>
      <w:tr>
        <w:tc>
          <w:tcPr>
            <w:tcW w:type="dxa" w:w="2880"/>
          </w:tcPr>
          <w:p>
            <w:r>
              <w:t>source_type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Indicates the source type (e.g., CASH_RECEIPT, FEE_ADJUSTMENT).</w:t>
            </w:r>
          </w:p>
        </w:tc>
      </w:tr>
    </w:tbl>
    <w:p>
      <w:pPr>
        <w:pStyle w:val="Heading2"/>
      </w:pPr>
      <w:r>
        <w:t>10. Reconciliation Exceptions (reconciliation_exceptions)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exception_id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Unique identifier isolating the specific variance.</w:t>
            </w:r>
          </w:p>
        </w:tc>
      </w:tr>
      <w:tr>
        <w:tc>
          <w:tcPr>
            <w:tcW w:type="dxa" w:w="2880"/>
          </w:tcPr>
          <w:p>
            <w:r>
              <w:t>bank_txn_id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Foreign key linking to the problematic bank transaction.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Foreign key linking to the customer (if Phase 1a succeeded).</w:t>
            </w:r>
          </w:p>
        </w:tc>
      </w:tr>
      <w:tr>
        <w:tc>
          <w:tcPr>
            <w:tcW w:type="dxa" w:w="2880"/>
          </w:tcPr>
          <w:p>
            <w:r>
              <w:t>exception_type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Categorizes the nature of the exception (e.g., AMBIGUOUS_MATCH).</w:t>
            </w:r>
          </w:p>
        </w:tc>
      </w:tr>
      <w:tr>
        <w:tc>
          <w:tcPr>
            <w:tcW w:type="dxa" w:w="2880"/>
          </w:tcPr>
          <w:p>
            <w:r>
              <w:t>discrepancy_amount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numeric variance amount requiring human review.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Tracks the resolution status of the exception (OPEN, RESOLVED).</w:t>
            </w:r>
          </w:p>
        </w:tc>
      </w:tr>
    </w:tbl>
    <w:p>
      <w:pPr>
        <w:pStyle w:val="Heading2"/>
      </w:pPr>
      <w:r>
        <w:t>11. Immutable Audit Trail (immutable_audit_trail)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audit_id</w:t>
            </w:r>
          </w:p>
        </w:tc>
        <w:tc>
          <w:tcPr>
            <w:tcW w:type="dxa" w:w="2880"/>
          </w:tcPr>
          <w:p>
            <w:r>
              <w:t>VARCHAR (UUID)</w:t>
            </w:r>
          </w:p>
        </w:tc>
        <w:tc>
          <w:tcPr>
            <w:tcW w:type="dxa" w:w="2880"/>
          </w:tcPr>
          <w:p>
            <w:r>
              <w:t>Primary key for this specific audit log line [NEW].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Exact date and time the action occurred.</w:t>
            </w:r>
          </w:p>
        </w:tc>
      </w:tr>
      <w:tr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Cryptographic hash run identifier (required for SOX/tamper-proofing).</w:t>
            </w:r>
          </w:p>
        </w:tc>
      </w:tr>
      <w:tr>
        <w:tc>
          <w:tcPr>
            <w:tcW w:type="dxa" w:w="2880"/>
          </w:tcPr>
          <w:p>
            <w:r>
              <w:t>entry_type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Categorizes if the action was SYSTEM, MANUAL, or API [NEW].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The module impacted (e.g., 'CASH_APP', 'GL_POSTING') [NEW].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What actually happened (e.g., 'FORCE_MATCH', 'WRITE_OFF') [NEW].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The ID of the employee (or system daemon) making the change.</w:t>
            </w:r>
          </w:p>
        </w:tc>
      </w:tr>
      <w:tr>
        <w:tc>
          <w:tcPr>
            <w:tcW w:type="dxa" w:w="2880"/>
          </w:tcPr>
          <w:p>
            <w:r>
              <w:t>target_account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The specific GL Account code or Customer ID affected [NEW].</w:t>
            </w:r>
          </w:p>
        </w:tc>
      </w:tr>
      <w:tr>
        <w:tc>
          <w:tcPr>
            <w:tcW w:type="dxa" w:w="2880"/>
          </w:tcPr>
          <w:p>
            <w:r>
              <w:t>impact_amount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The financial value associated with the action/override [NEW].</w:t>
            </w:r>
          </w:p>
        </w:tc>
      </w:tr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Reference to the specific database row altered (e.g., the bank_txn_id).</w:t>
            </w:r>
          </w:p>
        </w:tc>
      </w:tr>
      <w:tr>
        <w:tc>
          <w:tcPr>
            <w:tcW w:type="dxa" w:w="2880"/>
          </w:tcPr>
          <w:p>
            <w:r>
              <w:t>old_state</w:t>
            </w:r>
          </w:p>
        </w:tc>
        <w:tc>
          <w:tcPr>
            <w:tcW w:type="dxa" w:w="2880"/>
          </w:tcPr>
          <w:p>
            <w:r>
              <w:t>JSON/TEXT</w:t>
            </w:r>
          </w:p>
        </w:tc>
        <w:tc>
          <w:tcPr>
            <w:tcW w:type="dxa" w:w="2880"/>
          </w:tcPr>
          <w:p>
            <w:r>
              <w:t>Captures the data before the action.</w:t>
            </w:r>
          </w:p>
        </w:tc>
      </w:tr>
      <w:tr>
        <w:tc>
          <w:tcPr>
            <w:tcW w:type="dxa" w:w="2880"/>
          </w:tcPr>
          <w:p>
            <w:r>
              <w:t>new_state</w:t>
            </w:r>
          </w:p>
        </w:tc>
        <w:tc>
          <w:tcPr>
            <w:tcW w:type="dxa" w:w="2880"/>
          </w:tcPr>
          <w:p>
            <w:r>
              <w:t>JSON/TEXT</w:t>
            </w:r>
          </w:p>
        </w:tc>
        <w:tc>
          <w:tcPr>
            <w:tcW w:type="dxa" w:w="2880"/>
          </w:tcPr>
          <w:p>
            <w:r>
              <w:t>Captures the data after the action.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