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Modulark Lighting — India Legal and Regulatory Roadmap</w:t>
      </w:r>
    </w:p>
    <w:p>
      <w:pPr>
        <w:pStyle w:val="Subtitle"/>
      </w:pPr>
      <w:r>
        <w:t xml:space="preserve">IP, certification, data protection, product liability and corporate structure for the lighting hardware division</w:t>
      </w:r>
    </w:p>
    <w:p>
      <w:pPr>
        <w:pStyle w:val="Author"/>
      </w:pPr>
      <w:r>
        <w:t xml:space="preserve">Prepared for Modulark Tech Labs Pvt Ltd · working document</w:t>
      </w:r>
    </w:p>
    <w:p>
      <w:pPr>
        <w:pStyle w:val="Date"/>
      </w:pPr>
      <w:r>
        <w:t xml:space="preserve">22 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about-this-document"/>
    <w:p>
      <w:pPr>
        <w:pStyle w:val="Heading1"/>
      </w:pPr>
      <w:r>
        <w:t xml:space="preserve">About this document</w:t>
      </w:r>
    </w:p>
    <w:p>
      <w:pPr>
        <w:pStyle w:val="FirstParagraph"/>
      </w:pPr>
      <w:r>
        <w:rPr>
          <w:b/>
          <w:bCs/>
        </w:rPr>
        <w:t xml:space="preserve">This is not legal advice, and it is not a substitute for a registered patent agent or a company secretary.</w:t>
      </w:r>
    </w:p>
    <w:p>
      <w:pPr>
        <w:pStyle w:val="BodyText"/>
      </w:pPr>
      <w:r>
        <w:t xml:space="preserve">Its purpose is narrower and more useful than that: to get you into those two meetings already knowing the landscape, the vocabulary, the deadlines and the specific questions worth asking — so you are not paying a professional to explain the basics.</w:t>
      </w:r>
    </w:p>
    <w:p>
      <w:pPr>
        <w:pStyle w:val="BodyText"/>
      </w:pPr>
      <w:r>
        <w:t xml:space="preserve">Three things to know before you read it.</w:t>
      </w:r>
    </w:p>
    <w:p>
      <w:pPr>
        <w:pStyle w:val="BodyText"/>
      </w:pPr>
      <w:r>
        <w:rPr>
          <w:b/>
          <w:bCs/>
        </w:rPr>
        <w:t xml:space="preserve">First, the sourcing is degraded and you must treat it that way.</w:t>
      </w:r>
      <w:r>
        <w:t xml:space="preserve"> </w:t>
      </w:r>
      <w:r>
        <w:t xml:space="preserve">The research behind this document was produced in an environment whose network proxy blocked every primary legal source — the bare Acts, the case law databases, the Patent Office, BIS, MeitY, the Gazette, CPCB, RBI and the WIPO fee tables. Nothing was read in its original text. Findings rest on search-engine extracts of those sources plus law-firm and compliance commentary. Where sources conflict, the conflict is stated rather than resolved. Where no citable figure existed, the gap is marked and no number has been invented to fill it.</w:t>
      </w:r>
      <w:r>
        <w:t xml:space="preserve"> </w:t>
      </w:r>
      <w:r>
        <w:rPr>
          <w:b/>
          <w:bCs/>
        </w:rPr>
        <w:t xml:space="preserve">No rupee figure, date or standard number in this document should be spent against before a practitioner pulls the primary document.</w:t>
      </w:r>
    </w:p>
    <w:p>
      <w:pPr>
        <w:pStyle w:val="BodyText"/>
      </w:pPr>
      <w:r>
        <w:rPr>
          <w:b/>
          <w:bCs/>
        </w:rPr>
        <w:t xml:space="preserve">Second, several of the highest-value items are explicitly unresolved.</w:t>
      </w:r>
      <w:r>
        <w:t xml:space="preserve"> </w:t>
      </w:r>
      <w:r>
        <w:t xml:space="preserve">The BIS CRS portable and battery-luminaire exemption — which could remove your product from the certification regime entirely — is the single most valuable unverified claim in the set. The GST rate on HSN 9405 is genuinely contested across current sources. Whether your product falls under IS 16102, IS 16103, IS 10322 or outside the regime altogether determines your entire certification path and cost. These are flagged in place.</w:t>
      </w:r>
    </w:p>
    <w:p>
      <w:pPr>
        <w:pStyle w:val="BodyText"/>
      </w:pPr>
      <w:r>
        <w:rPr>
          <w:b/>
          <w:bCs/>
        </w:rPr>
        <w:t xml:space="preserve">Third, the order of operations matters more than the speed.</w:t>
      </w:r>
      <w:r>
        <w:t xml:space="preserve"> </w:t>
      </w:r>
      <w:r>
        <w:t xml:space="preserve">Some of what follows is reversible and some is not. Disclosing the product before filing destroys rights permanently and cannot be bought back at any price. Filing abroad before clearing Section 39 is a criminal offence. Those items are marked, and they are the reason this document leads with sequencing rather than with cost.</w:t>
      </w:r>
    </w:p>
    <w:p>
      <w:pPr>
        <w:pStyle w:val="BodyText"/>
      </w:pPr>
      <w:r>
        <w:t xml:space="preserve">The four outputs you asked for are sections (a) through (d) near the end: the priority-ordered action list, the cost and timeline table, the do-not-disclose rule, and the questions to take to a patent agent. The analysis that justifies them comes first. If you read only one section before your next meeting, read the do-not-disclose rule.</w:t>
      </w:r>
    </w:p>
    <w:p>
      <w:pPr>
        <w:pStyle w:val="BodyText"/>
      </w:pPr>
      <w:r>
        <w:t xml:space="preserve">A companion spreadsheet,</w:t>
      </w:r>
      <w:r>
        <w:t xml:space="preserve"> </w:t>
      </w:r>
      <w:r>
        <w:rPr>
          <w:i/>
          <w:iCs/>
        </w:rPr>
        <w:t xml:space="preserve">Modulark Lighting — Cost and Timeline.xlsx</w:t>
      </w:r>
      <w:r>
        <w:t xml:space="preserve">, carries the cost table, the hard deadlines and the action plan in a form you can filter, sort and fill in.</w:t>
      </w:r>
    </w:p>
    <w:bookmarkEnd w:id="9"/>
    <w:bookmarkStart w:id="266" w:name="X25b9b9f5e64f0fb3f1940346708979158eff8ff"/>
    <w:p>
      <w:pPr>
        <w:pStyle w:val="Heading1"/>
      </w:pPr>
      <w:r>
        <w:t xml:space="preserve">Patent the sweep, hide the curves, split the company</w:t>
      </w:r>
    </w:p>
    <w:p>
      <w:pPr>
        <w:pStyle w:val="Heading2"/>
      </w:pPr>
      <w:bookmarkStart w:id="10" w:name="X301981ae9ce5d6a8c354cfa4c7b3a8f58c1e2a8"/>
      <w:r>
        <w:t xml:space="preserve">READ THIS FIRST — HOW GOOD IS THIS RESEARCH?</w:t>
      </w:r>
      <w:bookmarkEnd w:id="10"/>
    </w:p>
    <w:p>
      <w:pPr>
        <w:pStyle w:val="BlockText"/>
      </w:pPr>
      <w:r>
        <w:rPr>
          <w:b/>
          <w:bCs/>
        </w:rPr>
        <w:t xml:space="preserve">Every researcher on this brief hit the same wall: the network egress proxy blocked all primary legal sources.</w:t>
      </w:r>
      <w:r>
        <w:t xml:space="preserve"> </w:t>
      </w:r>
      <w:r>
        <w:rPr>
          <w:rStyle w:val="VerbatimChar"/>
        </w:rPr>
        <w:t xml:space="preserve">indiacode.nic.in</w:t>
      </w:r>
      <w:r>
        <w:t xml:space="preserve">,</w:t>
      </w:r>
      <w:r>
        <w:t xml:space="preserve"> </w:t>
      </w:r>
      <w:r>
        <w:rPr>
          <w:rStyle w:val="VerbatimChar"/>
        </w:rPr>
        <w:t xml:space="preserve">indiankanoon.org</w:t>
      </w:r>
      <w:r>
        <w:t xml:space="preserve">,</w:t>
      </w:r>
      <w:r>
        <w:t xml:space="preserve"> </w:t>
      </w:r>
      <w:r>
        <w:rPr>
          <w:rStyle w:val="VerbatimChar"/>
        </w:rPr>
        <w:t xml:space="preserve">ipindia.gov.in</w:t>
      </w:r>
      <w:r>
        <w:t xml:space="preserve">,</w:t>
      </w:r>
      <w:r>
        <w:t xml:space="preserve"> </w:t>
      </w:r>
      <w:r>
        <w:rPr>
          <w:rStyle w:val="VerbatimChar"/>
        </w:rPr>
        <w:t xml:space="preserve">bis.gov.in</w:t>
      </w:r>
      <w:r>
        <w:t xml:space="preserve">,</w:t>
      </w:r>
      <w:r>
        <w:t xml:space="preserve"> </w:t>
      </w:r>
      <w:r>
        <w:rPr>
          <w:rStyle w:val="VerbatimChar"/>
        </w:rPr>
        <w:t xml:space="preserve">crsbis.in</w:t>
      </w:r>
      <w:r>
        <w:t xml:space="preserve">,</w:t>
      </w:r>
      <w:r>
        <w:t xml:space="preserve"> </w:t>
      </w:r>
      <w:r>
        <w:rPr>
          <w:rStyle w:val="VerbatimChar"/>
        </w:rPr>
        <w:t xml:space="preserve">mtcte.tec.gov.in</w:t>
      </w:r>
      <w:r>
        <w:t xml:space="preserve">,</w:t>
      </w:r>
      <w:r>
        <w:t xml:space="preserve"> </w:t>
      </w:r>
      <w:r>
        <w:rPr>
          <w:rStyle w:val="VerbatimChar"/>
        </w:rPr>
        <w:t xml:space="preserve">meity.gov.in</w:t>
      </w:r>
      <w:r>
        <w:t xml:space="preserve">,</w:t>
      </w:r>
      <w:r>
        <w:t xml:space="preserve"> </w:t>
      </w:r>
      <w:r>
        <w:rPr>
          <w:rStyle w:val="VerbatimChar"/>
        </w:rPr>
        <w:t xml:space="preserve">egazette.gov.in</w:t>
      </w:r>
      <w:r>
        <w:t xml:space="preserve">,</w:t>
      </w:r>
      <w:r>
        <w:t xml:space="preserve"> </w:t>
      </w:r>
      <w:r>
        <w:rPr>
          <w:rStyle w:val="VerbatimChar"/>
        </w:rPr>
        <w:t xml:space="preserve">cpcb.nic.in</w:t>
      </w:r>
      <w:r>
        <w:t xml:space="preserve">,</w:t>
      </w:r>
      <w:r>
        <w:t xml:space="preserve"> </w:t>
      </w:r>
      <w:r>
        <w:rPr>
          <w:rStyle w:val="VerbatimChar"/>
        </w:rPr>
        <w:t xml:space="preserve">rbi.org.in</w:t>
      </w:r>
      <w:r>
        <w:t xml:space="preserve">,</w:t>
      </w:r>
      <w:r>
        <w:t xml:space="preserve"> </w:t>
      </w:r>
      <w:r>
        <w:rPr>
          <w:rStyle w:val="VerbatimChar"/>
        </w:rPr>
        <w:t xml:space="preserve">patents.google.com</w:t>
      </w:r>
      <w:r>
        <w:t xml:space="preserve">,</w:t>
      </w:r>
      <w:r>
        <w:t xml:space="preserve"> </w:t>
      </w:r>
      <w:r>
        <w:rPr>
          <w:rStyle w:val="VerbatimChar"/>
        </w:rPr>
        <w:t xml:space="preserve">wipo.int</w:t>
      </w:r>
      <w:r>
        <w:t xml:space="preserve"> </w:t>
      </w:r>
      <w:r>
        <w:t xml:space="preserve">and most practitioner sites (SpicyIP, BananaIP, Lexology, Mondaq, Khaitan Compass) returned 403 /</w:t>
      </w:r>
      <w:r>
        <w:t xml:space="preserve"> </w:t>
      </w:r>
      <w:r>
        <w:rPr>
          <w:rStyle w:val="VerbatimChar"/>
        </w:rPr>
        <w:t xml:space="preserve">EGRESS_BLOCKED</w:t>
      </w:r>
      <w:r>
        <w:t xml:space="preserve">.</w:t>
      </w:r>
    </w:p>
    <w:p>
      <w:pPr>
        <w:pStyle w:val="BlockText"/>
      </w:pPr>
      <w:r>
        <w:rPr>
          <w:b/>
          <w:bCs/>
        </w:rPr>
        <w:t xml:space="preserve">Consequence:</w:t>
      </w:r>
      <w:r>
        <w:t xml:space="preserve"> </w:t>
      </w:r>
      <w:r>
        <w:t xml:space="preserve">not a single statutory section, judgment paragraph, gazette notification, fee schedule or patent claim in this report was read in its original text. Everything rests on search-engine extracts and secondary commentary. Where multiple independent sources agree, confidence is reasonable. Where a single consultancy page is the only source, it is marked.</w:t>
      </w:r>
      <w:r>
        <w:t xml:space="preserve"> </w:t>
      </w:r>
      <w:r>
        <w:rPr>
          <w:b/>
          <w:bCs/>
        </w:rPr>
        <w:t xml:space="preserve">No rupee figure, date or standard number here should be spent against without a practitioner pulling the primary document.</w:t>
      </w:r>
    </w:p>
    <w:p>
      <w:pPr>
        <w:pStyle w:val="BlockText"/>
      </w:pPr>
      <w:r>
        <w:t xml:space="preserve">Specifically</w:t>
      </w:r>
      <w:r>
        <w:t xml:space="preserve"> </w:t>
      </w:r>
      <w:r>
        <w:rPr>
          <w:b/>
          <w:bCs/>
        </w:rPr>
        <w:t xml:space="preserve">NOT verified and NOT stated as fact anywhere below</w:t>
      </w:r>
      <w:r>
        <w:t xml:space="preserve">: the full DPDP penalty Schedule beyond the Rs 200 crore breach-notification figure; Indian product-liability insurance premium ranges; the IEC 62717 CRI tolerance (</w:t>
      </w:r>
      <w:r>
        <w:t xml:space="preserve">“rated Ra minus 3”</w:t>
      </w:r>
      <w:r>
        <w:t xml:space="preserve">); Indian litigation duration statistics; and the BIS CRS portable/battery-luminaire exemption, which is the single highest-value unverified claim in the whole set.</w:t>
      </w:r>
    </w:p>
    <w:p>
      <w:pPr>
        <w:pStyle w:val="BlockText"/>
      </w:pPr>
      <w:r>
        <w:t xml:space="preserve">Nothing here is legal advice. Its job is to make your meeting with a registered patent agent and a company secretary efficient.</w:t>
      </w:r>
    </w:p>
    <w:p>
      <w:pPr>
        <w:pStyle w:val="FirstParagraph"/>
      </w:pPr>
      <w:r>
        <w:rPr>
          <w:b/>
          <w:bCs/>
        </w:rPr>
        <w:t xml:space="preserve">You are looking at the wrong risk.</w:t>
      </w:r>
      <w:r>
        <w:t xml:space="preserve"> </w:t>
      </w:r>
      <w:r>
        <w:t xml:space="preserve">You named the lithium battery as your biggest exposure and Section 3(k) as your main patent worry. Both are real, but neither is the thing most likely to hurt you first.</w:t>
      </w:r>
      <w:r>
        <w:t xml:space="preserve"> </w:t>
      </w:r>
      <w:r>
        <w:rPr>
          <w:b/>
          <w:bCs/>
        </w:rPr>
        <w:t xml:space="preserve">Section 3(k) is survivable</w:t>
      </w:r>
      <w:r>
        <w:t xml:space="preserve"> </w:t>
      </w:r>
      <w:r>
        <w:t xml:space="preserve">— the 2025 CRI Guidelines expressly name</w:t>
      </w:r>
      <w:r>
        <w:t xml:space="preserve"> </w:t>
      </w:r>
      <w:r>
        <w:t xml:space="preserve">“governing external devices or physical processes”</w:t>
      </w:r>
      <w:r>
        <w:t xml:space="preserve"> </w:t>
      </w:r>
      <w:r>
        <w:t xml:space="preserve">as a route to patentability (</w:t>
      </w:r>
      <w:hyperlink r:id="rId11">
        <w:r>
          <w:rPr>
            <w:rStyle w:val="Hyperlink"/>
          </w:rPr>
          <w:t xml:space="preserve">Mondaq</w:t>
        </w:r>
      </w:hyperlink>
      <w:r>
        <w:t xml:space="preserve">), which is almost word-for-word what your calibration loop does; the real patent risk is</w:t>
      </w:r>
      <w:r>
        <w:t xml:space="preserve"> </w:t>
      </w:r>
      <w:r>
        <w:rPr>
          <w:b/>
          <w:bCs/>
        </w:rPr>
        <w:t xml:space="preserve">inventive step over prior art that already discloses four of your five claimed novelties</w:t>
      </w:r>
      <w:r>
        <w:t xml:space="preserve">, including a 1993 SIGGRAPH paper and a Philips/Signify patent by the same authors as the academic literature. Meanwhile</w:t>
      </w:r>
      <w:r>
        <w:t xml:space="preserve"> </w:t>
      </w:r>
      <w:r>
        <w:rPr>
          <w:b/>
          <w:bCs/>
        </w:rPr>
        <w:t xml:space="preserve">DPDP substantive obligations do not commence until roughly May 2027 and the Data Protection Board has no appointed members</w:t>
      </w:r>
      <w:r>
        <w:t xml:space="preserve"> </w:t>
      </w:r>
      <w:r>
        <w:t xml:space="preserve">(</w:t>
      </w:r>
      <w:hyperlink r:id="rId12">
        <w:r>
          <w:rPr>
            <w:rStyle w:val="Hyperlink"/>
          </w:rPr>
          <w:t xml:space="preserve">LiveLaw</w:t>
        </w:r>
      </w:hyperlink>
      <w:r>
        <w:t xml:space="preserve">), so there is currently no forum that can fine you — while</w:t>
      </w:r>
      <w:r>
        <w:t xml:space="preserve"> </w:t>
      </w:r>
      <w:r>
        <w:rPr>
          <w:b/>
          <w:bCs/>
        </w:rPr>
        <w:t xml:space="preserve">Consumer Protection Act 2019 exposure is live today, actively enforced (325 CCPA notices, Rs 1.19 crore in penalties,</w:t>
      </w:r>
      <w:r>
        <w:rPr>
          <w:b/>
          <w:bCs/>
        </w:rPr>
        <w:t xml:space="preserve"> </w:t>
      </w:r>
      <w:hyperlink r:id="rId13">
        <w:r>
          <w:rPr>
            <w:rStyle w:val="Hyperlink"/>
            <w:b/>
            <w:bCs/>
          </w:rPr>
          <w:t xml:space="preserve">PIB</w:t>
        </w:r>
      </w:hyperlink>
      <w:r>
        <w:rPr>
          <w:b/>
          <w:bCs/>
        </w:rPr>
        <w:t xml:space="preserve">), and Section 89 reaches you personally with imprisonment up to two years</w:t>
      </w:r>
      <w:r>
        <w:t xml:space="preserve"> </w:t>
      </w:r>
      <w:r>
        <w:t xml:space="preserve">(</w:t>
      </w:r>
      <w:hyperlink r:id="rId14">
        <w:r>
          <w:rPr>
            <w:rStyle w:val="Hyperlink"/>
          </w:rPr>
          <w:t xml:space="preserve">Vidhi Judicial Academy</w:t>
        </w:r>
      </w:hyperlink>
      <w:r>
        <w:t xml:space="preserve">). The two things that will actually destroy value fastest are (1)</w:t>
      </w:r>
      <w:r>
        <w:t xml:space="preserve"> </w:t>
      </w:r>
      <w:r>
        <w:rPr>
          <w:b/>
          <w:bCs/>
        </w:rPr>
        <w:t xml:space="preserve">disclosing the product before filing</w:t>
      </w:r>
      <w:r>
        <w:t xml:space="preserve"> </w:t>
      </w:r>
      <w:r>
        <w:t xml:space="preserve">— India has no general patent grace period and effectively none at all for designs, so an Instagram post ends the design right permanently (</w:t>
      </w:r>
      <w:hyperlink r:id="rId15">
        <w:r>
          <w:rPr>
            <w:rStyle w:val="Hyperlink"/>
          </w:rPr>
          <w:t xml:space="preserve">ipindia</w:t>
        </w:r>
      </w:hyperlink>
      <w:r>
        <w:t xml:space="preserve">) — and (2)</w:t>
      </w:r>
      <w:r>
        <w:t xml:space="preserve"> </w:t>
      </w:r>
      <w:r>
        <w:rPr>
          <w:b/>
          <w:bCs/>
        </w:rPr>
        <w:t xml:space="preserve">putting a lithium-battery product liability tail inside the same legal entity as a school-payments SaaS business</w:t>
      </w:r>
      <w:r>
        <w:t xml:space="preserve">. Your instinct that tuned curves and learned data are better unpublished than patented is</w:t>
      </w:r>
      <w:r>
        <w:t xml:space="preserve"> </w:t>
      </w:r>
      <w:r>
        <w:rPr>
          <w:b/>
          <w:bCs/>
        </w:rPr>
        <w:t xml:space="preserve">correct, for three independent reasons</w:t>
      </w:r>
      <w:r>
        <w:t xml:space="preserve">, each sufficient on its own. File the design and the provisional before anything leaves the building; incorporate the hardware company now and make it the patent applicant; and fix the advertising claims before you fix the privacy architecture.</w:t>
      </w:r>
    </w:p>
    <w:p>
      <w:r>
        <w:pict>
          <v:rect style="width:0;height:1.5pt" o:hralign="center" o:hrstd="t" o:hr="t"/>
        </w:pict>
      </w:r>
    </w:p>
    <w:bookmarkStart w:id="28" w:name="X2583b87f436fc6f39766a5f53df0043199ae0c1"/>
    <w:p>
      <w:pPr>
        <w:pStyle w:val="Heading2"/>
      </w:pPr>
      <w:r>
        <w:t xml:space="preserve">Your risk ranking is inverted: CPA bites today, DPDP bites in 2027</w:t>
      </w:r>
    </w:p>
    <w:p>
      <w:pPr>
        <w:pStyle w:val="FirstParagraph"/>
      </w:pPr>
      <w:r>
        <w:t xml:space="preserve">Start with the correction, because it changes what you do this month.</w:t>
      </w:r>
    </w:p>
    <w:p>
      <w:pPr>
        <w:pStyle w:val="BodyText"/>
      </w:pPr>
      <w:r>
        <w:rPr>
          <w:b/>
          <w:bCs/>
        </w:rPr>
        <w:t xml:space="preserve">The DPDP Act 2023 is not yet operative against you.</w:t>
      </w:r>
      <w:r>
        <w:t xml:space="preserve"> </w:t>
      </w:r>
      <w:r>
        <w:t xml:space="preserve">The DPDP Rules 2025 were notified by</w:t>
      </w:r>
      <w:r>
        <w:t xml:space="preserve"> </w:t>
      </w:r>
      <w:r>
        <w:rPr>
          <w:b/>
          <w:bCs/>
        </w:rPr>
        <w:t xml:space="preserve">G.S.R. 846(E) dated 13 November 2025</w:t>
      </w:r>
      <w:r>
        <w:t xml:space="preserve"> </w:t>
      </w:r>
      <w:r>
        <w:t xml:space="preserve">with a three-phase commencement: Board provisions immediately, Consent Manager registration at 12 months, and</w:t>
      </w:r>
      <w:r>
        <w:t xml:space="preserve"> </w:t>
      </w:r>
      <w:r>
        <w:rPr>
          <w:b/>
          <w:bCs/>
        </w:rPr>
        <w:t xml:space="preserve">the entire substantive obligation set (Act ss.3–17, Rules 3, 5–16, 22–23) at 18 months</w:t>
      </w:r>
      <w:r>
        <w:t xml:space="preserve"> </w:t>
      </w:r>
      <w:r>
        <w:t xml:space="preserve">(</w:t>
      </w:r>
      <w:hyperlink r:id="rId16">
        <w:r>
          <w:rPr>
            <w:rStyle w:val="Hyperlink"/>
          </w:rPr>
          <w:t xml:space="preserve">AZB Partners</w:t>
        </w:r>
      </w:hyperlink>
      <w:r>
        <w:t xml:space="preserve">;</w:t>
      </w:r>
      <w:r>
        <w:t xml:space="preserve"> </w:t>
      </w:r>
      <w:hyperlink r:id="rId17">
        <w:r>
          <w:rPr>
            <w:rStyle w:val="Hyperlink"/>
          </w:rPr>
          <w:t xml:space="preserve">Privacy World</w:t>
        </w:r>
      </w:hyperlink>
      <w:r>
        <w:t xml:space="preserve">).</w:t>
      </w:r>
    </w:p>
    <w:p>
      <w:pPr>
        <w:pStyle w:val="BlockText"/>
      </w:pPr>
      <w:r>
        <w:rPr>
          <w:b/>
          <w:bCs/>
        </w:rPr>
        <w:t xml:space="preserve">CONFLICT — commencement date.</w:t>
      </w:r>
      <w:r>
        <w:t xml:space="preserve"> </w:t>
      </w:r>
      <w:r>
        <w:t xml:space="preserve">Sources split three ways:</w:t>
      </w:r>
      <w:r>
        <w:t xml:space="preserve"> </w:t>
      </w:r>
      <w:r>
        <w:rPr>
          <w:b/>
          <w:bCs/>
        </w:rPr>
        <w:t xml:space="preserve">13 November 2025 / 13 May 2027</w:t>
      </w:r>
      <w:r>
        <w:t xml:space="preserve"> </w:t>
      </w:r>
      <w:r>
        <w:t xml:space="preserve">(the Gazette’s dated day, per</w:t>
      </w:r>
      <w:r>
        <w:t xml:space="preserve"> </w:t>
      </w:r>
      <w:hyperlink r:id="rId16">
        <w:r>
          <w:rPr>
            <w:rStyle w:val="Hyperlink"/>
          </w:rPr>
          <w:t xml:space="preserve">AZB</w:t>
        </w:r>
      </w:hyperlink>
      <w:r>
        <w:t xml:space="preserve">);</w:t>
      </w:r>
      <w:r>
        <w:t xml:space="preserve"> </w:t>
      </w:r>
      <w:r>
        <w:rPr>
          <w:b/>
          <w:bCs/>
        </w:rPr>
        <w:t xml:space="preserve">14 November 2025 / 14 May 2027</w:t>
      </w:r>
      <w:r>
        <w:t xml:space="preserve"> </w:t>
      </w:r>
      <w:r>
        <w:t xml:space="preserve">(the publication day, which is what Rule 1(2) counts from, per</w:t>
      </w:r>
      <w:r>
        <w:t xml:space="preserve"> </w:t>
      </w:r>
      <w:hyperlink r:id="rId18">
        <w:r>
          <w:rPr>
            <w:rStyle w:val="Hyperlink"/>
          </w:rPr>
          <w:t xml:space="preserve">Shardul Amarchand Mangaldas</w:t>
        </w:r>
      </w:hyperlink>
      <w:r>
        <w:t xml:space="preserve"> </w:t>
      </w:r>
      <w:r>
        <w:t xml:space="preserve">and</w:t>
      </w:r>
      <w:r>
        <w:t xml:space="preserve"> </w:t>
      </w:r>
      <w:hyperlink r:id="rId17">
        <w:r>
          <w:rPr>
            <w:rStyle w:val="Hyperlink"/>
          </w:rPr>
          <w:t xml:space="preserve">Privacy World</w:t>
        </w:r>
      </w:hyperlink>
      <w:r>
        <w:t xml:space="preserve">); and one source says 12 May 2027.</w:t>
      </w:r>
      <w:r>
        <w:t xml:space="preserve"> </w:t>
      </w:r>
      <w:r>
        <w:rPr>
          <w:b/>
          <w:bCs/>
        </w:rPr>
        <w:t xml:space="preserve">Why it matters:</w:t>
      </w:r>
      <w:r>
        <w:t xml:space="preserve"> </w:t>
      </w:r>
      <w:r>
        <w:t xml:space="preserve">almost nothing — the spread is one to two days on a deadline eighteen months out.</w:t>
      </w:r>
      <w:r>
        <w:t xml:space="preserve"> </w:t>
      </w:r>
      <w:r>
        <w:rPr>
          <w:b/>
          <w:bCs/>
        </w:rPr>
        <w:t xml:space="preserve">How to settle it:</w:t>
      </w:r>
      <w:r>
        <w:t xml:space="preserve"> </w:t>
      </w:r>
      <w:r>
        <w:t xml:space="preserve">your CS pulls G.S.R. 846(E) from egazette.gov.in and reads Rule 1(2). Do it once, diarise the date, forget it.</w:t>
      </w:r>
    </w:p>
    <w:p>
      <w:pPr>
        <w:pStyle w:val="FirstParagraph"/>
      </w:pPr>
      <w:r>
        <w:t xml:space="preserve">Beyond that,</w:t>
      </w:r>
      <w:r>
        <w:t xml:space="preserve"> </w:t>
      </w:r>
      <w:r>
        <w:rPr>
          <w:b/>
          <w:bCs/>
        </w:rPr>
        <w:t xml:space="preserve">the Board is constituted in law but has no Chairperson and no Members</w:t>
      </w:r>
      <w:r>
        <w:t xml:space="preserve">; MeitY was still soliciting nominations by communication dated 6 May 2026 and a further notification on 6 June 2026 (</w:t>
      </w:r>
      <w:hyperlink r:id="rId12">
        <w:r>
          <w:rPr>
            <w:rStyle w:val="Hyperlink"/>
          </w:rPr>
          <w:t xml:space="preserve">LiveLaw</w:t>
        </w:r>
      </w:hyperlink>
      <w:r>
        <w:t xml:space="preserve">;</w:t>
      </w:r>
      <w:r>
        <w:t xml:space="preserve"> </w:t>
      </w:r>
      <w:hyperlink r:id="rId19">
        <w:r>
          <w:rPr>
            <w:rStyle w:val="Hyperlink"/>
          </w:rPr>
          <w:t xml:space="preserve">Mondaq</w:t>
        </w:r>
      </w:hyperlink>
      <w:r>
        <w:t xml:space="preserve">). There is at present</w:t>
      </w:r>
      <w:r>
        <w:t xml:space="preserve"> </w:t>
      </w:r>
      <w:r>
        <w:rPr>
          <w:b/>
          <w:bCs/>
        </w:rPr>
        <w:t xml:space="preserve">no forum that can entertain a complaint against you under the DPDP Act</w:t>
      </w:r>
      <w:r>
        <w:t xml:space="preserve">.</w:t>
      </w:r>
    </w:p>
    <w:p>
      <w:pPr>
        <w:pStyle w:val="BodyText"/>
      </w:pPr>
      <w:r>
        <w:t xml:space="preserve">Against that, the Consumer Protection Act 2019 is operating now.</w:t>
      </w:r>
      <w:r>
        <w:t xml:space="preserve"> </w:t>
      </w:r>
      <w:r>
        <w:rPr>
          <w:b/>
          <w:bCs/>
        </w:rPr>
        <w:t xml:space="preserve">Section 21 lets the CCPA impose up to Rs 10 lakh for a false or misleading advertisement and up to Rs 50 lakh for every subsequent contravention</w:t>
      </w:r>
      <w:r>
        <w:t xml:space="preserve">, plus orders to discontinue or modify the advertisement and to ban an endorser (</w:t>
      </w:r>
      <w:hyperlink r:id="rId20">
        <w:r>
          <w:rPr>
            <w:rStyle w:val="Hyperlink"/>
          </w:rPr>
          <w:t xml:space="preserve">Khaitan &amp; Co</w:t>
        </w:r>
      </w:hyperlink>
      <w:r>
        <w:t xml:space="preserve">;</w:t>
      </w:r>
      <w:r>
        <w:t xml:space="preserve"> </w:t>
      </w:r>
      <w:hyperlink r:id="rId21">
        <w:r>
          <w:rPr>
            <w:rStyle w:val="Hyperlink"/>
          </w:rPr>
          <w:t xml:space="preserve">Nyaaya</w:t>
        </w:r>
      </w:hyperlink>
      <w:r>
        <w:t xml:space="preserve">).</w:t>
      </w:r>
      <w:r>
        <w:t xml:space="preserve"> </w:t>
      </w:r>
      <w:r>
        <w:rPr>
          <w:b/>
          <w:bCs/>
        </w:rPr>
        <w:t xml:space="preserve">Section 89 is a separate criminal offence: imprisonment up to 2 years and fine up to Rs 10 lakh, rising to 5 years and Rs 50 lakh for subsequent offences</w:t>
      </w:r>
      <w:r>
        <w:t xml:space="preserve"> </w:t>
      </w:r>
      <w:r>
        <w:t xml:space="preserve">(</w:t>
      </w:r>
      <w:hyperlink r:id="rId14">
        <w:r>
          <w:rPr>
            <w:rStyle w:val="Hyperlink"/>
          </w:rPr>
          <w:t xml:space="preserve">Vidhi Judicial Academy</w:t>
        </w:r>
      </w:hyperlink>
      <w:r>
        <w:t xml:space="preserve">;</w:t>
      </w:r>
      <w:r>
        <w:t xml:space="preserve"> </w:t>
      </w:r>
      <w:hyperlink r:id="rId22">
        <w:r>
          <w:rPr>
            <w:rStyle w:val="Hyperlink"/>
          </w:rPr>
          <w:t xml:space="preserve">aaptaxlaw</w:t>
        </w:r>
      </w:hyperlink>
      <w:r>
        <w:t xml:space="preserve">). Note the distinction that several sources blur:</w:t>
      </w:r>
      <w:r>
        <w:t xml:space="preserve"> </w:t>
      </w:r>
      <w:r>
        <w:rPr>
          <w:b/>
          <w:bCs/>
        </w:rPr>
        <w:t xml:space="preserve">s.21 is administrative and carries no imprisonment; s.89 is criminal and does.</w:t>
      </w:r>
      <w:r>
        <w:t xml:space="preserve"> </w:t>
      </w:r>
      <w:r>
        <w:t xml:space="preserve">And</w:t>
      </w:r>
      <w:r>
        <w:t xml:space="preserve"> </w:t>
      </w:r>
      <w:r>
        <w:rPr>
          <w:b/>
          <w:bCs/>
        </w:rPr>
        <w:t xml:space="preserve">s.88</w:t>
      </w:r>
      <w:r>
        <w:t xml:space="preserve"> </w:t>
      </w:r>
      <w:r>
        <w:t xml:space="preserve">makes non-compliance with a CCPA direction punishable with imprisonment up to six months or fine up to Rs 20 lakh.</w:t>
      </w:r>
    </w:p>
    <w:p>
      <w:pPr>
        <w:pStyle w:val="BodyText"/>
      </w:pPr>
      <w:r>
        <w:t xml:space="preserve">The comparison is stark. DPDP penalties are corporate-only, capped in absolute rupees with no turnover-linked alternative, and not yet enforceable against anyone. The only Schedule figure that survived verification here is</w:t>
      </w:r>
      <w:r>
        <w:t xml:space="preserve"> </w:t>
      </w:r>
      <w:r>
        <w:rPr>
          <w:b/>
          <w:bCs/>
        </w:rPr>
        <w:t xml:space="preserve">Rs 200 crore for failure to notify a breach</w:t>
      </w:r>
      <w:r>
        <w:t xml:space="preserve"> </w:t>
      </w:r>
      <w:r>
        <w:t xml:space="preserve">(</w:t>
      </w:r>
      <w:hyperlink r:id="rId23">
        <w:r>
          <w:rPr>
            <w:rStyle w:val="Hyperlink"/>
          </w:rPr>
          <w:t xml:space="preserve">matters.ai</w:t>
        </w:r>
      </w:hyperlink>
      <w:r>
        <w:t xml:space="preserve">);</w:t>
      </w:r>
      <w:r>
        <w:t xml:space="preserve"> </w:t>
      </w:r>
      <w:r>
        <w:rPr>
          <w:b/>
          <w:bCs/>
        </w:rPr>
        <w:t xml:space="preserve">the remaining Schedule amounts could not be verified and are deliberately omitted from this report.</w:t>
      </w:r>
      <w:r>
        <w:t xml:space="preserve"> </w:t>
      </w:r>
      <w:r>
        <w:t xml:space="preserve">CPA penalties are smaller but live, actively enforced, and personal.</w:t>
      </w:r>
    </w:p>
    <w:p>
      <w:pPr>
        <w:pStyle w:val="BodyText"/>
      </w:pPr>
      <w:r>
        <w:rPr>
          <w:b/>
          <w:bCs/>
        </w:rPr>
        <w:t xml:space="preserve">What this means for the next eight months.</w:t>
      </w:r>
      <w:r>
        <w:t xml:space="preserve"> </w:t>
      </w:r>
      <w:r>
        <w:t xml:space="preserve">DPDP work reduces to five cheap items: write a one-page data map dated and signed; publish a privacy notice (already required today by SPDI Rule 4 under s.43A of the IT Act, which remains in force until the s.44(2) repeal takes effect — see</w:t>
      </w:r>
      <w:r>
        <w:t xml:space="preserve"> </w:t>
      </w:r>
      <w:hyperlink r:id="rId24">
        <w:r>
          <w:rPr>
            <w:rStyle w:val="Hyperlink"/>
          </w:rPr>
          <w:t xml:space="preserve">dpdpact.net</w:t>
        </w:r>
      </w:hyperlink>
      <w:r>
        <w:t xml:space="preserve">,</w:t>
      </w:r>
      <w:r>
        <w:t xml:space="preserve"> </w:t>
      </w:r>
      <w:hyperlink r:id="rId25">
        <w:r>
          <w:rPr>
            <w:rStyle w:val="Hyperlink"/>
          </w:rPr>
          <w:t xml:space="preserve">ConsentOS</w:t>
        </w:r>
      </w:hyperlink>
      <w:r>
        <w:t xml:space="preserve">); appoint and publish a grievance contact; make</w:t>
      </w:r>
      <w:r>
        <w:t xml:space="preserve"> </w:t>
      </w:r>
      <w:r>
        <w:t xml:space="preserve">“no egress”</w:t>
      </w:r>
      <w:r>
        <w:t xml:space="preserve"> </w:t>
      </w:r>
      <w:r>
        <w:t xml:space="preserve">a firmware invariant enforced by a build-time test rather than a policy; and diarise a one-day counsel review for Q1 2027. Nothing more.</w:t>
      </w:r>
      <w:r>
        <w:t xml:space="preserve"> </w:t>
      </w:r>
      <w:r>
        <w:rPr>
          <w:b/>
          <w:bCs/>
        </w:rPr>
        <w:t xml:space="preserve">Spend the saved attention on the advertising claims file and the battery warnings, which are what a regulator or a complainant can act on this quarter.</w:t>
      </w:r>
    </w:p>
    <w:p>
      <w:pPr>
        <w:pStyle w:val="BodyText"/>
      </w:pPr>
      <w:r>
        <w:t xml:space="preserve">One architectural note that is worth more than any policy.</w:t>
      </w:r>
      <w:r>
        <w:t xml:space="preserve"> </w:t>
      </w:r>
      <w:r>
        <w:rPr>
          <w:b/>
          <w:bCs/>
        </w:rPr>
        <w:t xml:space="preserve">Rule 6 of the DPDP Rules requires retention of access and processing logs for a minimum of one year</w:t>
      </w:r>
      <w:r>
        <w:t xml:space="preserve"> </w:t>
      </w:r>
      <w:r>
        <w:t xml:space="preserve">(</w:t>
      </w:r>
      <w:hyperlink r:id="rId26">
        <w:r>
          <w:rPr>
            <w:rStyle w:val="Hyperlink"/>
          </w:rPr>
          <w:t xml:space="preserve">Seclore</w:t>
        </w:r>
      </w:hyperlink>
      <w:r>
        <w:t xml:space="preserve">;</w:t>
      </w:r>
      <w:r>
        <w:t xml:space="preserve"> </w:t>
      </w:r>
      <w:hyperlink r:id="rId27">
        <w:r>
          <w:rPr>
            <w:rStyle w:val="Hyperlink"/>
          </w:rPr>
          <w:t xml:space="preserve">K&amp;K</w:t>
        </w:r>
      </w:hyperlink>
      <w:r>
        <w:t xml:space="preserve">). A company whose entire privacy story is</w:t>
      </w:r>
      <w:r>
        <w:t xml:space="preserve"> </w:t>
      </w:r>
      <w:r>
        <w:t xml:space="preserve">“we log nothing”</w:t>
      </w:r>
      <w:r>
        <w:t xml:space="preserve"> </w:t>
      </w:r>
      <w:r>
        <w:t xml:space="preserve">would, the moment it runs a server holding personal data, be</w:t>
      </w:r>
      <w:r>
        <w:t xml:space="preserve"> </w:t>
      </w:r>
      <w:r>
        <w:rPr>
          <w:i/>
          <w:iCs/>
        </w:rPr>
        <w:t xml:space="preserve">required</w:t>
      </w:r>
      <w:r>
        <w:t xml:space="preserve"> </w:t>
      </w:r>
      <w:r>
        <w:t xml:space="preserve">to log. The</w:t>
      </w:r>
      <w:r>
        <w:t xml:space="preserve"> </w:t>
      </w:r>
      <w:r>
        <w:t xml:space="preserve">“no logs”</w:t>
      </w:r>
      <w:r>
        <w:t xml:space="preserve"> </w:t>
      </w:r>
      <w:r>
        <w:t xml:space="preserve">claim is only coherent about the</w:t>
      </w:r>
      <w:r>
        <w:t xml:space="preserve"> </w:t>
      </w:r>
      <w:r>
        <w:rPr>
          <w:b/>
          <w:bCs/>
        </w:rPr>
        <w:t xml:space="preserve">device</w:t>
      </w:r>
      <w:r>
        <w:t xml:space="preserve">. Do not let marketing conflate the two. Separately, your defensive position is not the s.3(c)(ii) personal-or-domestic-purpose exemption —</w:t>
      </w:r>
      <w:r>
        <w:t xml:space="preserve"> </w:t>
      </w:r>
      <w:r>
        <w:rPr>
          <w:b/>
          <w:bCs/>
        </w:rPr>
        <w:t xml:space="preserve">that exemption is worded around</w:t>
      </w:r>
      <w:r>
        <w:rPr>
          <w:b/>
          <w:bCs/>
        </w:rPr>
        <w:t xml:space="preserve"> </w:t>
      </w:r>
      <w:r>
        <w:rPr>
          <w:b/>
          <w:bCs/>
        </w:rPr>
        <w:t xml:space="preserve">“an individual”</w:t>
      </w:r>
      <w:r>
        <w:rPr>
          <w:b/>
          <w:bCs/>
        </w:rPr>
        <w:t xml:space="preserve">, and a private limited company is not an individual.</w:t>
      </w:r>
      <w:r>
        <w:t xml:space="preserve"> </w:t>
      </w:r>
      <w:r>
        <w:t xml:space="preserve">Your real argument is anterior: that you are not a Data Fiduciary at all under s.2(i) because you do not determine the purpose and means of any processing. That argument dies the instant any telemetry, crash log, analytics beacon or remote-configuration channel carries device-generated data back to you.</w:t>
      </w:r>
      <w:r>
        <w:t xml:space="preserve"> </w:t>
      </w:r>
      <w:r>
        <w:rPr>
          <w:b/>
          <w:bCs/>
        </w:rPr>
        <w:t xml:space="preserve">There is no Indian authority whatsoever on this point</w:t>
      </w:r>
      <w:r>
        <w:t xml:space="preserve"> </w:t>
      </w:r>
      <w:r>
        <w:t xml:space="preserve">— no case law, no Board order, no MeitY FAQ — so it is reasoning, not precedent.</w:t>
      </w:r>
    </w:p>
    <w:p>
      <w:r>
        <w:pict>
          <v:rect style="width:0;height:1.5pt" o:hralign="center" o:hrstd="t" o:hr="t"/>
        </w:pict>
      </w:r>
    </w:p>
    <w:bookmarkEnd w:id="28"/>
    <w:bookmarkStart w:id="64" w:name="Xe6a37023cf93c6ac110d91b0110bb9d94a62f34"/>
    <w:p>
      <w:pPr>
        <w:pStyle w:val="Heading2"/>
      </w:pPr>
      <w:r>
        <w:t xml:space="preserve">Section 3(k) is survivable; inventive step is what will actually kill the patent</w:t>
      </w:r>
    </w:p>
    <w:bookmarkStart w:id="39" w:name="what-gets-refused-and-what-gets-granted"/>
    <w:p>
      <w:pPr>
        <w:pStyle w:val="Heading3"/>
      </w:pPr>
      <w:r>
        <w:t xml:space="preserve">What gets refused, and what gets granted</w:t>
      </w:r>
    </w:p>
    <w:p>
      <w:pPr>
        <w:pStyle w:val="FirstParagraph"/>
      </w:pPr>
      <w:r>
        <w:t xml:space="preserve">The settled test since</w:t>
      </w:r>
      <w:r>
        <w:t xml:space="preserve"> </w:t>
      </w:r>
      <w:r>
        <w:rPr>
          <w:b/>
          <w:bCs/>
          <w:i/>
          <w:iCs/>
        </w:rPr>
        <w:t xml:space="preserve">Ferid Allani v. Union of India</w:t>
      </w:r>
      <w:r>
        <w:t xml:space="preserve"> </w:t>
      </w:r>
      <w:r>
        <w:t xml:space="preserve">(Delhi HC, 12 December 2019, Justice Prathiba M. Singh, W.P.(C) 7/2014) is</w:t>
      </w:r>
      <w:r>
        <w:t xml:space="preserve"> </w:t>
      </w:r>
      <w:r>
        <w:rPr>
          <w:b/>
          <w:bCs/>
        </w:rPr>
        <w:t xml:space="preserve">technical effect / technical contribution</w:t>
      </w:r>
      <w:r>
        <w:t xml:space="preserve"> </w:t>
      </w:r>
      <w:r>
        <w:t xml:space="preserve">— the bar is on computer programmes</w:t>
      </w:r>
      <w:r>
        <w:t xml:space="preserve"> </w:t>
      </w:r>
      <w:r>
        <w:rPr>
          <w:i/>
          <w:iCs/>
        </w:rPr>
        <w:t xml:space="preserve">per se</w:t>
      </w:r>
      <w:r>
        <w:t xml:space="preserve">, not on inventions implemented in software (</w:t>
      </w:r>
      <w:hyperlink r:id="rId29">
        <w:r>
          <w:rPr>
            <w:rStyle w:val="Hyperlink"/>
          </w:rPr>
          <w:t xml:space="preserve">Metayage</w:t>
        </w:r>
      </w:hyperlink>
      <w:r>
        <w:t xml:space="preserve">;</w:t>
      </w:r>
      <w:r>
        <w:t xml:space="preserve"> </w:t>
      </w:r>
      <w:hyperlink r:id="rId30">
        <w:r>
          <w:rPr>
            <w:rStyle w:val="Hyperlink"/>
          </w:rPr>
          <w:t xml:space="preserve">Invest India</w:t>
        </w:r>
      </w:hyperlink>
      <w:r>
        <w:t xml:space="preserve">).</w:t>
      </w:r>
      <w:r>
        <w:t xml:space="preserve"> </w:t>
      </w:r>
      <w:r>
        <w:rPr>
          <w:b/>
          <w:bCs/>
        </w:rPr>
        <w:t xml:space="preserve">Novel hardware is NOT required.</w:t>
      </w:r>
      <w:r>
        <w:t xml:space="preserve"> </w:t>
      </w:r>
      <w:r>
        <w:rPr>
          <w:i/>
          <w:iCs/>
        </w:rPr>
        <w:t xml:space="preserve">Raytheon</w:t>
      </w:r>
      <w:r>
        <w:t xml:space="preserve"> </w:t>
      </w:r>
      <w:r>
        <w:t xml:space="preserve">(Delhi HC, 15 September 2023) and</w:t>
      </w:r>
      <w:r>
        <w:t xml:space="preserve"> </w:t>
      </w:r>
      <w:r>
        <w:rPr>
          <w:i/>
          <w:iCs/>
        </w:rPr>
        <w:t xml:space="preserve">Microsoft</w:t>
      </w:r>
      <w:r>
        <w:t xml:space="preserve"> </w:t>
      </w:r>
      <w:r>
        <w:t xml:space="preserve">(Delhi HC, 2023) both say so, and the</w:t>
      </w:r>
      <w:r>
        <w:t xml:space="preserve"> </w:t>
      </w:r>
      <w:r>
        <w:rPr>
          <w:b/>
          <w:bCs/>
        </w:rPr>
        <w:t xml:space="preserve">2025 CRI Guidelines reject the novel-hardware requirement as</w:t>
      </w:r>
      <w:r>
        <w:rPr>
          <w:b/>
          <w:bCs/>
        </w:rPr>
        <w:t xml:space="preserve"> </w:t>
      </w:r>
      <w:r>
        <w:rPr>
          <w:b/>
          <w:bCs/>
        </w:rPr>
        <w:t xml:space="preserve">“a higher standard which lacks any basis in law”</w:t>
      </w:r>
      <w:r>
        <w:t xml:space="preserve"> </w:t>
      </w:r>
      <w:r>
        <w:t xml:space="preserve">(</w:t>
      </w:r>
      <w:hyperlink r:id="rId31">
        <w:r>
          <w:rPr>
            <w:rStyle w:val="Hyperlink"/>
          </w:rPr>
          <w:t xml:space="preserve">Kan &amp; Krishme</w:t>
        </w:r>
      </w:hyperlink>
      <w:r>
        <w:t xml:space="preserve">;</w:t>
      </w:r>
      <w:r>
        <w:t xml:space="preserve"> </w:t>
      </w:r>
      <w:hyperlink r:id="rId32">
        <w:r>
          <w:rPr>
            <w:rStyle w:val="Hyperlink"/>
          </w:rPr>
          <w:t xml:space="preserve">SFLC.in</w:t>
        </w:r>
      </w:hyperlink>
      <w:r>
        <w:t xml:space="preserve">;</w:t>
      </w:r>
      <w:r>
        <w:t xml:space="preserve"> </w:t>
      </w:r>
      <w:hyperlink r:id="rId33">
        <w:r>
          <w:rPr>
            <w:rStyle w:val="Hyperlink"/>
          </w:rPr>
          <w:t xml:space="preserve">Intepat</w:t>
        </w:r>
      </w:hyperlink>
      <w:r>
        <w:t xml:space="preserve">).</w:t>
      </w:r>
    </w:p>
    <w:p>
      <w:pPr>
        <w:pStyle w:val="BlockText"/>
      </w:pPr>
      <w:r>
        <w:rPr>
          <w:b/>
          <w:bCs/>
        </w:rPr>
        <w:t xml:space="preserve">Flag:</w:t>
      </w:r>
      <w:r>
        <w:t xml:space="preserve"> </w:t>
      </w:r>
      <w:r>
        <w:t xml:space="preserve">the exact final status and date of the 2025 CRI Guidelines is unsettled in the sources. Draft 25 March 2025, Version 2.0 June 2025, final reported July 2025 via</w:t>
      </w:r>
      <w:r>
        <w:t xml:space="preserve"> </w:t>
      </w:r>
      <w:hyperlink r:id="rId34">
        <w:r>
          <w:rPr>
            <w:rStyle w:val="Hyperlink"/>
          </w:rPr>
          <w:t xml:space="preserve">PIB PRID 2149719</w:t>
        </w:r>
      </w:hyperlink>
      <w:r>
        <w:t xml:space="preserve"> </w:t>
      </w:r>
      <w:r>
        <w:t xml:space="preserve">— which could not be read. Annexure I runs to 73 pages of worked examples (</w:t>
      </w:r>
      <w:hyperlink r:id="rId35">
        <w:r>
          <w:rPr>
            <w:rStyle w:val="Hyperlink"/>
          </w:rPr>
          <w:t xml:space="preserve">BananaIP</w:t>
        </w:r>
      </w:hyperlink>
      <w:r>
        <w:t xml:space="preserve">).</w:t>
      </w:r>
      <w:r>
        <w:t xml:space="preserve"> </w:t>
      </w:r>
      <w:r>
        <w:rPr>
          <w:b/>
          <w:bCs/>
        </w:rPr>
        <w:t xml:space="preserve">Nobody on this brief could read the Annexure. Whether it contains a worked example on a sensor-actuator control loop is unknown and is close to dispositive for your drafting — have your agent check it first.</w:t>
      </w:r>
    </w:p>
    <w:p>
      <w:pPr>
        <w:pStyle w:val="FirstParagraph"/>
      </w:pPr>
      <w:r>
        <w:rPr>
          <w:b/>
          <w:bCs/>
        </w:rPr>
        <w:t xml:space="preserve">Likely REFUSED under 3(k):</w:t>
      </w:r>
    </w:p>
    <w:p>
      <w:pPr>
        <w:pStyle w:val="Compact"/>
        <w:numPr>
          <w:ilvl w:val="0"/>
          <w:numId w:val="1001"/>
        </w:numPr>
      </w:pPr>
      <w:r>
        <w:t xml:space="preserve">“A method for computing drive levels for a plurality of light sources using a light transport matrix, comprising receiving a target illuminance vector and solving a constrained least-squares problem.”</w:t>
      </w:r>
      <w:r>
        <w:t xml:space="preserve"> </w:t>
      </w:r>
      <w:r>
        <w:t xml:space="preserve">→ mathematical method plus algorithm.</w:t>
      </w:r>
    </w:p>
    <w:p>
      <w:pPr>
        <w:pStyle w:val="Compact"/>
        <w:numPr>
          <w:ilvl w:val="0"/>
          <w:numId w:val="1001"/>
        </w:numPr>
      </w:pPr>
      <w:r>
        <w:t xml:space="preserve">“A computer-readable medium storing instructions that when executed cause a processor to…”</w:t>
      </w:r>
      <w:r>
        <w:t xml:space="preserve"> </w:t>
      </w:r>
      <w:r>
        <w:t xml:space="preserve">→ computer programme per se.</w:t>
      </w:r>
      <w:r>
        <w:t xml:space="preserve"> </w:t>
      </w:r>
      <w:r>
        <w:rPr>
          <w:b/>
          <w:bCs/>
        </w:rPr>
        <w:t xml:space="preserve">Delete every CPP/CRM claim before filing. In India these are free refusals.</w:t>
      </w:r>
    </w:p>
    <w:p>
      <w:pPr>
        <w:pStyle w:val="Compact"/>
        <w:numPr>
          <w:ilvl w:val="0"/>
          <w:numId w:val="1001"/>
        </w:numPr>
      </w:pPr>
      <w:r>
        <w:t xml:space="preserve">“A method of controlling lighting, comprising receiving sensor data, processing the sensor data according to a model, and outputting control data.”</w:t>
      </w:r>
      <w:r>
        <w:t xml:space="preserve"> </w:t>
      </w:r>
      <w:r>
        <w:t xml:space="preserve">→ data in, data out. This is the</w:t>
      </w:r>
      <w:r>
        <w:t xml:space="preserve"> </w:t>
      </w:r>
      <w:r>
        <w:rPr>
          <w:b/>
          <w:bCs/>
          <w:i/>
          <w:iCs/>
        </w:rPr>
        <w:t xml:space="preserve">Blackberry</w:t>
      </w:r>
      <w:r>
        <w:t xml:space="preserve"> </w:t>
      </w:r>
      <w:r>
        <w:t xml:space="preserve">attack (Delhi HC, 30 August 2024:</w:t>
      </w:r>
      <w:r>
        <w:t xml:space="preserve"> </w:t>
      </w:r>
      <w:r>
        <w:t xml:space="preserve">“for algorithms, the inventive feature must be the implementation”</w:t>
      </w:r>
      <w:r>
        <w:t xml:space="preserve">).</w:t>
      </w:r>
    </w:p>
    <w:p>
      <w:pPr>
        <w:pStyle w:val="Compact"/>
        <w:numPr>
          <w:ilvl w:val="0"/>
          <w:numId w:val="1001"/>
        </w:numPr>
      </w:pPr>
      <w:r>
        <w:t xml:space="preserve">“A system comprising a processor configured to execute a lighting-optimisation algorithm,”</w:t>
      </w:r>
      <w:r>
        <w:t xml:space="preserve"> </w:t>
      </w:r>
      <w:r>
        <w:t xml:space="preserve">where the only recited hardware is a processor and memory.</w:t>
      </w:r>
    </w:p>
    <w:p>
      <w:pPr>
        <w:pStyle w:val="Compact"/>
        <w:numPr>
          <w:ilvl w:val="0"/>
          <w:numId w:val="1001"/>
        </w:numPr>
      </w:pPr>
      <w:r>
        <w:rPr>
          <w:b/>
          <w:bCs/>
        </w:rPr>
        <w:t xml:space="preserve">Anything mentioning energy tariffs, occupant billing, subscription tiers, facility-management service delivery or</w:t>
      </w:r>
      <w:r>
        <w:rPr>
          <w:b/>
          <w:bCs/>
        </w:rPr>
        <w:t xml:space="preserve"> </w:t>
      </w:r>
      <w:r>
        <w:rPr>
          <w:b/>
          <w:bCs/>
        </w:rPr>
        <w:t xml:space="preserve">“optimising operating cost.”</w:t>
      </w:r>
      <w:r>
        <w:t xml:space="preserve"> </w:t>
      </w:r>
      <w:r>
        <w:rPr>
          <w:b/>
          <w:bCs/>
          <w:i/>
          <w:iCs/>
        </w:rPr>
        <w:t xml:space="preserve">OpenTV</w:t>
      </w:r>
      <w:r>
        <w:t xml:space="preserve"> </w:t>
      </w:r>
      <w:r>
        <w:t xml:space="preserve">(Delhi HC, 11 May 2023) makes the business-method bar</w:t>
      </w:r>
      <w:r>
        <w:t xml:space="preserve"> </w:t>
      </w:r>
      <w:r>
        <w:rPr>
          <w:b/>
          <w:bCs/>
        </w:rPr>
        <w:t xml:space="preserve">absolute and unqualified — no technical-effect analysis is even available</w:t>
      </w:r>
      <w:r>
        <w:t xml:space="preserve"> </w:t>
      </w:r>
      <w:r>
        <w:t xml:space="preserve">(</w:t>
      </w:r>
      <w:hyperlink r:id="rId36">
        <w:r>
          <w:rPr>
            <w:rStyle w:val="Hyperlink"/>
          </w:rPr>
          <w:t xml:space="preserve">Asia IP</w:t>
        </w:r>
      </w:hyperlink>
      <w:r>
        <w:t xml:space="preserve">). These claims are dead on arrival and can taint the whole file.</w:t>
      </w:r>
    </w:p>
    <w:p>
      <w:pPr>
        <w:pStyle w:val="FirstParagraph"/>
      </w:pPr>
      <w:r>
        <w:rPr>
          <w:b/>
          <w:bCs/>
        </w:rPr>
        <w:t xml:space="preserve">Likely GRANTED on 3(k) grounds, if prior art permits</w:t>
      </w:r>
      <w:r>
        <w:t xml:space="preserve"> </w:t>
      </w:r>
      <w:r>
        <w:t xml:space="preserve">— a system claim anchored in structure, with the mathematics appearing only as a</w:t>
      </w:r>
      <w:r>
        <w:t xml:space="preserve"> </w:t>
      </w:r>
      <w:r>
        <w:rPr>
          <w:i/>
          <w:iCs/>
        </w:rPr>
        <w:t xml:space="preserve">configured-to</w:t>
      </w:r>
      <w:r>
        <w:t xml:space="preserve"> </w:t>
      </w:r>
      <w:r>
        <w:t xml:space="preserve">limitation of a named physical controller. Here is what surviving claim language actually looks like:</w:t>
      </w:r>
    </w:p>
    <w:p>
      <w:pPr>
        <w:pStyle w:val="BlockText"/>
      </w:pPr>
      <w:r>
        <w:rPr>
          <w:i/>
          <w:iCs/>
        </w:rPr>
        <w:t xml:space="preserve">A lighting system for a room, comprising:</w:t>
      </w:r>
      <w:r>
        <w:t xml:space="preserve"> </w:t>
      </w:r>
      <w:r>
        <w:rPr>
          <w:i/>
          <w:iCs/>
        </w:rPr>
        <w:t xml:space="preserve">a plurality of light modules, each comprising a light source and a driver responsive to a received drive command;</w:t>
      </w:r>
      <w:r>
        <w:t xml:space="preserve"> </w:t>
      </w:r>
      <w:r>
        <w:rPr>
          <w:i/>
          <w:iCs/>
        </w:rPr>
        <w:t xml:space="preserve">a sensing node positioned in the room and comprising an illuminance sensor, a colour sensor, and a spatially-resolving element arranged to produce a coarse spatial distribution of light incident on the node;</w:t>
      </w:r>
      <w:r>
        <w:t xml:space="preserve"> </w:t>
      </w:r>
      <w:r>
        <w:rPr>
          <w:i/>
          <w:iCs/>
        </w:rPr>
        <w:t xml:space="preserve">a wireless transceiver coupled to the sensing node and to the light modules;</w:t>
      </w:r>
      <w:r>
        <w:t xml:space="preserve"> </w:t>
      </w:r>
      <w:r>
        <w:rPr>
          <w:i/>
          <w:iCs/>
        </w:rPr>
        <w:t xml:space="preserve">a controller coupled to the transceiver and configured to:</w:t>
      </w:r>
      <w:r>
        <w:t xml:space="preserve"> </w:t>
      </w:r>
      <w:r>
        <w:rPr>
          <w:i/>
          <w:iCs/>
        </w:rPr>
        <w:t xml:space="preserve">(a) during a calibration mode, successively energise each light module individually while the remaining light modules are de-energised, and record from the sensing node the resulting illuminance, colour and spatial-distribution measurement attributable to that light module, so as to populate a light transport matrix for the room in which each column corresponds to the measured optical contribution of one light module at the sensing node;</w:t>
      </w:r>
      <w:r>
        <w:t xml:space="preserve"> </w:t>
      </w:r>
      <w:r>
        <w:rPr>
          <w:i/>
          <w:iCs/>
        </w:rPr>
        <w:t xml:space="preserve">(b) during an operating mode, obtain from the sensing node a current measurement of the room, determine an uncontrolled daylight component as the difference between the current measurement and the sum of contributions predicted by the light transport matrix for the present drive levels, and subtract said daylight component from a target room state;</w:t>
      </w:r>
      <w:r>
        <w:t xml:space="preserve"> </w:t>
      </w:r>
      <w:r>
        <w:rPr>
          <w:i/>
          <w:iCs/>
        </w:rPr>
        <w:t xml:space="preserve">(c) determine drive levels for the plurality of light modules by solving, subject to per-module drive-level bounds, for drive levels whose product with the light transport matrix approximates the daylight-compensated target; and</w:t>
      </w:r>
      <w:r>
        <w:t xml:space="preserve"> </w:t>
      </w:r>
      <w:r>
        <w:rPr>
          <w:i/>
          <w:iCs/>
        </w:rPr>
        <w:t xml:space="preserve">(d) transmit drive commands corresponding to the determined drive levels via the wireless transceiver, thereby causing the light modules to emit light producing the target room state.</w:t>
      </w:r>
    </w:p>
    <w:p>
      <w:pPr>
        <w:pStyle w:val="FirstParagraph"/>
      </w:pPr>
      <w:r>
        <w:rPr>
          <w:b/>
          <w:bCs/>
        </w:rPr>
        <w:t xml:space="preserve">Why this survives:</w:t>
      </w:r>
      <w:r>
        <w:t xml:space="preserve"> </w:t>
      </w:r>
      <w:r>
        <w:t xml:space="preserve">the novelty is not asserted to lie in least-squares. It lies in (a) — a physical measurement protocol performed on the actual room, which is not a computation at all — and in the closed loop terminating in (d), a physical change in the world. The daylight term in (b) is a measurement-derived quantity, not a pure calculation.</w:t>
      </w:r>
    </w:p>
    <w:p>
      <w:pPr>
        <w:pStyle w:val="BodyText"/>
      </w:pPr>
      <w:r>
        <w:t xml:space="preserve">File a mirrored</w:t>
      </w:r>
      <w:r>
        <w:t xml:space="preserve"> </w:t>
      </w:r>
      <w:r>
        <w:rPr>
          <w:b/>
          <w:bCs/>
        </w:rPr>
        <w:t xml:space="preserve">method-of-operating claim</w:t>
      </w:r>
      <w:r>
        <w:t xml:space="preserve"> </w:t>
      </w:r>
      <w:r>
        <w:t xml:space="preserve">that ends in the world, not in a number:</w:t>
      </w:r>
      <w:r>
        <w:t xml:space="preserve"> </w:t>
      </w:r>
      <w:r>
        <w:t xml:space="preserve">“…and driving the light modules so as to change the illuminance and colour of the room.”</w:t>
      </w:r>
      <w:r>
        <w:t xml:space="preserve"> </w:t>
      </w:r>
      <w:r>
        <w:rPr>
          <w:b/>
          <w:bCs/>
          <w:i/>
          <w:iCs/>
        </w:rPr>
        <w:t xml:space="preserve">Robert Bosch Limited v. Deputy Controller of Patents and Designs</w:t>
      </w:r>
      <w:r>
        <w:t xml:space="preserve"> </w:t>
      </w:r>
      <w:r>
        <w:t xml:space="preserve">(Madras HC, CMA(PT)/1/2024, Justice Senthilkumar Ramamoorthy, 25 March 2025) is direct authority: a fuel-preheating control method</w:t>
      </w:r>
      <w:r>
        <w:t xml:space="preserve"> </w:t>
      </w:r>
      <w:r>
        <w:t xml:space="preserve">“involving physical measurements and processes rather than abstract or mental activities”</w:t>
      </w:r>
      <w:r>
        <w:t xml:space="preserve"> </w:t>
      </w:r>
      <w:r>
        <w:t xml:space="preserve">was held patentable and the Controller’s objection that it</w:t>
      </w:r>
      <w:r>
        <w:t xml:space="preserve"> </w:t>
      </w:r>
      <w:r>
        <w:t xml:space="preserve">“did not result in a tangible product”</w:t>
      </w:r>
      <w:r>
        <w:t xml:space="preserve"> </w:t>
      </w:r>
      <w:r>
        <w:t xml:space="preserve">was rejected (</w:t>
      </w:r>
      <w:hyperlink r:id="rId37">
        <w:r>
          <w:rPr>
            <w:rStyle w:val="Hyperlink"/>
          </w:rPr>
          <w:t xml:space="preserve">De Penning</w:t>
        </w:r>
      </w:hyperlink>
      <w:r>
        <w:t xml:space="preserve">;</w:t>
      </w:r>
      <w:r>
        <w:t xml:space="preserve"> </w:t>
      </w:r>
      <w:hyperlink r:id="rId38">
        <w:r>
          <w:rPr>
            <w:rStyle w:val="Hyperlink"/>
          </w:rPr>
          <w:t xml:space="preserve">Selvam &amp; Selvam</w:t>
        </w:r>
      </w:hyperlink>
      <w:r>
        <w:t xml:space="preserve">). Also file a</w:t>
      </w:r>
      <w:r>
        <w:t xml:space="preserve"> </w:t>
      </w:r>
      <w:r>
        <w:rPr>
          <w:b/>
          <w:bCs/>
        </w:rPr>
        <w:t xml:space="preserve">standalone calibration/characterisation method claim</w:t>
      </w:r>
      <w:r>
        <w:t xml:space="preserve"> </w:t>
      </w:r>
      <w:r>
        <w:t xml:space="preserve">—</w:t>
      </w:r>
      <w:r>
        <w:t xml:space="preserve"> </w:t>
      </w:r>
      <w:r>
        <w:t xml:space="preserve">“energising each of N light sources individually while the others are off, measuring at a fixed sensing node, storing an N-column transport matrix.”</w:t>
      </w:r>
      <w:r>
        <w:t xml:space="preserve"> </w:t>
      </w:r>
      <w:r>
        <w:t xml:space="preserve">It is the most 3(k)-proof claim in the set because it contains essentially no mathematics; it is narrow, but it is the fallback an examiner can be steered to.</w:t>
      </w:r>
    </w:p>
    <w:p>
      <w:pPr>
        <w:pStyle w:val="BodyText"/>
      </w:pPr>
      <w:r>
        <w:rPr>
          <w:b/>
          <w:bCs/>
        </w:rPr>
        <w:t xml:space="preserve">Push the solver down into dependent claims.</w:t>
      </w:r>
      <w:r>
        <w:t xml:space="preserve"> </w:t>
      </w:r>
      <w:r>
        <w:t xml:space="preserve">If the least-squares formulation sits in the independent claim, an examiner can characterise the whole thing as a mathematical method with conventional data gathering. If it sits in a dependent, a 3(k) objection to the dependent leaves the independent standing.</w:t>
      </w:r>
    </w:p>
    <w:p>
      <w:pPr>
        <w:pStyle w:val="BodyText"/>
      </w:pPr>
      <w:r>
        <w:rPr>
          <w:b/>
          <w:bCs/>
        </w:rPr>
        <w:t xml:space="preserve">Use</w:t>
      </w:r>
      <w:r>
        <w:rPr>
          <w:b/>
          <w:bCs/>
        </w:rPr>
        <w:t xml:space="preserve"> </w:t>
      </w:r>
      <w:r>
        <w:rPr>
          <w:b/>
          <w:bCs/>
        </w:rPr>
        <w:t xml:space="preserve">“configured to”</w:t>
      </w:r>
      <w:r>
        <w:rPr>
          <w:b/>
          <w:bCs/>
        </w:rPr>
        <w:t xml:space="preserve"> </w:t>
      </w:r>
      <w:r>
        <w:rPr>
          <w:b/>
          <w:bCs/>
        </w:rPr>
        <w:t xml:space="preserve">on a structurally-recited controller, never</w:t>
      </w:r>
      <w:r>
        <w:rPr>
          <w:b/>
          <w:bCs/>
        </w:rPr>
        <w:t xml:space="preserve"> </w:t>
      </w:r>
      <w:r>
        <w:rPr>
          <w:b/>
          <w:bCs/>
        </w:rPr>
        <w:t xml:space="preserve">“means for.”</w:t>
      </w:r>
      <w:r>
        <w:t xml:space="preserve"> </w:t>
      </w:r>
      <w:r>
        <w:t xml:space="preserve">India has no statutory equivalent of 35 U.S.C. §112(f); functional claiming without corresponding structure attracts objections under Sections 10(4)/10(5) on top of 3(k).</w:t>
      </w:r>
    </w:p>
    <w:p>
      <w:pPr>
        <w:pStyle w:val="BodyText"/>
      </w:pPr>
      <w:r>
        <w:rPr>
          <w:b/>
          <w:bCs/>
        </w:rPr>
        <w:t xml:space="preserve">Section 3(f) is the sleeper.</w:t>
      </w:r>
      <w:r>
        <w:t xml:space="preserve"> </w:t>
      </w:r>
      <w:r>
        <w:t xml:space="preserve">Your system claim is, on its face,</w:t>
      </w:r>
      <w:r>
        <w:t xml:space="preserve"> </w:t>
      </w:r>
      <w:r>
        <w:t xml:space="preserve">“a known sensor plus known LED luminaires plus a known wireless link plus a known solver”</w:t>
      </w:r>
      <w:r>
        <w:t xml:space="preserve"> </w:t>
      </w:r>
      <w:r>
        <w:t xml:space="preserve">— mere arrangement of known devices each functioning independently. The counter is drafted, not argued: the specification must state explicitly that</w:t>
      </w:r>
      <w:r>
        <w:t xml:space="preserve"> </w:t>
      </w:r>
      <w:r>
        <w:rPr>
          <w:b/>
          <w:bCs/>
        </w:rPr>
        <w:t xml:space="preserve">the components do not function independently</w:t>
      </w:r>
      <w:r>
        <w:t xml:space="preserve"> </w:t>
      </w:r>
      <w:r>
        <w:t xml:space="preserve">— the sensing node’s measurement determines the drive of every luminaire, and each luminaire’s output changes what the sensing node measures. Mutual dependence is the definition of a closed loop and is the textbook answer to 3(f). Say it in the specification, in those words.</w:t>
      </w:r>
    </w:p>
    <w:bookmarkEnd w:id="39"/>
    <w:bookmarkStart w:id="51" w:name="X984b8766ece8331d5e382b28e06758181fd8854"/>
    <w:p>
      <w:pPr>
        <w:pStyle w:val="Heading3"/>
      </w:pPr>
      <w:r>
        <w:t xml:space="preserve">But the real fight is obviousness, and the prior art is dense</w:t>
      </w:r>
    </w:p>
    <w:p>
      <w:pPr>
        <w:pStyle w:val="FirstParagraph"/>
      </w:pPr>
      <w:r>
        <w:rPr>
          <w:b/>
          <w:bCs/>
        </w:rPr>
        <w:t xml:space="preserve">This is the blunt part.</w:t>
      </w:r>
      <w:r>
        <w:t xml:space="preserve"> </w:t>
      </w:r>
      <w:r>
        <w:t xml:space="preserve">Four of your five claimed novelties are already disclosed by identifiable references, and Indian novelty under s.2(1)(l)/s.13 is</w:t>
      </w:r>
      <w:r>
        <w:t xml:space="preserve"> </w:t>
      </w:r>
      <w:r>
        <w:rPr>
          <w:b/>
          <w:bCs/>
        </w:rPr>
        <w:t xml:space="preserve">absolute and worldwide</w:t>
      </w:r>
      <w:r>
        <w:t xml:space="preserve">, so filing only in India does not help.</w:t>
      </w:r>
    </w:p>
    <w:p>
      <w:pPr>
        <w:pStyle w:val="BodyText"/>
      </w:pPr>
      <w:r>
        <w:t xml:space="preserve">The calibration sweep and transport matrix are</w:t>
      </w:r>
      <w:r>
        <w:t xml:space="preserve"> </w:t>
      </w:r>
      <w:r>
        <w:rPr>
          <w:b/>
          <w:bCs/>
        </w:rPr>
        <w:t xml:space="preserve">not novel as drafted</w:t>
      </w:r>
      <w:r>
        <w:t xml:space="preserve">. Schoeneman, Dorsey, Smits, Arvo and Greenberg,</w:t>
      </w:r>
      <w:r>
        <w:t xml:space="preserve"> </w:t>
      </w:r>
      <w:r>
        <w:rPr>
          <w:b/>
          <w:bCs/>
        </w:rPr>
        <w:t xml:space="preserve">“Painting With Light”</w:t>
      </w:r>
      <w:r>
        <w:rPr>
          <w:b/>
          <w:bCs/>
        </w:rPr>
        <w:t xml:space="preserve">, SIGGRAPH ’93, pp. 143–146</w:t>
      </w:r>
      <w:r>
        <w:t xml:space="preserve">, determined light settings from a desired target</w:t>
      </w:r>
      <w:r>
        <w:t xml:space="preserve"> </w:t>
      </w:r>
      <w:r>
        <w:t xml:space="preserve">“using a</w:t>
      </w:r>
      <w:r>
        <w:t xml:space="preserve"> </w:t>
      </w:r>
      <w:r>
        <w:rPr>
          <w:b/>
          <w:bCs/>
        </w:rPr>
        <w:t xml:space="preserve">constrained least squares approach</w:t>
      </w:r>
      <w:r>
        <w:t xml:space="preserve"> </w:t>
      </w:r>
      <w:r>
        <w:t xml:space="preserve">to match light intensities and colors to a target image”</w:t>
      </w:r>
      <w:r>
        <w:t xml:space="preserve"> </w:t>
      </w:r>
      <w:r>
        <w:t xml:space="preserve">(</w:t>
      </w:r>
      <w:hyperlink r:id="rId40">
        <w:r>
          <w:rPr>
            <w:rStyle w:val="Hyperlink"/>
          </w:rPr>
          <w:t xml:space="preserve">ACM DL</w:t>
        </w:r>
      </w:hyperlink>
      <w:r>
        <w:t xml:space="preserve">). Afshari, Mishra, Julius, Lizarralde, Wason and Wen,</w:t>
      </w:r>
      <w:r>
        <w:t xml:space="preserve"> </w:t>
      </w:r>
      <w:r>
        <w:rPr>
          <w:b/>
          <w:bCs/>
        </w:rPr>
        <w:t xml:space="preserve">“Modeling and control of color tunable lighting systems”</w:t>
      </w:r>
      <w:r>
        <w:rPr>
          <w:b/>
          <w:bCs/>
        </w:rPr>
        <w:t xml:space="preserve">, Energy and Buildings 68:242–253 (2014)</w:t>
      </w:r>
      <w:r>
        <w:t xml:space="preserve">, state that</w:t>
      </w:r>
      <w:r>
        <w:t xml:space="preserve"> </w:t>
      </w:r>
      <w:r>
        <w:t xml:space="preserve">“measured input–output data may be used to identify the (static)</w:t>
      </w:r>
      <w:r>
        <w:t xml:space="preserve"> </w:t>
      </w:r>
      <w:r>
        <w:rPr>
          <w:b/>
          <w:bCs/>
        </w:rPr>
        <w:t xml:space="preserve">light transport matrix, P</w:t>
      </w:r>
      <w:r>
        <w:t xml:space="preserve"> </w:t>
      </w:r>
      <w:r>
        <w:t xml:space="preserve">… the least squares estimate of P calculated using the</w:t>
      </w:r>
      <w:r>
        <w:t xml:space="preserve"> </w:t>
      </w:r>
      <w:r>
        <w:rPr>
          <w:b/>
          <w:bCs/>
        </w:rPr>
        <w:t xml:space="preserve">Moore–Penrose pseudo-inverse</w:t>
      </w:r>
      <w:r>
        <w:t xml:space="preserve">”</w:t>
      </w:r>
      <w:r>
        <w:t xml:space="preserve"> </w:t>
      </w:r>
      <w:r>
        <w:t xml:space="preserve">(</w:t>
      </w:r>
      <w:hyperlink r:id="rId41">
        <w:r>
          <w:rPr>
            <w:rStyle w:val="Hyperlink"/>
          </w:rPr>
          <w:t xml:space="preserve">ScienceDirect</w:t>
        </w:r>
      </w:hyperlink>
      <w:r>
        <w:t xml:space="preserve">) — the exact term, applied to a luminaire-to-photosensor system, in 2014. And</w:t>
      </w:r>
      <w:r>
        <w:t xml:space="preserve"> </w:t>
      </w:r>
      <w:r>
        <w:rPr>
          <w:b/>
          <w:bCs/>
        </w:rPr>
        <w:t xml:space="preserve">US9439260B2,</w:t>
      </w:r>
      <w:r>
        <w:rPr>
          <w:b/>
          <w:bCs/>
        </w:rPr>
        <w:t xml:space="preserve"> </w:t>
      </w:r>
      <w:r>
        <w:rPr>
          <w:b/>
          <w:bCs/>
        </w:rPr>
        <w:t xml:space="preserve">“Calibrating a light sensor”</w:t>
      </w:r>
      <w:r>
        <w:t xml:space="preserve">, originally Koninklijke Philips, now Signify Holding, inventors</w:t>
      </w:r>
      <w:r>
        <w:t xml:space="preserve"> </w:t>
      </w:r>
      <w:r>
        <w:rPr>
          <w:b/>
          <w:bCs/>
        </w:rPr>
        <w:t xml:space="preserve">Pandharipande, Caicedo Fernandez and Klompenhouwer</w:t>
      </w:r>
      <w:r>
        <w:t xml:space="preserve"> </w:t>
      </w:r>
      <w:r>
        <w:t xml:space="preserve">— the same authors as the academic literature — describes</w:t>
      </w:r>
      <w:r>
        <w:t xml:space="preserve"> </w:t>
      </w:r>
      <w:r>
        <w:t xml:space="preserve">“placing the lighting system into each of a</w:t>
      </w:r>
      <w:r>
        <w:t xml:space="preserve"> </w:t>
      </w:r>
      <w:r>
        <w:rPr>
          <w:b/>
          <w:bCs/>
        </w:rPr>
        <w:t xml:space="preserve">plurality of discrete modes</w:t>
      </w:r>
      <w:r>
        <w:t xml:space="preserve"> </w:t>
      </w:r>
      <w:r>
        <w:t xml:space="preserve">… and performing calibrations by determining a respective calibration setting”</w:t>
      </w:r>
      <w:r>
        <w:t xml:space="preserve"> </w:t>
      </w:r>
      <w:r>
        <w:t xml:space="preserve">and</w:t>
      </w:r>
      <w:r>
        <w:t xml:space="preserve"> </w:t>
      </w:r>
      <w:r>
        <w:t xml:space="preserve">“determining a relationship between the sensed light level and the light level experienced at the target location”</w:t>
      </w:r>
      <w:r>
        <w:t xml:space="preserve"> </w:t>
      </w:r>
      <w:r>
        <w:t xml:space="preserve">(</w:t>
      </w:r>
      <w:hyperlink r:id="rId42">
        <w:r>
          <w:rPr>
            <w:rStyle w:val="Hyperlink"/>
          </w:rPr>
          <w:t xml:space="preserve">patents.google.com/patent/US9439260B2</w:t>
        </w:r>
      </w:hyperlink>
      <w:r>
        <w:t xml:space="preserve">). Enlighted’s</w:t>
      </w:r>
      <w:r>
        <w:t xml:space="preserve"> </w:t>
      </w:r>
      <w:r>
        <w:rPr>
          <w:b/>
          <w:bCs/>
        </w:rPr>
        <w:t xml:space="preserve">US8457793B2 / US8909380B2</w:t>
      </w:r>
      <w:r>
        <w:t xml:space="preserve"> </w:t>
      </w:r>
      <w:r>
        <w:t xml:space="preserve">go further:</w:t>
      </w:r>
      <w:r>
        <w:t xml:space="preserve"> </w:t>
      </w:r>
      <w:r>
        <w:t xml:space="preserve">“</w:t>
      </w:r>
      <w:r>
        <w:rPr>
          <w:b/>
          <w:bCs/>
        </w:rPr>
        <w:t xml:space="preserve">Each device is tested independently and measured using internal and surrounding sensors</w:t>
      </w:r>
      <w:r>
        <w:t xml:space="preserve">, then the system calibrates devices operating together”</w:t>
      </w:r>
      <w:r>
        <w:t xml:space="preserve"> </w:t>
      </w:r>
      <w:r>
        <w:t xml:space="preserve">(</w:t>
      </w:r>
      <w:hyperlink r:id="rId43">
        <w:r>
          <w:rPr>
            <w:rStyle w:val="Hyperlink"/>
          </w:rPr>
          <w:t xml:space="preserve">US8457793B2</w:t>
        </w:r>
      </w:hyperlink>
      <w:r>
        <w:t xml:space="preserve">).</w:t>
      </w:r>
    </w:p>
    <w:p>
      <w:pPr>
        <w:pStyle w:val="BodyText"/>
      </w:pPr>
      <w:r>
        <w:t xml:space="preserve">Target-state control is the oldest idea in the room.</w:t>
      </w:r>
      <w:r>
        <w:t xml:space="preserve"> </w:t>
      </w:r>
      <w:r>
        <w:rPr>
          <w:b/>
          <w:bCs/>
        </w:rPr>
        <w:t xml:space="preserve">IEC 62386 / DALI scene recall</w:t>
      </w:r>
      <w:r>
        <w:t xml:space="preserve"> </w:t>
      </w:r>
      <w:r>
        <w:t xml:space="preserve">is a standardised command set (</w:t>
      </w:r>
      <w:hyperlink r:id="rId44">
        <w:r>
          <w:rPr>
            <w:rStyle w:val="Hyperlink"/>
          </w:rPr>
          <w:t xml:space="preserve">DALI Alliance</w:t>
        </w:r>
      </w:hyperlink>
      <w:r>
        <w:t xml:space="preserve">), and the Philips atmosphere-rendering family (</w:t>
      </w:r>
      <w:r>
        <w:rPr>
          <w:b/>
          <w:bCs/>
        </w:rPr>
        <w:t xml:space="preserve">US8463408, US9420673</w:t>
      </w:r>
      <w:r>
        <w:t xml:space="preserve">)</w:t>
      </w:r>
      <w:r>
        <w:t xml:space="preserve"> </w:t>
      </w:r>
      <w:r>
        <w:t xml:space="preserve">“automatically render[s] certain lighting atmospheres in a room from an abstract description (such as an XML file) which is automatically processed to generate control values.”</w:t>
      </w:r>
      <w:r>
        <w:t xml:space="preserve"> </w:t>
      </w:r>
      <w:r>
        <w:t xml:space="preserve">Signify’s own framing is that</w:t>
      </w:r>
      <w:r>
        <w:t xml:space="preserve"> </w:t>
      </w:r>
      <w:r>
        <w:t xml:space="preserve">“a</w:t>
      </w:r>
      <w:r>
        <w:t xml:space="preserve"> </w:t>
      </w:r>
      <w:r>
        <w:rPr>
          <w:b/>
          <w:bCs/>
        </w:rPr>
        <w:t xml:space="preserve">lighting scene specifies a colour for each spatial point</w:t>
      </w:r>
      <w:r>
        <w:t xml:space="preserve"> </w:t>
      </w:r>
      <w:r>
        <w:t xml:space="preserve">… if a luminaire outputs only half the desired output power, this can be detected by a light sensor which may provide feedback”</w:t>
      </w:r>
      <w:r>
        <w:t xml:space="preserve"> </w:t>
      </w:r>
      <w:r>
        <w:t xml:space="preserve">(</w:t>
      </w:r>
      <w:hyperlink r:id="rId45">
        <w:r>
          <w:rPr>
            <w:rStyle w:val="Hyperlink"/>
          </w:rPr>
          <w:t xml:space="preserve">WO2017029368A1</w:t>
        </w:r>
      </w:hyperlink>
      <w:r>
        <w:t xml:space="preserve">).</w:t>
      </w:r>
      <w:r>
        <w:t xml:space="preserve"> </w:t>
      </w:r>
      <w:r>
        <w:t xml:space="preserve">“Including third-party luminaires”</w:t>
      </w:r>
      <w:r>
        <w:t xml:space="preserve"> </w:t>
      </w:r>
      <w:r>
        <w:t xml:space="preserve">is not a gap — it is the entire purpose of DALI-2/D4i, Zigbee, Bluetooth Mesh and Matter.</w:t>
      </w:r>
    </w:p>
    <w:p>
      <w:pPr>
        <w:pStyle w:val="BodyText"/>
      </w:pPr>
      <w:r>
        <w:t xml:space="preserve">Learning from overrides is heavily patented. Nest’s</w:t>
      </w:r>
      <w:r>
        <w:t xml:space="preserve"> </w:t>
      </w:r>
      <w:r>
        <w:rPr>
          <w:b/>
          <w:bCs/>
        </w:rPr>
        <w:t xml:space="preserve">US20130173064A1 / WO2013058820A1</w:t>
      </w:r>
      <w:r>
        <w:t xml:space="preserve"> </w:t>
      </w:r>
      <w:r>
        <w:t xml:space="preserve">claims</w:t>
      </w:r>
      <w:r>
        <w:t xml:space="preserve"> </w:t>
      </w:r>
      <w:r>
        <w:t xml:space="preserve">“setpoint schedule modification based on …</w:t>
      </w:r>
      <w:r>
        <w:t xml:space="preserve"> </w:t>
      </w:r>
      <w:r>
        <w:rPr>
          <w:b/>
          <w:bCs/>
        </w:rPr>
        <w:t xml:space="preserve">corrective manual input patterns</w:t>
      </w:r>
      <w:r>
        <w:t xml:space="preserve">”</w:t>
      </w:r>
      <w:r>
        <w:t xml:space="preserve"> </w:t>
      </w:r>
      <w:r>
        <w:t xml:space="preserve">(</w:t>
      </w:r>
      <w:hyperlink r:id="rId46">
        <w:r>
          <w:rPr>
            <w:rStyle w:val="Hyperlink"/>
          </w:rPr>
          <w:t xml:space="preserve">US20130173064A1</w:t>
        </w:r>
      </w:hyperlink>
      <w:r>
        <w:t xml:space="preserve">).</w:t>
      </w:r>
      <w:r>
        <w:t xml:space="preserve"> </w:t>
      </w:r>
      <w:r>
        <w:rPr>
          <w:b/>
          <w:bCs/>
        </w:rPr>
        <w:t xml:space="preserve">ABL IP Holding (Acuity) US9795004 / US10009978,</w:t>
      </w:r>
      <w:r>
        <w:rPr>
          <w:b/>
          <w:bCs/>
        </w:rPr>
        <w:t xml:space="preserve"> </w:t>
      </w:r>
      <w:r>
        <w:rPr>
          <w:b/>
          <w:bCs/>
        </w:rPr>
        <w:t xml:space="preserve">“Learning capable lighting equipment”</w:t>
      </w:r>
      <w:r>
        <w:t xml:space="preserve"> </w:t>
      </w:r>
      <w:r>
        <w:t xml:space="preserve">—</w:t>
      </w:r>
      <w:r>
        <w:t xml:space="preserve"> </w:t>
      </w:r>
      <w:r>
        <w:t xml:space="preserve">“</w:t>
      </w:r>
      <w:r>
        <w:rPr>
          <w:b/>
          <w:bCs/>
        </w:rPr>
        <w:t xml:space="preserve">the user adjustment, the time of day of the adjustment, and the current color temperature prior to the adjustment are all fed into the learning system</w:t>
      </w:r>
      <w:r>
        <w:t xml:space="preserve"> </w:t>
      </w:r>
      <w:r>
        <w:t xml:space="preserve">… which further influences the actual color temperature value”</w:t>
      </w:r>
      <w:r>
        <w:t xml:space="preserve"> </w:t>
      </w:r>
      <w:r>
        <w:t xml:space="preserve">(</w:t>
      </w:r>
      <w:hyperlink r:id="rId47">
        <w:r>
          <w:rPr>
            <w:rStyle w:val="Hyperlink"/>
          </w:rPr>
          <w:t xml:space="preserve">US10009978B2</w:t>
        </w:r>
      </w:hyperlink>
      <w:r>
        <w:t xml:space="preserve">).</w:t>
      </w:r>
      <w:r>
        <w:t xml:space="preserve"> </w:t>
      </w:r>
      <w:r>
        <w:rPr>
          <w:b/>
          <w:bCs/>
        </w:rPr>
        <w:t xml:space="preserve">US9814117</w:t>
      </w:r>
      <w:r>
        <w:t xml:space="preserve"> </w:t>
      </w:r>
      <w:r>
        <w:t xml:space="preserve">describes</w:t>
      </w:r>
      <w:r>
        <w:t xml:space="preserve"> </w:t>
      </w:r>
      <w:r>
        <w:t xml:space="preserve">“an</w:t>
      </w:r>
      <w:r>
        <w:t xml:space="preserve"> </w:t>
      </w:r>
      <w:r>
        <w:rPr>
          <w:b/>
          <w:bCs/>
        </w:rPr>
        <w:t xml:space="preserve">inference engine</w:t>
      </w:r>
      <w:r>
        <w:t xml:space="preserve"> </w:t>
      </w:r>
      <w:r>
        <w:t xml:space="preserve">[that] analyzes gradual adjustments to determine whether a</w:t>
      </w:r>
      <w:r>
        <w:t xml:space="preserve"> </w:t>
      </w:r>
      <w:r>
        <w:rPr>
          <w:b/>
          <w:bCs/>
        </w:rPr>
        <w:t xml:space="preserve">correlation between adjustments and the context</w:t>
      </w:r>
      <w:r>
        <w:t xml:space="preserve"> </w:t>
      </w:r>
      <w:r>
        <w:t xml:space="preserve">… can be identified, and if a correlation can be found, a</w:t>
      </w:r>
      <w:r>
        <w:t xml:space="preserve"> </w:t>
      </w:r>
      <w:r>
        <w:rPr>
          <w:b/>
          <w:bCs/>
        </w:rPr>
        <w:t xml:space="preserve">rule is created and stored in a preferences database</w:t>
      </w:r>
      <w:r>
        <w:t xml:space="preserve">.”</w:t>
      </w:r>
      <w:r>
        <w:t xml:space="preserve"> </w:t>
      </w:r>
      <w:r>
        <w:t xml:space="preserve">And your</w:t>
      </w:r>
      <w:r>
        <w:t xml:space="preserve"> </w:t>
      </w:r>
      <w:r>
        <w:t xml:space="preserve">“measured daylight signature, not a weather API”</w:t>
      </w:r>
      <w:r>
        <w:t xml:space="preserve"> </w:t>
      </w:r>
      <w:r>
        <w:t xml:space="preserve">distinction does not differentiate:</w:t>
      </w:r>
      <w:r>
        <w:t xml:space="preserve"> </w:t>
      </w:r>
      <w:r>
        <w:rPr>
          <w:b/>
          <w:bCs/>
        </w:rPr>
        <w:t xml:space="preserve">Apple US11419197</w:t>
      </w:r>
      <w:r>
        <w:t xml:space="preserve"> </w:t>
      </w:r>
      <w:r>
        <w:t xml:space="preserve">already</w:t>
      </w:r>
      <w:r>
        <w:t xml:space="preserve"> </w:t>
      </w:r>
      <w:r>
        <w:t xml:space="preserve">“learns from user manual adjustments”</w:t>
      </w:r>
      <w:r>
        <w:t xml:space="preserve"> </w:t>
      </w:r>
      <w:r>
        <w:t xml:space="preserve">with measured current-state data as context (</w:t>
      </w:r>
      <w:hyperlink r:id="rId48">
        <w:r>
          <w:rPr>
            <w:rStyle w:val="Hyperlink"/>
          </w:rPr>
          <w:t xml:space="preserve">Justia</w:t>
        </w:r>
      </w:hyperlink>
      <w:r>
        <w:t xml:space="preserve">), and closed-loop daylight harvesting has</w:t>
      </w:r>
      <w:r>
        <w:t xml:space="preserve"> </w:t>
      </w:r>
      <w:r>
        <w:rPr>
          <w:i/>
          <w:iCs/>
        </w:rPr>
        <w:t xml:space="preserve">measured</w:t>
      </w:r>
      <w:r>
        <w:t xml:space="preserve"> </w:t>
      </w:r>
      <w:r>
        <w:t xml:space="preserve">rather than forecast since the 1990s (</w:t>
      </w:r>
      <w:hyperlink r:id="rId49">
        <w:r>
          <w:rPr>
            <w:rStyle w:val="Hyperlink"/>
          </w:rPr>
          <w:t xml:space="preserve">Lutron daylighting white paper</w:t>
        </w:r>
      </w:hyperlink>
      <w:r>
        <w:t xml:space="preserve">). Substituting a sensor reading for a forecast is the archetypal obvious variation.</w:t>
      </w:r>
    </w:p>
    <w:p>
      <w:pPr>
        <w:pStyle w:val="BodyText"/>
      </w:pPr>
      <w:r>
        <w:t xml:space="preserve">Concentric ring contacts date to</w:t>
      </w:r>
      <w:r>
        <w:t xml:space="preserve"> </w:t>
      </w:r>
      <w:r>
        <w:rPr>
          <w:b/>
          <w:bCs/>
        </w:rPr>
        <w:t xml:space="preserve">US4209214 (1980)</w:t>
      </w:r>
      <w:r>
        <w:t xml:space="preserve"> </w:t>
      </w:r>
      <w:r>
        <w:t xml:space="preserve">—</w:t>
      </w:r>
      <w:r>
        <w:t xml:space="preserve"> </w:t>
      </w:r>
      <w:r>
        <w:t xml:space="preserve">“contact between</w:t>
      </w:r>
      <w:r>
        <w:t xml:space="preserve"> </w:t>
      </w:r>
      <w:r>
        <w:rPr>
          <w:b/>
          <w:bCs/>
        </w:rPr>
        <w:t xml:space="preserve">two concentric members capable of undergoing relative rotation</w:t>
      </w:r>
      <w:r>
        <w:t xml:space="preserve"> </w:t>
      </w:r>
      <w:r>
        <w:t xml:space="preserve">… in rubbing contact with an annular conductive portion”</w:t>
      </w:r>
      <w:r>
        <w:t xml:space="preserve"> </w:t>
      </w:r>
      <w:r>
        <w:t xml:space="preserve">— and are applied to battery packs in</w:t>
      </w:r>
      <w:r>
        <w:t xml:space="preserve"> </w:t>
      </w:r>
      <w:r>
        <w:rPr>
          <w:b/>
          <w:bCs/>
        </w:rPr>
        <w:t xml:space="preserve">US10916742</w:t>
      </w:r>
      <w:r>
        <w:t xml:space="preserve">:</w:t>
      </w:r>
      <w:r>
        <w:t xml:space="preserve"> </w:t>
      </w:r>
      <w:r>
        <w:t xml:space="preserve">“the assembled battery is preferably disposed so as to be</w:t>
      </w:r>
      <w:r>
        <w:t xml:space="preserve"> </w:t>
      </w:r>
      <w:r>
        <w:rPr>
          <w:b/>
          <w:bCs/>
        </w:rPr>
        <w:t xml:space="preserve">rotationally symmetrical in a plan view</w:t>
      </w:r>
      <w:r>
        <w:t xml:space="preserve"> </w:t>
      </w:r>
      <w:r>
        <w:t xml:space="preserve">… [allowing] the</w:t>
      </w:r>
      <w:r>
        <w:t xml:space="preserve"> </w:t>
      </w:r>
      <w:r>
        <w:rPr>
          <w:b/>
          <w:bCs/>
        </w:rPr>
        <w:t xml:space="preserve">rotation of the battery pack for rotatingly engaging the connector portion</w:t>
      </w:r>
      <w:r>
        <w:t xml:space="preserve">.”</w:t>
      </w:r>
      <w:r>
        <w:t xml:space="preserve"> </w:t>
      </w:r>
      <w:r>
        <w:t xml:space="preserve">Dead-until-mated is universal safety practice with extensive art:</w:t>
      </w:r>
      <w:r>
        <w:t xml:space="preserve"> </w:t>
      </w:r>
      <w:r>
        <w:rPr>
          <w:b/>
          <w:bCs/>
        </w:rPr>
        <w:t xml:space="preserve">US8193774B2</w:t>
      </w:r>
      <w:r>
        <w:t xml:space="preserve"> </w:t>
      </w:r>
      <w:r>
        <w:t xml:space="preserve">(</w:t>
      </w:r>
      <w:r>
        <w:t xml:space="preserve">“does not deliver power until it recognizes that it has been loaded”</w:t>
      </w:r>
      <w:r>
        <w:t xml:space="preserve">),</w:t>
      </w:r>
      <w:r>
        <w:t xml:space="preserve"> </w:t>
      </w:r>
      <w:r>
        <w:rPr>
          <w:b/>
          <w:bCs/>
        </w:rPr>
        <w:t xml:space="preserve">US7405536B2</w:t>
      </w:r>
      <w:r>
        <w:t xml:space="preserve">,</w:t>
      </w:r>
      <w:r>
        <w:t xml:space="preserve"> </w:t>
      </w:r>
      <w:r>
        <w:rPr>
          <w:b/>
          <w:bCs/>
        </w:rPr>
        <w:t xml:space="preserve">DE102005061532A1</w:t>
      </w:r>
      <w:r>
        <w:t xml:space="preserve">, plus the Apple MagSafe family (</w:t>
      </w:r>
      <w:r>
        <w:rPr>
          <w:b/>
          <w:bCs/>
        </w:rPr>
        <w:t xml:space="preserve">US7311526B2</w:t>
      </w:r>
      <w:r>
        <w:t xml:space="preserve">, US10020608,</w:t>
      </w:r>
      <w:r>
        <w:t xml:space="preserve"> </w:t>
      </w:r>
      <w:r>
        <w:rPr>
          <w:b/>
          <w:bCs/>
        </w:rPr>
        <w:t xml:space="preserve">US10547151B2</w:t>
      </w:r>
      <w:r>
        <w:t xml:space="preserve">).</w:t>
      </w:r>
    </w:p>
    <w:p>
      <w:pPr>
        <w:pStyle w:val="BodyText"/>
      </w:pPr>
      <w:r>
        <w:rPr>
          <w:b/>
          <w:bCs/>
        </w:rPr>
        <w:t xml:space="preserve">Practical consequence:</w:t>
      </w:r>
      <w:r>
        <w:t xml:space="preserve"> </w:t>
      </w:r>
      <w:r>
        <w:t xml:space="preserve">budget for a</w:t>
      </w:r>
      <w:r>
        <w:t xml:space="preserve"> </w:t>
      </w:r>
      <w:r>
        <w:rPr>
          <w:b/>
          <w:bCs/>
        </w:rPr>
        <w:t xml:space="preserve">professional novelty/FTO search on CPC H05B47/105, /11, /115, /155, /165, /19 and G05B13/* before you spend on a complete specification.</w:t>
      </w:r>
      <w:r>
        <w:t xml:space="preserve"> </w:t>
      </w:r>
      <w:r>
        <w:t xml:space="preserve">Consider buying an</w:t>
      </w:r>
      <w:r>
        <w:t xml:space="preserve"> </w:t>
      </w:r>
      <w:r>
        <w:rPr>
          <w:b/>
          <w:bCs/>
        </w:rPr>
        <w:t xml:space="preserve">EPO search via the PCT</w:t>
      </w:r>
      <w:r>
        <w:t xml:space="preserve"> </w:t>
      </w:r>
      <w:r>
        <w:t xml:space="preserve">rather than the IPO’s — the IPO as ISA costs ₹2,500 (reduced) or ₹10,000 (</w:t>
      </w:r>
      <w:hyperlink r:id="rId50">
        <w:r>
          <w:rPr>
            <w:rStyle w:val="Hyperlink"/>
          </w:rPr>
          <w:t xml:space="preserve">Intepat</w:t>
        </w:r>
      </w:hyperlink>
      <w:r>
        <w:t xml:space="preserve">), but in dense control-systems art an EPO search tells you early and cheaply whether the invention is actually novel, and a positive EPO written opinion carries real weight at the EPO and USPTO where the IPO’s does not.</w:t>
      </w:r>
      <w:r>
        <w:t xml:space="preserve"> </w:t>
      </w:r>
      <w:r>
        <w:rPr>
          <w:b/>
          <w:bCs/>
        </w:rPr>
        <w:t xml:space="preserve">The EPO ISA fee could not be verified in this research and is deliberately not stated.</w:t>
      </w:r>
    </w:p>
    <w:bookmarkEnd w:id="51"/>
    <w:bookmarkStart w:id="56" w:name="X577defedee29f7850e941d14611795aed785541"/>
    <w:p>
      <w:pPr>
        <w:pStyle w:val="Heading3"/>
      </w:pPr>
      <w:r>
        <w:t xml:space="preserve">Provisional versus complete: the trap is a thin provisional</w:t>
      </w:r>
    </w:p>
    <w:p>
      <w:pPr>
        <w:pStyle w:val="FirstParagraph"/>
      </w:pPr>
      <w:r>
        <w:t xml:space="preserve">A provisional secures a priority date</w:t>
      </w:r>
      <w:r>
        <w:t xml:space="preserve"> </w:t>
      </w:r>
      <w:r>
        <w:rPr>
          <w:b/>
          <w:bCs/>
        </w:rPr>
        <w:t xml:space="preserve">only for subject matter it actually discloses</w:t>
      </w:r>
      <w:r>
        <w:t xml:space="preserve">. Claims not fairly based on it take the complete’s date and are judged for novelty and inventive step at that later date (</w:t>
      </w:r>
      <w:hyperlink r:id="rId52">
        <w:r>
          <w:rPr>
            <w:rStyle w:val="Hyperlink"/>
          </w:rPr>
          <w:t xml:space="preserve">Intepat</w:t>
        </w:r>
      </w:hyperlink>
      <w:r>
        <w:t xml:space="preserve">;</w:t>
      </w:r>
      <w:r>
        <w:t xml:space="preserve"> </w:t>
      </w:r>
      <w:hyperlink r:id="rId53">
        <w:r>
          <w:rPr>
            <w:rStyle w:val="Hyperlink"/>
          </w:rPr>
          <w:t xml:space="preserve">Legismith</w:t>
        </w:r>
      </w:hyperlink>
      <w:r>
        <w:t xml:space="preserve">).</w:t>
      </w:r>
      <w:r>
        <w:t xml:space="preserve"> </w:t>
      </w:r>
      <w:r>
        <w:rPr>
          <w:b/>
          <w:bCs/>
        </w:rPr>
        <w:t xml:space="preserve">The complete must be filed within 12 months. There is no extension, the general power to condone delay does not reach it, and post-dating cannot extend it</w:t>
      </w:r>
      <w:r>
        <w:t xml:space="preserve"> </w:t>
      </w:r>
      <w:r>
        <w:t xml:space="preserve">(</w:t>
      </w:r>
      <w:hyperlink r:id="rId54">
        <w:r>
          <w:rPr>
            <w:rStyle w:val="Hyperlink"/>
          </w:rPr>
          <w:t xml:space="preserve">Global Patent Filing</w:t>
        </w:r>
      </w:hyperlink>
      <w:r>
        <w:t xml:space="preserve">). Claims are not required in a provisional.</w:t>
      </w:r>
    </w:p>
    <w:p>
      <w:pPr>
        <w:pStyle w:val="BodyText"/>
      </w:pPr>
      <w:r>
        <w:t xml:space="preserve">Here is the trap, stated plainly. The narrowing amendments that 3(k) and inventive-step objections</w:t>
      </w:r>
      <w:r>
        <w:t xml:space="preserve"> </w:t>
      </w:r>
      <w:r>
        <w:rPr>
          <w:i/>
          <w:iCs/>
        </w:rPr>
        <w:t xml:space="preserve">will</w:t>
      </w:r>
      <w:r>
        <w:t xml:space="preserve"> </w:t>
      </w:r>
      <w:r>
        <w:t xml:space="preserve">force during prosecution are exactly the specific hardware and procedural details a thin provisional omits. So the claims that eventually grant carry the complete’s date — and twelve months of your own intervening demonstrations, publications and sales become prior art against them.</w:t>
      </w:r>
      <w:r>
        <w:t xml:space="preserve"> </w:t>
      </w:r>
      <w:r>
        <w:rPr>
          <w:b/>
          <w:bCs/>
        </w:rPr>
        <w:t xml:space="preserve">A thin provisional in a fast-moving hardware field is often worse than no provisional, because it creates a false sense of protection.</w:t>
      </w:r>
    </w:p>
    <w:p>
      <w:pPr>
        <w:pStyle w:val="BodyText"/>
      </w:pPr>
      <w:r>
        <w:t xml:space="preserve">Your provisional must therefore already describe, in specific terms: the sensing node’s physical construction, including the mechanism by which coarse spatial distribution is obtained (aperture/lens/array geometry —</w:t>
      </w:r>
      <w:r>
        <w:t xml:space="preserve"> </w:t>
      </w:r>
      <w:r>
        <w:t xml:space="preserve">“a sensor configured to sense spatial distribution”</w:t>
      </w:r>
      <w:r>
        <w:t xml:space="preserve"> </w:t>
      </w:r>
      <w:r>
        <w:t xml:space="preserve">is not enough); the calibration sweep as a concrete procedure with settling times, what is recorded, how a column is formed, how the matrix is stored and per-room keyed; the daylight estimation as a measured disturbance; the constrained formulation including the constraint set and at least one named solution approach; the wireless command path and driver interface;</w:t>
      </w:r>
      <w:r>
        <w:t xml:space="preserve"> </w:t>
      </w:r>
      <w:r>
        <w:rPr>
          <w:b/>
          <w:bCs/>
        </w:rPr>
        <w:t xml:space="preserve">real numbers</w:t>
      </w:r>
      <w:r>
        <w:t xml:space="preserve"> </w:t>
      </w:r>
      <w:r>
        <w:t xml:space="preserve">— room dimensions, source count, measured lux and colour error before and after, timings; and</w:t>
      </w:r>
      <w:r>
        <w:t xml:space="preserve"> </w:t>
      </w:r>
      <w:r>
        <w:rPr>
          <w:b/>
          <w:bCs/>
        </w:rPr>
        <w:t xml:space="preserve">every variant you may ever want to claim</w:t>
      </w:r>
      <w:r>
        <w:t xml:space="preserve"> </w:t>
      </w:r>
      <w:r>
        <w:t xml:space="preserve">— multiple sensing nodes, re-calibration triggers, partial re-calibration, occupancy interaction. Anything not in the provisional gets the later date.</w:t>
      </w:r>
    </w:p>
    <w:p>
      <w:pPr>
        <w:pStyle w:val="BodyText"/>
      </w:pPr>
      <w:r>
        <w:t xml:space="preserve">The market’s ₹6,000–₹12,000 provisional drafting price exists because the drafting is thin (</w:t>
      </w:r>
      <w:hyperlink r:id="rId55">
        <w:r>
          <w:rPr>
            <w:rStyle w:val="Hyperlink"/>
          </w:rPr>
          <w:t xml:space="preserve">Razorpay</w:t>
        </w:r>
      </w:hyperlink>
      <w:r>
        <w:t xml:space="preserve">).</w:t>
      </w:r>
      <w:r>
        <w:t xml:space="preserve"> </w:t>
      </w:r>
      <w:r>
        <w:rPr>
          <w:b/>
          <w:bCs/>
        </w:rPr>
        <w:t xml:space="preserve">For a 3(k)-exposed case, paying the low end is the expensive option.</w:t>
      </w:r>
    </w:p>
    <w:bookmarkEnd w:id="56"/>
    <w:bookmarkStart w:id="63" w:name="X4c2b5c5eb55a972ad8563472729d6066a5831d0"/>
    <w:p>
      <w:pPr>
        <w:pStyle w:val="Heading3"/>
      </w:pPr>
      <w:r>
        <w:t xml:space="preserve">Section 39: the foreign-filing trap that carries imprisonment</w:t>
      </w:r>
    </w:p>
    <w:p>
      <w:pPr>
        <w:pStyle w:val="FirstParagraph"/>
      </w:pPr>
      <w:r>
        <w:t xml:space="preserve">You are an Indian resident inventing in India.</w:t>
      </w:r>
      <w:r>
        <w:t xml:space="preserve"> </w:t>
      </w:r>
      <w:r>
        <w:rPr>
          <w:b/>
          <w:bCs/>
        </w:rPr>
        <w:t xml:space="preserve">Section 39 requires you to file in India first and wait six weeks, or obtain a foreign filing licence on Form 25, before any foreign filing.</w:t>
      </w:r>
      <w:r>
        <w:t xml:space="preserve"> </w:t>
      </w:r>
      <w:r>
        <w:t xml:space="preserve">Breach is punishable under</w:t>
      </w:r>
      <w:r>
        <w:t xml:space="preserve"> </w:t>
      </w:r>
      <w:r>
        <w:rPr>
          <w:b/>
          <w:bCs/>
        </w:rPr>
        <w:t xml:space="preserve">Section 118 with imprisonment up to two years, or fine, or both</w:t>
      </w:r>
      <w:r>
        <w:t xml:space="preserve">; the application is</w:t>
      </w:r>
      <w:r>
        <w:t xml:space="preserve"> </w:t>
      </w:r>
      <w:r>
        <w:rPr>
          <w:b/>
          <w:bCs/>
        </w:rPr>
        <w:t xml:space="preserve">deemed abandoned under Section 40</w:t>
      </w:r>
      <w:r>
        <w:t xml:space="preserve">; and any granted patent is</w:t>
      </w:r>
      <w:r>
        <w:t xml:space="preserve"> </w:t>
      </w:r>
      <w:r>
        <w:rPr>
          <w:b/>
          <w:bCs/>
        </w:rPr>
        <w:t xml:space="preserve">vulnerable to revocation under Section 64</w:t>
      </w:r>
      <w:r>
        <w:t xml:space="preserve"> </w:t>
      </w:r>
      <w:r>
        <w:t xml:space="preserve">(</w:t>
      </w:r>
      <w:hyperlink r:id="rId57">
        <w:r>
          <w:rPr>
            <w:rStyle w:val="Hyperlink"/>
          </w:rPr>
          <w:t xml:space="preserve">Intepat</w:t>
        </w:r>
      </w:hyperlink>
      <w:r>
        <w:t xml:space="preserve">;</w:t>
      </w:r>
      <w:r>
        <w:t xml:space="preserve"> </w:t>
      </w:r>
      <w:hyperlink r:id="rId58">
        <w:r>
          <w:rPr>
            <w:rStyle w:val="Hyperlink"/>
          </w:rPr>
          <w:t xml:space="preserve">Mondaq</w:t>
        </w:r>
      </w:hyperlink>
      <w:r>
        <w:t xml:space="preserve">;</w:t>
      </w:r>
      <w:r>
        <w:t xml:space="preserve"> </w:t>
      </w:r>
      <w:hyperlink r:id="rId59">
        <w:r>
          <w:rPr>
            <w:rStyle w:val="Hyperlink"/>
          </w:rPr>
          <w:t xml:space="preserve">The IP Press</w:t>
        </w:r>
      </w:hyperlink>
      <w:r>
        <w:t xml:space="preserve">). In a company context,</w:t>
      </w:r>
      <w:r>
        <w:t xml:space="preserve"> </w:t>
      </w:r>
      <w:r>
        <w:rPr>
          <w:b/>
          <w:bCs/>
        </w:rPr>
        <w:t xml:space="preserve">liability can extend beyond the named inventor to persons responsible for or consenting to the foreign filing.</w:t>
      </w:r>
      <w:r>
        <w:t xml:space="preserve"> </w:t>
      </w:r>
      <w:r>
        <w:t xml:space="preserve">This is the most common serious mistake Indian hardware startups make — usually because a US-based co-founder or an investor’s counsel files a US provisional</w:t>
      </w:r>
      <w:r>
        <w:t xml:space="preserve"> </w:t>
      </w:r>
      <w:r>
        <w:t xml:space="preserve">“to be safe.”</w:t>
      </w:r>
    </w:p>
    <w:p>
      <w:pPr>
        <w:pStyle w:val="BodyText"/>
      </w:pPr>
      <w:r>
        <w:rPr>
          <w:b/>
          <w:bCs/>
        </w:rPr>
        <w:t xml:space="preserve">Safe sequence:</w:t>
      </w:r>
      <w:r>
        <w:t xml:space="preserve"> </w:t>
      </w:r>
      <w:r>
        <w:t xml:space="preserve">(1) file the Indian provisional; (2) wait six weeks with no Section 35 secrecy direction, or file Form 25 for an FFL; (3) file the PCT or direct foreign applications by the 12-month anniversary.</w:t>
      </w:r>
    </w:p>
    <w:p>
      <w:pPr>
        <w:pStyle w:val="BodyText"/>
      </w:pPr>
      <w:r>
        <w:rPr>
          <w:b/>
          <w:bCs/>
        </w:rPr>
        <w:t xml:space="preserve">Do not budget for the 90% PCT fee reduction.</w:t>
      </w:r>
      <w:r>
        <w:t xml:space="preserve"> </w:t>
      </w:r>
      <w:r>
        <w:t xml:space="preserve">It applies</w:t>
      </w:r>
      <w:r>
        <w:t xml:space="preserve"> </w:t>
      </w:r>
      <w:r>
        <w:rPr>
          <w:b/>
          <w:bCs/>
        </w:rPr>
        <w:t xml:space="preserve">only to natural persons who are nationals of and resident in India; startups, companies, MSMEs and educational institutions do not qualify</w:t>
      </w:r>
      <w:r>
        <w:t xml:space="preserve">, and with multiple applicants every applicant must independently qualify (</w:t>
      </w:r>
      <w:hyperlink r:id="rId50">
        <w:r>
          <w:rPr>
            <w:rStyle w:val="Hyperlink"/>
          </w:rPr>
          <w:t xml:space="preserve">Intepat</w:t>
        </w:r>
      </w:hyperlink>
      <w:r>
        <w:t xml:space="preserve">). The international filing fee is quoted as</w:t>
      </w:r>
      <w:r>
        <w:t xml:space="preserve"> </w:t>
      </w:r>
      <w:r>
        <w:rPr>
          <w:b/>
          <w:bCs/>
        </w:rPr>
        <w:t xml:space="preserve">USD 1,471</w:t>
      </w:r>
      <w:r>
        <w:t xml:space="preserve"> </w:t>
      </w:r>
      <w:r>
        <w:t xml:space="preserve">in one place and</w:t>
      </w:r>
      <w:r>
        <w:t xml:space="preserve"> </w:t>
      </w:r>
      <w:r>
        <w:rPr>
          <w:b/>
          <w:bCs/>
        </w:rPr>
        <w:t xml:space="preserve">USD 1,667</w:t>
      </w:r>
      <w:r>
        <w:t xml:space="preserve"> </w:t>
      </w:r>
      <w:r>
        <w:t xml:space="preserve">in another by the same publisher —</w:t>
      </w:r>
      <w:r>
        <w:t xml:space="preserve"> </w:t>
      </w:r>
      <w:r>
        <w:rPr>
          <w:b/>
          <w:bCs/>
        </w:rPr>
        <w:t xml:space="preserve">a live conflict</w:t>
      </w:r>
      <w:r>
        <w:t xml:space="preserve">; the authoritative source is the</w:t>
      </w:r>
      <w:r>
        <w:t xml:space="preserve"> </w:t>
      </w:r>
      <w:hyperlink r:id="rId60">
        <w:r>
          <w:rPr>
            <w:rStyle w:val="Hyperlink"/>
          </w:rPr>
          <w:t xml:space="preserve">WIPO PCT Fee Tables</w:t>
        </w:r>
      </w:hyperlink>
      <w:r>
        <w:t xml:space="preserve">, which was blocked here. The fee is set in CHF, so the USD equivalent moves. If you filed the PCT personally as a natural person resident in India, the fee would drop to roughly USD 167 — a saving over ₹1 lakh — but that decision has ownership, assignment and diligence consequences and must be taken deliberately with counsel, not by accident.</w:t>
      </w:r>
    </w:p>
    <w:p>
      <w:pPr>
        <w:pStyle w:val="BodyText"/>
      </w:pPr>
      <w:r>
        <w:t xml:space="preserve">Finally,</w:t>
      </w:r>
      <w:r>
        <w:t xml:space="preserve"> </w:t>
      </w:r>
      <w:r>
        <w:rPr>
          <w:b/>
          <w:bCs/>
        </w:rPr>
        <w:t xml:space="preserve">RFE is now due within 31 months of earliest priority for applications filed on or after 15 March 2024</w:t>
      </w:r>
      <w:r>
        <w:t xml:space="preserve"> </w:t>
      </w:r>
      <w:r>
        <w:t xml:space="preserve">(down from 48 months under the Patents (Amendment) Rules 2024), which means</w:t>
      </w:r>
      <w:r>
        <w:t xml:space="preserve"> </w:t>
      </w:r>
      <w:r>
        <w:rPr>
          <w:b/>
          <w:bCs/>
        </w:rPr>
        <w:t xml:space="preserve">the national-phase deadline and the RFE deadline now coincide — docket them as one date</w:t>
      </w:r>
      <w:r>
        <w:t xml:space="preserve"> </w:t>
      </w:r>
      <w:r>
        <w:t xml:space="preserve">(</w:t>
      </w:r>
      <w:hyperlink r:id="rId61">
        <w:r>
          <w:rPr>
            <w:rStyle w:val="Hyperlink"/>
          </w:rPr>
          <w:t xml:space="preserve">Intepat</w:t>
        </w:r>
      </w:hyperlink>
      <w:r>
        <w:t xml:space="preserve">;</w:t>
      </w:r>
      <w:r>
        <w:t xml:space="preserve"> </w:t>
      </w:r>
      <w:hyperlink r:id="rId62">
        <w:r>
          <w:rPr>
            <w:rStyle w:val="Hyperlink"/>
          </w:rPr>
          <w:t xml:space="preserve">Cyril Amarchand client alert</w:t>
        </w:r>
      </w:hyperlink>
      <w:r>
        <w:t xml:space="preserve">).</w:t>
      </w:r>
    </w:p>
    <w:p>
      <w:r>
        <w:pict>
          <v:rect style="width:0;height:1.5pt" o:hralign="center" o:hrstd="t" o:hr="t"/>
        </w:pict>
      </w:r>
    </w:p>
    <w:bookmarkEnd w:id="63"/>
    <w:bookmarkEnd w:id="64"/>
    <w:bookmarkStart w:id="82" w:name="X70ed4f5f430a0b48d0f917905d63e45a60083cd"/>
    <w:p>
      <w:pPr>
        <w:pStyle w:val="Heading2"/>
      </w:pPr>
      <w:r>
        <w:t xml:space="preserve">Ranking the five novelties: detectability decides, not cleverness</w:t>
      </w:r>
    </w:p>
    <w:p>
      <w:pPr>
        <w:pStyle w:val="FirstParagraph"/>
      </w:pPr>
      <w:r>
        <w:t xml:space="preserve">The dominant variable is</w:t>
      </w:r>
      <w:r>
        <w:t xml:space="preserve"> </w:t>
      </w:r>
      <w:r>
        <w:rPr>
          <w:b/>
          <w:bCs/>
        </w:rPr>
        <w:t xml:space="preserve">not how clever the idea is. It is whether you could ever tell, from outside a competitor’s product, that they are infringing.</w:t>
      </w:r>
      <w:r>
        <w:t xml:space="preserve"> </w:t>
      </w:r>
      <w:r>
        <w:t xml:space="preserve">A patent you cannot detect infringement of is a receipt for nothing. Secondary variables: does it fall out of a teardown (if yes, secrecy already failed and a patent is the better trade); would a competent competitor arrive at it independently (trade secrets give</w:t>
      </w:r>
      <w:r>
        <w:t xml:space="preserve"> </w:t>
      </w:r>
      <w:r>
        <w:rPr>
          <w:b/>
          <w:bCs/>
        </w:rPr>
        <w:t xml:space="preserve">zero</w:t>
      </w:r>
      <w:r>
        <w:t xml:space="preserve"> </w:t>
      </w:r>
      <w:r>
        <w:t xml:space="preserve">protection against independent invention, patents do); is it still worth anything in 2046; and does publication at 18 months hand a competitor more than the claims block.</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Asset</w:t>
            </w:r>
          </w:p>
        </w:tc>
        <w:tc>
          <w:tcPr/>
          <w:p>
            <w:pPr>
              <w:pStyle w:val="Compact"/>
            </w:pPr>
            <w:r>
              <w:t xml:space="preserve">Detectable in a rival’s product?</w:t>
            </w:r>
          </w:p>
        </w:tc>
        <w:tc>
          <w:tcPr/>
          <w:p>
            <w:pPr>
              <w:pStyle w:val="Compact"/>
            </w:pPr>
            <w:r>
              <w:t xml:space="preserve">Reverse-engineerable?</w:t>
            </w:r>
          </w:p>
        </w:tc>
        <w:tc>
          <w:tcPr/>
          <w:p>
            <w:pPr>
              <w:pStyle w:val="Compact"/>
            </w:pPr>
            <w:r>
              <w:t xml:space="preserve">Independently discoverable?</w:t>
            </w:r>
          </w:p>
        </w:tc>
        <w:tc>
          <w:tcPr/>
          <w:p>
            <w:pPr>
              <w:pStyle w:val="Compact"/>
            </w:pPr>
            <w:r>
              <w:rPr>
                <w:b/>
                <w:bCs/>
              </w:rPr>
              <w:t xml:space="preserve">Verdict</w:t>
            </w:r>
          </w:p>
        </w:tc>
      </w:tr>
      <w:tr>
        <w:tc>
          <w:tcPr/>
          <w:p>
            <w:pPr>
              <w:pStyle w:val="Compact"/>
            </w:pPr>
            <w:r>
              <w:t xml:space="preserve">1</w:t>
            </w:r>
          </w:p>
        </w:tc>
        <w:tc>
          <w:tcPr/>
          <w:p>
            <w:pPr>
              <w:pStyle w:val="Compact"/>
            </w:pPr>
            <w:r>
              <w:t xml:space="preserve">Calibration sweep → light transport matrix, constrained LSQ, measured daylight subtracted</w:t>
            </w:r>
          </w:p>
        </w:tc>
        <w:tc>
          <w:tcPr/>
          <w:p>
            <w:pPr>
              <w:pStyle w:val="Compact"/>
            </w:pPr>
            <w:r>
              <w:rPr>
                <w:b/>
                <w:bCs/>
              </w:rPr>
              <w:t xml:space="preserve">HIGH</w:t>
            </w:r>
            <w:r>
              <w:t xml:space="preserve"> </w:t>
            </w:r>
            <w:r>
              <w:t xml:space="preserve">— the lights visibly flash one at a time in front of the installer</w:t>
            </w:r>
          </w:p>
        </w:tc>
        <w:tc>
          <w:tcPr/>
          <w:p>
            <w:pPr>
              <w:pStyle w:val="Compact"/>
            </w:pPr>
            <w:r>
              <w:t xml:space="preserve">High</w:t>
            </w:r>
          </w:p>
        </w:tc>
        <w:tc>
          <w:tcPr/>
          <w:p>
            <w:pPr>
              <w:pStyle w:val="Compact"/>
            </w:pPr>
            <w:r>
              <w:t xml:space="preserve">Moderate–High</w:t>
            </w:r>
          </w:p>
        </w:tc>
        <w:tc>
          <w:tcPr/>
          <w:p>
            <w:pPr>
              <w:pStyle w:val="Compact"/>
            </w:pPr>
            <w:r>
              <w:rPr>
                <w:b/>
                <w:bCs/>
              </w:rPr>
              <w:t xml:space="preserve">PATENT</w:t>
            </w:r>
            <w:r>
              <w:t xml:space="preserve"> </w:t>
            </w:r>
            <w:r>
              <w:t xml:space="preserve">— priority filing</w:t>
            </w:r>
          </w:p>
        </w:tc>
      </w:tr>
      <w:tr>
        <w:tc>
          <w:tcPr/>
          <w:p>
            <w:pPr>
              <w:pStyle w:val="Compact"/>
            </w:pPr>
            <w:r>
              <w:t xml:space="preserve">2</w:t>
            </w:r>
          </w:p>
        </w:tc>
        <w:tc>
          <w:tcPr/>
          <w:p>
            <w:pPr>
              <w:pStyle w:val="Compact"/>
            </w:pPr>
            <w:r>
              <w:t xml:space="preserve">Target-state control (</w:t>
            </w:r>
            <w:r>
              <w:t xml:space="preserve">“Read / Relax / Cook”</w:t>
            </w:r>
            <w:r>
              <w:t xml:space="preserve">)</w:t>
            </w:r>
          </w:p>
        </w:tc>
        <w:tc>
          <w:tcPr/>
          <w:p>
            <w:pPr>
              <w:pStyle w:val="Compact"/>
            </w:pPr>
            <w:r>
              <w:t xml:space="preserve">Total (it is the UI)</w:t>
            </w:r>
          </w:p>
        </w:tc>
        <w:tc>
          <w:tcPr/>
          <w:p>
            <w:pPr>
              <w:pStyle w:val="Compact"/>
            </w:pPr>
            <w:r>
              <w:t xml:space="preserve">Total</w:t>
            </w:r>
          </w:p>
        </w:tc>
        <w:tc>
          <w:tcPr/>
          <w:p>
            <w:pPr>
              <w:pStyle w:val="Compact"/>
            </w:pPr>
            <w:r>
              <w:rPr>
                <w:b/>
                <w:bCs/>
              </w:rPr>
              <w:t xml:space="preserve">Certain — not novel</w:t>
            </w:r>
          </w:p>
        </w:tc>
        <w:tc>
          <w:tcPr/>
          <w:p>
            <w:pPr>
              <w:pStyle w:val="Compact"/>
            </w:pPr>
            <w:r>
              <w:rPr>
                <w:b/>
                <w:bCs/>
              </w:rPr>
              <w:t xml:space="preserve">NEITHER</w:t>
            </w:r>
            <w:r>
              <w:t xml:space="preserve"> </w:t>
            </w:r>
            <w:r>
              <w:t xml:space="preserve">— trademark the names</w:t>
            </w:r>
          </w:p>
        </w:tc>
      </w:tr>
      <w:tr>
        <w:tc>
          <w:tcPr/>
          <w:p>
            <w:pPr>
              <w:pStyle w:val="Compact"/>
            </w:pPr>
            <w:r>
              <w:t xml:space="preserve">3</w:t>
            </w:r>
          </w:p>
        </w:tc>
        <w:tc>
          <w:tcPr/>
          <w:p>
            <w:pPr>
              <w:pStyle w:val="Compact"/>
            </w:pPr>
            <w:r>
              <w:t xml:space="preserve">Learning from overrides only, on a measured-light context vector</w:t>
            </w:r>
          </w:p>
        </w:tc>
        <w:tc>
          <w:tcPr/>
          <w:p>
            <w:pPr>
              <w:pStyle w:val="Compact"/>
            </w:pPr>
            <w:r>
              <w:rPr>
                <w:b/>
                <w:bCs/>
              </w:rPr>
              <w:t xml:space="preserve">LOW</w:t>
            </w:r>
            <w:r>
              <w:t xml:space="preserve"> </w:t>
            </w:r>
            <w:r>
              <w:t xml:space="preserve">— needs weeks of black-box testing per accusation, and is disputable</w:t>
            </w:r>
          </w:p>
        </w:tc>
        <w:tc>
          <w:tcPr/>
          <w:p>
            <w:pPr>
              <w:pStyle w:val="Compact"/>
            </w:pPr>
            <w:r>
              <w:t xml:space="preserve">High</w:t>
            </w:r>
          </w:p>
        </w:tc>
        <w:tc>
          <w:tcPr/>
          <w:p>
            <w:pPr>
              <w:pStyle w:val="Compact"/>
            </w:pPr>
            <w:r>
              <w:t xml:space="preserve">Very high</w:t>
            </w:r>
          </w:p>
        </w:tc>
        <w:tc>
          <w:tcPr/>
          <w:p>
            <w:pPr>
              <w:pStyle w:val="Compact"/>
            </w:pPr>
            <w:r>
              <w:rPr>
                <w:b/>
                <w:bCs/>
              </w:rPr>
              <w:t xml:space="preserve">SECRET</w:t>
            </w:r>
            <w:r>
              <w:t xml:space="preserve"> </w:t>
            </w:r>
            <w:r>
              <w:t xml:space="preserve">(or defensive publication)</w:t>
            </w:r>
          </w:p>
        </w:tc>
      </w:tr>
      <w:tr>
        <w:tc>
          <w:tcPr/>
          <w:p>
            <w:pPr>
              <w:pStyle w:val="Compact"/>
            </w:pPr>
            <w:r>
              <w:t xml:space="preserve">4</w:t>
            </w:r>
          </w:p>
        </w:tc>
        <w:tc>
          <w:tcPr/>
          <w:p>
            <w:pPr>
              <w:pStyle w:val="Compact"/>
            </w:pPr>
            <w:r>
              <w:t xml:space="preserve">Concentric ring contacts, rotationally symmetric, dead until mated</w:t>
            </w:r>
          </w:p>
        </w:tc>
        <w:tc>
          <w:tcPr/>
          <w:p>
            <w:pPr>
              <w:pStyle w:val="Compact"/>
            </w:pPr>
            <w:r>
              <w:rPr>
                <w:b/>
                <w:bCs/>
              </w:rPr>
              <w:t xml:space="preserve">VERY HIGH</w:t>
            </w:r>
            <w:r>
              <w:t xml:space="preserve"> </w:t>
            </w:r>
            <w:r>
              <w:t xml:space="preserve">— one teardown, one photograph</w:t>
            </w:r>
          </w:p>
        </w:tc>
        <w:tc>
          <w:tcPr/>
          <w:p>
            <w:pPr>
              <w:pStyle w:val="Compact"/>
            </w:pPr>
            <w:r>
              <w:t xml:space="preserve">Total</w:t>
            </w:r>
          </w:p>
        </w:tc>
        <w:tc>
          <w:tcPr/>
          <w:p>
            <w:pPr>
              <w:pStyle w:val="Compact"/>
            </w:pPr>
            <w:r>
              <w:t xml:space="preserve">High</w:t>
            </w:r>
          </w:p>
        </w:tc>
        <w:tc>
          <w:tcPr/>
          <w:p>
            <w:pPr>
              <w:pStyle w:val="Compact"/>
            </w:pPr>
            <w:r>
              <w:rPr>
                <w:b/>
                <w:bCs/>
              </w:rPr>
              <w:t xml:space="preserve">PATENT only if the prior art search comes back clean</w:t>
            </w:r>
            <w:r>
              <w:t xml:space="preserve">, otherwise design registration</w:t>
            </w:r>
          </w:p>
        </w:tc>
      </w:tr>
      <w:tr>
        <w:tc>
          <w:tcPr/>
          <w:p>
            <w:pPr>
              <w:pStyle w:val="Compact"/>
            </w:pPr>
            <w:r>
              <w:t xml:space="preserve">5</w:t>
            </w:r>
          </w:p>
        </w:tc>
        <w:tc>
          <w:tcPr/>
          <w:p>
            <w:pPr>
              <w:pStyle w:val="Compact"/>
            </w:pPr>
            <w:r>
              <w:t xml:space="preserve">Three-layer circular module</w:t>
            </w:r>
          </w:p>
        </w:tc>
        <w:tc>
          <w:tcPr/>
          <w:p>
            <w:pPr>
              <w:pStyle w:val="Compact"/>
            </w:pPr>
            <w:r>
              <w:t xml:space="preserve">Total</w:t>
            </w:r>
          </w:p>
        </w:tc>
        <w:tc>
          <w:tcPr/>
          <w:p>
            <w:pPr>
              <w:pStyle w:val="Compact"/>
            </w:pPr>
            <w:r>
              <w:t xml:space="preserve">Total</w:t>
            </w:r>
          </w:p>
        </w:tc>
        <w:tc>
          <w:tcPr/>
          <w:p>
            <w:pPr>
              <w:pStyle w:val="Compact"/>
            </w:pPr>
            <w:r>
              <w:t xml:space="preserve">High</w:t>
            </w:r>
          </w:p>
        </w:tc>
        <w:tc>
          <w:tcPr/>
          <w:p>
            <w:pPr>
              <w:pStyle w:val="Compact"/>
            </w:pPr>
            <w:r>
              <w:rPr>
                <w:b/>
                <w:bCs/>
              </w:rPr>
              <w:t xml:space="preserve">NEITHER as a patent → DESIGN REGISTRATION</w:t>
            </w:r>
          </w:p>
        </w:tc>
      </w:tr>
      <w:tr>
        <w:tc>
          <w:tcPr/>
          <w:p>
            <w:pPr>
              <w:pStyle w:val="Compact"/>
            </w:pPr>
            <w:r>
              <w:t xml:space="preserve">6</w:t>
            </w:r>
          </w:p>
        </w:tc>
        <w:tc>
          <w:tcPr/>
          <w:p>
            <w:pPr>
              <w:pStyle w:val="Compact"/>
            </w:pPr>
            <w:r>
              <w:t xml:space="preserve">Tuned curves, per-scene parameters, accumulated learned models</w:t>
            </w:r>
          </w:p>
        </w:tc>
        <w:tc>
          <w:tcPr/>
          <w:p>
            <w:pPr>
              <w:pStyle w:val="Compact"/>
            </w:pPr>
            <w:r>
              <w:rPr>
                <w:b/>
                <w:bCs/>
              </w:rPr>
              <w:t xml:space="preserve">NEAR ZERO</w:t>
            </w:r>
          </w:p>
        </w:tc>
        <w:tc>
          <w:tcPr/>
          <w:p>
            <w:pPr>
              <w:pStyle w:val="Compact"/>
            </w:pPr>
            <w:r>
              <w:t xml:space="preserve">High for shipped defaults; impossible for fleet learning</w:t>
            </w:r>
          </w:p>
        </w:tc>
        <w:tc>
          <w:tcPr/>
          <w:p>
            <w:pPr>
              <w:pStyle w:val="Compact"/>
            </w:pPr>
            <w:r>
              <w:t xml:space="preserve">High for curves, low for fleet data</w:t>
            </w:r>
          </w:p>
        </w:tc>
        <w:tc>
          <w:tcPr/>
          <w:p>
            <w:pPr>
              <w:pStyle w:val="Compact"/>
            </w:pPr>
            <w:r>
              <w:rPr>
                <w:b/>
                <w:bCs/>
              </w:rPr>
              <w:t xml:space="preserve">SECRET</w:t>
            </w:r>
          </w:p>
        </w:tc>
      </w:tr>
    </w:tbl>
    <w:p>
      <w:pPr>
        <w:pStyle w:val="BodyText"/>
      </w:pPr>
      <w:r>
        <w:rPr>
          <w:b/>
          <w:bCs/>
        </w:rPr>
        <w:t xml:space="preserve">Asset 1 is the one to file</w:t>
      </w:r>
      <w:r>
        <w:t xml:space="preserve"> </w:t>
      </w:r>
      <w:r>
        <w:t xml:space="preserve">and the analysis converges from two directions: it is the only algorithmic asset a rival performs</w:t>
      </w:r>
      <w:r>
        <w:t xml:space="preserve"> </w:t>
      </w:r>
      <w:r>
        <w:rPr>
          <w:i/>
          <w:iCs/>
        </w:rPr>
        <w:t xml:space="preserve">visibly</w:t>
      </w:r>
      <w:r>
        <w:t xml:space="preserve">, so you can buy their product, film the commissioning sweep, and have your infringement evidence before the setup wizard finishes — and it is also, independently, the strongest feature for surviving 3(k), because the claim runs physical actuation → physical measurement → physical actuation. Claim it as a method of commissioning and operating a lighting system.</w:t>
      </w:r>
      <w:r>
        <w:t xml:space="preserve"> </w:t>
      </w:r>
      <w:r>
        <w:rPr>
          <w:b/>
          <w:bCs/>
        </w:rPr>
        <w:t xml:space="preserve">Do not claim the solver.</w:t>
      </w:r>
    </w:p>
    <w:p>
      <w:pPr>
        <w:pStyle w:val="BodyText"/>
      </w:pPr>
      <w:r>
        <w:rPr>
          <w:b/>
          <w:bCs/>
        </w:rPr>
        <w:t xml:space="preserve">Asset 4 is conditional, and the prior art search is the gating spend — not the filing.</w:t>
      </w:r>
      <w:r>
        <w:t xml:space="preserve"> </w:t>
      </w:r>
      <w:r>
        <w:t xml:space="preserve">The ring geometry has been public since 1980 and applied to battery packs in US10916742. The more plausible inventive hook is the isolation-until-mating condition, which is also a safety feature with a clear technical effect and reads well to an examiner. But note the harder truth from the safety side:</w:t>
      </w:r>
      <w:r>
        <w:t xml:space="preserve"> </w:t>
      </w:r>
      <w:r>
        <w:rPr>
          <w:b/>
          <w:bCs/>
        </w:rPr>
        <w:t xml:space="preserve">“dead until mated”</w:t>
      </w:r>
      <w:r>
        <w:rPr>
          <w:b/>
          <w:bCs/>
        </w:rPr>
        <w:t xml:space="preserve"> </w:t>
      </w:r>
      <w:r>
        <w:rPr>
          <w:b/>
          <w:bCs/>
        </w:rPr>
        <w:t xml:space="preserve">is effectively a regulatory expectation for any exposed-contact battery interface, so claiming it risks claiming compliance</w:t>
      </w:r>
      <w:r>
        <w:t xml:space="preserve"> </w:t>
      </w:r>
      <w:r>
        <w:t xml:space="preserve">— and a test house assessing the pack under IS 16046 Part 2 will apply the external short-circuit test (positive and negative bridged through</w:t>
      </w:r>
      <w:r>
        <w:t xml:space="preserve"> </w:t>
      </w:r>
      <w:r>
        <w:rPr>
          <w:b/>
          <w:bCs/>
        </w:rPr>
        <w:t xml:space="preserve">80 mΩ ± 20 mΩ for 24 hours</w:t>
      </w:r>
      <w:r>
        <w:t xml:space="preserve">,</w:t>
      </w:r>
      <w:r>
        <w:t xml:space="preserve"> </w:t>
      </w:r>
      <w:hyperlink r:id="rId65">
        <w:r>
          <w:rPr>
            <w:rStyle w:val="Hyperlink"/>
          </w:rPr>
          <w:t xml:space="preserve">Amade-Tech</w:t>
        </w:r>
      </w:hyperlink>
      <w:r>
        <w:t xml:space="preserve">) to the accessible terminals regardless of your design argument.</w:t>
      </w:r>
      <w:r>
        <w:t xml:space="preserve"> </w:t>
      </w:r>
      <w:r>
        <w:rPr>
          <w:b/>
          <w:bCs/>
        </w:rPr>
        <w:t xml:space="preserve">Concentric rings are precisely the geometry a coin bridges most easily. Treat this as your highest-risk design element, not your best patent.</w:t>
      </w:r>
    </w:p>
    <w:p>
      <w:pPr>
        <w:pStyle w:val="BodyText"/>
      </w:pPr>
      <w:r>
        <w:rPr>
          <w:b/>
          <w:bCs/>
        </w:rPr>
        <w:t xml:space="preserve">Asset 5 is not a patent question.</w:t>
      </w:r>
      <w:r>
        <w:t xml:space="preserve"> </w:t>
      </w:r>
      <w:r>
        <w:t xml:space="preserve">A physical arrangement of known layers is squarely exposed under Section 3(f), and the art is thick:</w:t>
      </w:r>
      <w:r>
        <w:t xml:space="preserve"> </w:t>
      </w:r>
      <w:r>
        <w:rPr>
          <w:b/>
          <w:bCs/>
        </w:rPr>
        <w:t xml:space="preserve">EP3292348A1</w:t>
      </w:r>
      <w:r>
        <w:t xml:space="preserve"> </w:t>
      </w:r>
      <w:r>
        <w:t xml:space="preserve">(modular luminaire),</w:t>
      </w:r>
      <w:r>
        <w:t xml:space="preserve"> </w:t>
      </w:r>
      <w:r>
        <w:rPr>
          <w:b/>
          <w:bCs/>
        </w:rPr>
        <w:t xml:space="preserve">US7703951B2</w:t>
      </w:r>
      <w:r>
        <w:t xml:space="preserve"> </w:t>
      </w:r>
      <w:r>
        <w:t xml:space="preserve">(circular chassis and circular PCB),</w:t>
      </w:r>
      <w:r>
        <w:t xml:space="preserve"> </w:t>
      </w:r>
      <w:r>
        <w:rPr>
          <w:b/>
          <w:bCs/>
        </w:rPr>
        <w:t xml:space="preserve">US6641283</w:t>
      </w:r>
      <w:r>
        <w:t xml:space="preserve"> </w:t>
      </w:r>
      <w:r>
        <w:t xml:space="preserve">(puck light with annular sidewall and detachable base),</w:t>
      </w:r>
      <w:r>
        <w:t xml:space="preserve"> </w:t>
      </w:r>
      <w:r>
        <w:rPr>
          <w:b/>
          <w:bCs/>
        </w:rPr>
        <w:t xml:space="preserve">CA2700924C</w:t>
      </w:r>
      <w:r>
        <w:t xml:space="preserve"> </w:t>
      </w:r>
      <w:r>
        <w:t xml:space="preserve">(magnetically attached luminaire with magnetic electrical connections),</w:t>
      </w:r>
      <w:r>
        <w:t xml:space="preserve"> </w:t>
      </w:r>
      <w:r>
        <w:rPr>
          <w:b/>
          <w:bCs/>
        </w:rPr>
        <w:t xml:space="preserve">US20090267540A1</w:t>
      </w:r>
      <w:r>
        <w:t xml:space="preserve"> </w:t>
      </w:r>
      <w:r>
        <w:t xml:space="preserve">(user-replaceable modules), plus the entire commercial population — Philips Hue Go, under-cabinet pucks, Nanoleaf, 48V magnetic track disc heads.</w:t>
      </w:r>
      <w:r>
        <w:t xml:space="preserve"> </w:t>
      </w:r>
      <w:r>
        <w:rPr>
          <w:b/>
          <w:bCs/>
        </w:rPr>
        <w:t xml:space="preserve">One exception worth a second look:</w:t>
      </w:r>
      <w:r>
        <w:t xml:space="preserve"> </w:t>
      </w:r>
      <w:r>
        <w:t xml:space="preserve">if the three-layer stack is what lets the ambient sensor measure the room without being swamped by the module’s own LEDs,</w:t>
      </w:r>
      <w:r>
        <w:t xml:space="preserve"> </w:t>
      </w:r>
      <w:r>
        <w:rPr>
          <w:i/>
          <w:iCs/>
        </w:rPr>
        <w:t xml:space="preserve">that</w:t>
      </w:r>
      <w:r>
        <w:t xml:space="preserve"> </w:t>
      </w:r>
      <w:r>
        <w:t xml:space="preserve">is a technical effect — fold it in as a dependent claim on the Asset 1 filing rather than filing separately.</w:t>
      </w:r>
    </w:p>
    <w:bookmarkStart w:id="81" w:name="X740804e4b38ca3daa39695427dfb67a1f3ea9c0"/>
    <w:p>
      <w:pPr>
        <w:pStyle w:val="Heading3"/>
      </w:pPr>
      <w:r>
        <w:t xml:space="preserve">Your instinct on the curves is right, and for three independent reasons</w:t>
      </w:r>
    </w:p>
    <w:p>
      <w:pPr>
        <w:pStyle w:val="FirstParagraph"/>
      </w:pPr>
      <w:r>
        <w:t xml:space="preserve">You believe the tuned curves and learned data are worth more unpublished than patented.</w:t>
      </w:r>
      <w:r>
        <w:t xml:space="preserve"> </w:t>
      </w:r>
      <w:r>
        <w:rPr>
          <w:b/>
          <w:bCs/>
        </w:rPr>
        <w:t xml:space="preserve">You are right, and more strongly than you probably realise, because there are three reasons and any one of them would be sufficient.</w:t>
      </w:r>
    </w:p>
    <w:p>
      <w:pPr>
        <w:pStyle w:val="BodyText"/>
      </w:pPr>
      <w:r>
        <w:rPr>
          <w:b/>
          <w:bCs/>
        </w:rPr>
        <w:t xml:space="preserve">First, they are not patentable subject matter.</w:t>
      </w:r>
      <w:r>
        <w:t xml:space="preserve"> </w:t>
      </w:r>
      <w:r>
        <w:t xml:space="preserve">A colour temperature of 2700K at 30% output for a</w:t>
      </w:r>
      <w:r>
        <w:t xml:space="preserve"> </w:t>
      </w:r>
      <w:r>
        <w:t xml:space="preserve">“Relax”</w:t>
      </w:r>
      <w:r>
        <w:t xml:space="preserve"> </w:t>
      </w:r>
      <w:r>
        <w:t xml:space="preserve">scene is a</w:t>
      </w:r>
      <w:r>
        <w:t xml:space="preserve"> </w:t>
      </w:r>
      <w:r>
        <w:rPr>
          <w:i/>
          <w:iCs/>
        </w:rPr>
        <w:t xml:space="preserve">value</w:t>
      </w:r>
      <w:r>
        <w:t xml:space="preserve">, not a process. There is no invention, no technical teaching, no inventive step in a number. Dress it up as</w:t>
      </w:r>
      <w:r>
        <w:t xml:space="preserve"> </w:t>
      </w:r>
      <w:r>
        <w:t xml:space="preserve">“a lighting system wherein the Relax scene comprises CCT in the range 2400–2900K”</w:t>
      </w:r>
      <w:r>
        <w:t xml:space="preserve"> </w:t>
      </w:r>
      <w:r>
        <w:t xml:space="preserve">and it is anticipated by every warm-white preset ever shipped.</w:t>
      </w:r>
      <w:r>
        <w:t xml:space="preserve"> </w:t>
      </w:r>
      <w:r>
        <w:rPr>
          <w:b/>
          <w:bCs/>
        </w:rPr>
        <w:t xml:space="preserve">Filing would be refused and would have published your numbers.</w:t>
      </w:r>
      <w:r>
        <w:t xml:space="preserve"> </w:t>
      </w:r>
      <w:r>
        <w:t xml:space="preserve">That is the worst of every world.</w:t>
      </w:r>
    </w:p>
    <w:p>
      <w:pPr>
        <w:pStyle w:val="BodyText"/>
      </w:pPr>
      <w:r>
        <w:rPr>
          <w:b/>
          <w:bCs/>
        </w:rPr>
        <w:t xml:space="preserve">Second, they are not detectable.</w:t>
      </w:r>
      <w:r>
        <w:t xml:space="preserve"> </w:t>
      </w:r>
      <w:r>
        <w:t xml:space="preserve">If a rival’s</w:t>
      </w:r>
      <w:r>
        <w:t xml:space="preserve"> </w:t>
      </w:r>
      <w:r>
        <w:t xml:space="preserve">“Relax”</w:t>
      </w:r>
      <w:r>
        <w:t xml:space="preserve"> </w:t>
      </w:r>
      <w:r>
        <w:t xml:space="preserve">scene lands at a similar CCT and lux, you cannot prove they took your numbers rather than arriving at plausible values themselves. There is no infringement you could plead, let alone prove. Even a granted patent would be unenforceable.</w:t>
      </w:r>
    </w:p>
    <w:p>
      <w:pPr>
        <w:pStyle w:val="BodyText"/>
      </w:pPr>
      <w:r>
        <w:rPr>
          <w:b/>
          <w:bCs/>
        </w:rPr>
        <w:t xml:space="preserve">Third, they are not protectable as a database.</w:t>
      </w:r>
      <w:r>
        <w:t xml:space="preserve"> </w:t>
      </w:r>
      <w:r>
        <w:rPr>
          <w:b/>
          <w:bCs/>
        </w:rPr>
        <w:t xml:space="preserve">India has no sui generis database right</w:t>
      </w:r>
      <w:r>
        <w:t xml:space="preserve"> </w:t>
      </w:r>
      <w:r>
        <w:t xml:space="preserve">(</w:t>
      </w:r>
      <w:hyperlink r:id="rId66">
        <w:r>
          <w:rPr>
            <w:rStyle w:val="Hyperlink"/>
          </w:rPr>
          <w:t xml:space="preserve">The Data Economy Lab</w:t>
        </w:r>
      </w:hyperlink>
      <w:r>
        <w:t xml:space="preserve">; see also</w:t>
      </w:r>
      <w:r>
        <w:t xml:space="preserve"> </w:t>
      </w:r>
      <w:hyperlink r:id="rId67">
        <w:r>
          <w:rPr>
            <w:rStyle w:val="Hyperlink"/>
          </w:rPr>
          <w:t xml:space="preserve">Law School Policy Review</w:t>
        </w:r>
      </w:hyperlink>
      <w:r>
        <w:t xml:space="preserve">), and copyright in a compilation requires a</w:t>
      </w:r>
      <w:r>
        <w:t xml:space="preserve"> </w:t>
      </w:r>
      <w:r>
        <w:rPr>
          <w:b/>
          <w:bCs/>
        </w:rPr>
        <w:t xml:space="preserve">“modicum of creativity”</w:t>
      </w:r>
      <w:r>
        <w:t xml:space="preserve"> </w:t>
      </w:r>
      <w:r>
        <w:t xml:space="preserve">— the Supreme Court in</w:t>
      </w:r>
      <w:r>
        <w:t xml:space="preserve"> </w:t>
      </w:r>
      <w:r>
        <w:rPr>
          <w:b/>
          <w:bCs/>
          <w:i/>
          <w:iCs/>
        </w:rPr>
        <w:t xml:space="preserve">Eastern Book Company v. D.B. Modak</w:t>
      </w:r>
      <w:r>
        <w:t xml:space="preserve"> </w:t>
      </w:r>
      <w:r>
        <w:rPr>
          <w:b/>
          <w:bCs/>
        </w:rPr>
        <w:t xml:space="preserve">abandoned the</w:t>
      </w:r>
      <w:r>
        <w:rPr>
          <w:b/>
          <w:bCs/>
        </w:rPr>
        <w:t xml:space="preserve"> </w:t>
      </w:r>
      <w:r>
        <w:rPr>
          <w:b/>
          <w:bCs/>
        </w:rPr>
        <w:t xml:space="preserve">“sweat of the brow”</w:t>
      </w:r>
      <w:r>
        <w:rPr>
          <w:b/>
          <w:bCs/>
        </w:rPr>
        <w:t xml:space="preserve"> </w:t>
      </w:r>
      <w:r>
        <w:rPr>
          <w:b/>
          <w:bCs/>
        </w:rPr>
        <w:t xml:space="preserve">doctrine</w:t>
      </w:r>
      <w:r>
        <w:t xml:space="preserve"> </w:t>
      </w:r>
      <w:r>
        <w:t xml:space="preserve">(</w:t>
      </w:r>
      <w:hyperlink r:id="rId68">
        <w:r>
          <w:rPr>
            <w:rStyle w:val="Hyperlink"/>
          </w:rPr>
          <w:t xml:space="preserve">Intepat</w:t>
        </w:r>
      </w:hyperlink>
      <w:r>
        <w:t xml:space="preserve">;</w:t>
      </w:r>
      <w:r>
        <w:t xml:space="preserve"> </w:t>
      </w:r>
      <w:hyperlink r:id="rId69">
        <w:r>
          <w:rPr>
            <w:rStyle w:val="Hyperlink"/>
          </w:rPr>
          <w:t xml:space="preserve">IJLLR</w:t>
        </w:r>
      </w:hyperlink>
      <w:r>
        <w:t xml:space="preserve">). A table of measured numbers will not clear that bar; the</w:t>
      </w:r>
      <w:r>
        <w:t xml:space="preserve"> </w:t>
      </w:r>
      <w:r>
        <w:rPr>
          <w:i/>
          <w:iCs/>
        </w:rPr>
        <w:t xml:space="preserve">schema and selection</w:t>
      </w:r>
      <w:r>
        <w:t xml:space="preserve"> </w:t>
      </w:r>
      <w:r>
        <w:t xml:space="preserve">might, but a competitor who derives equivalent numbers from their own users infringes nothing.</w:t>
      </w:r>
    </w:p>
    <w:p>
      <w:pPr>
        <w:pStyle w:val="BodyText"/>
      </w:pPr>
      <w:r>
        <w:rPr>
          <w:b/>
          <w:bCs/>
        </w:rPr>
        <w:t xml:space="preserve">So secrecy is the only protection — and that is a duty, not a relief.</w:t>
      </w:r>
      <w:r>
        <w:t xml:space="preserve"> </w:t>
      </w:r>
      <w:r>
        <w:t xml:space="preserve">India has no trade secrets statute. The 22nd Law Commission’s</w:t>
      </w:r>
      <w:r>
        <w:t xml:space="preserve"> </w:t>
      </w:r>
      <w:r>
        <w:rPr>
          <w:b/>
          <w:bCs/>
        </w:rPr>
        <w:t xml:space="preserve">289th Report,</w:t>
      </w:r>
      <w:r>
        <w:rPr>
          <w:b/>
          <w:bCs/>
        </w:rPr>
        <w:t xml:space="preserve"> </w:t>
      </w:r>
      <w:r>
        <w:rPr>
          <w:b/>
          <w:bCs/>
        </w:rPr>
        <w:t xml:space="preserve">“Trade Secrets and Economic Espionage”</w:t>
      </w:r>
      <w:r>
        <w:rPr>
          <w:b/>
          <w:bCs/>
        </w:rPr>
        <w:t xml:space="preserve">, 5 March 2024</w:t>
      </w:r>
      <w:r>
        <w:t xml:space="preserve">, annexed a draft</w:t>
      </w:r>
      <w:r>
        <w:t xml:space="preserve"> </w:t>
      </w:r>
      <w:r>
        <w:rPr>
          <w:b/>
          <w:bCs/>
        </w:rPr>
        <w:t xml:space="preserve">Protection of Trade Secrets Bill 2024</w:t>
      </w:r>
      <w:r>
        <w:t xml:space="preserve">, but</w:t>
      </w:r>
      <w:r>
        <w:t xml:space="preserve"> </w:t>
      </w:r>
      <w:r>
        <w:rPr>
          <w:b/>
          <w:bCs/>
        </w:rPr>
        <w:t xml:space="preserve">“the proposed Bill has remained a recommendation without legislative follow-through, and as of early 2026, Parliament has not acted on it”</w:t>
      </w:r>
      <w:r>
        <w:t xml:space="preserve"> </w:t>
      </w:r>
      <w:r>
        <w:t xml:space="preserve">(</w:t>
      </w:r>
      <w:hyperlink r:id="rId70">
        <w:r>
          <w:rPr>
            <w:rStyle w:val="Hyperlink"/>
          </w:rPr>
          <w:t xml:space="preserve">WTR</w:t>
        </w:r>
      </w:hyperlink>
      <w:r>
        <w:t xml:space="preserve">;</w:t>
      </w:r>
      <w:r>
        <w:t xml:space="preserve"> </w:t>
      </w:r>
      <w:hyperlink r:id="rId71">
        <w:r>
          <w:rPr>
            <w:rStyle w:val="Hyperlink"/>
          </w:rPr>
          <w:t xml:space="preserve">IAM Media</w:t>
        </w:r>
      </w:hyperlink>
      <w:r>
        <w:t xml:space="preserve">).</w:t>
      </w:r>
      <w:r>
        <w:t xml:space="preserve"> </w:t>
      </w:r>
      <w:r>
        <w:rPr>
          <w:b/>
          <w:bCs/>
        </w:rPr>
        <w:t xml:space="preserve">This is the single most likely item in this report to be out of date — the researcher’s evidence stops around February 2026. Have someone check PRS Legislative Research this week.</w:t>
      </w:r>
      <w:r>
        <w:t xml:space="preserve"> </w:t>
      </w:r>
      <w:r>
        <w:t xml:space="preserve">Plan on the contract-plus-equity regime persisting regardless; the evidentiary groundwork is identical either way.</w:t>
      </w:r>
    </w:p>
    <w:p>
      <w:pPr>
        <w:pStyle w:val="BodyText"/>
      </w:pPr>
      <w:r>
        <w:t xml:space="preserve">What protects you today is</w:t>
      </w:r>
      <w:r>
        <w:t xml:space="preserve"> </w:t>
      </w:r>
      <w:r>
        <w:rPr>
          <w:b/>
          <w:bCs/>
        </w:rPr>
        <w:t xml:space="preserve">contract, the equitable doctrine of breach of confidence, and technical measures</w:t>
      </w:r>
      <w:r>
        <w:t xml:space="preserve"> </w:t>
      </w:r>
      <w:r>
        <w:t xml:space="preserve">— and</w:t>
      </w:r>
      <w:r>
        <w:t xml:space="preserve"> </w:t>
      </w:r>
      <w:r>
        <w:rPr>
          <w:b/>
          <w:bCs/>
        </w:rPr>
        <w:t xml:space="preserve">Section 27 of the Indian Contract Act is a constraint, not a protection:</w:t>
      </w:r>
      <w:r>
        <w:rPr>
          <w:b/>
          <w:bCs/>
        </w:rPr>
        <w:t xml:space="preserve"> </w:t>
      </w:r>
      <w:r>
        <w:rPr>
          <w:b/>
          <w:bCs/>
        </w:rPr>
        <w:t xml:space="preserve">“every agreement by which anyone is restrained from exercising a lawful profession, trade or business of any kind is to that extent void”</w:t>
      </w:r>
      <w:r>
        <w:t xml:space="preserve"> </w:t>
      </w:r>
      <w:r>
        <w:t xml:space="preserve">(</w:t>
      </w:r>
      <w:hyperlink r:id="rId72">
        <w:r>
          <w:rPr>
            <w:rStyle w:val="Hyperlink"/>
          </w:rPr>
          <w:t xml:space="preserve">Maheshwari &amp; Co</w:t>
        </w:r>
      </w:hyperlink>
      <w:r>
        <w:t xml:space="preserve">).</w:t>
      </w:r>
      <w:r>
        <w:t xml:space="preserve"> </w:t>
      </w:r>
      <w:r>
        <w:rPr>
          <w:b/>
          <w:bCs/>
        </w:rPr>
        <w:t xml:space="preserve">You can stop a departing employee from using or disclosing your secret. You cannot stop them going to work for a competitor.</w:t>
      </w:r>
      <w:r>
        <w:t xml:space="preserve"> </w:t>
      </w:r>
      <w:r>
        <w:rPr>
          <w:i/>
          <w:iCs/>
        </w:rPr>
        <w:t xml:space="preserve">Percept D’Mark (India) Pvt Ltd v. Zaheer Khan</w:t>
      </w:r>
      <w:r>
        <w:t xml:space="preserve"> </w:t>
      </w:r>
      <w:r>
        <w:t xml:space="preserve">—</w:t>
      </w:r>
      <w:r>
        <w:t xml:space="preserve"> </w:t>
      </w:r>
      <w:r>
        <w:t xml:space="preserve">“a restrictive covenant</w:t>
      </w:r>
      <w:r>
        <w:t xml:space="preserve"> </w:t>
      </w:r>
      <w:r>
        <w:rPr>
          <w:b/>
          <w:bCs/>
        </w:rPr>
        <w:t xml:space="preserve">extending beyond the term of the contract is void and not enforceable</w:t>
      </w:r>
      <w:r>
        <w:t xml:space="preserve">”</w:t>
      </w:r>
      <w:r>
        <w:t xml:space="preserve"> </w:t>
      </w:r>
      <w:r>
        <w:t xml:space="preserve">— is the modern statement (</w:t>
      </w:r>
      <w:hyperlink r:id="rId73">
        <w:r>
          <w:rPr>
            <w:rStyle w:val="Hyperlink"/>
          </w:rPr>
          <w:t xml:space="preserve">AMLEGALS</w:t>
        </w:r>
      </w:hyperlink>
      <w:r>
        <w:t xml:space="preserve">).</w:t>
      </w:r>
      <w:r>
        <w:t xml:space="preserve"> </w:t>
      </w:r>
      <w:r>
        <w:rPr>
          <w:i/>
          <w:iCs/>
        </w:rPr>
        <w:t xml:space="preserve">Niranjan Shankar Golikari v. Century Spinning</w:t>
      </w:r>
      <w:r>
        <w:t xml:space="preserve"> </w:t>
      </w:r>
      <w:r>
        <w:t xml:space="preserve">(</w:t>
      </w:r>
      <w:r>
        <w:rPr>
          <w:b/>
          <w:bCs/>
        </w:rPr>
        <w:t xml:space="preserve">1967 AIR 1098</w:t>
      </w:r>
      <w:r>
        <w:t xml:space="preserve">) supports</w:t>
      </w:r>
      <w:r>
        <w:t xml:space="preserve"> </w:t>
      </w:r>
      <w:r>
        <w:rPr>
          <w:i/>
          <w:iCs/>
        </w:rPr>
        <w:t xml:space="preserve">during</w:t>
      </w:r>
      <w:r>
        <w:t xml:space="preserve">-employment exclusivity only, and is routinely over-cited for post-employment restraints it does not support.</w:t>
      </w:r>
    </w:p>
    <w:p>
      <w:pPr>
        <w:pStyle w:val="BodyText"/>
      </w:pPr>
      <w:r>
        <w:rPr>
          <w:b/>
          <w:bCs/>
          <w:i/>
          <w:iCs/>
        </w:rPr>
        <w:t xml:space="preserve">American Express Bank Ltd v. Ms Priya Puri</w:t>
      </w:r>
      <w:r>
        <w:t xml:space="preserve"> </w:t>
      </w:r>
      <w:r>
        <w:t xml:space="preserve">(Delhi HC, 24 May 2006) is the cautionary tale: a large bank with a signed contract</w:t>
      </w:r>
      <w:r>
        <w:t xml:space="preserve"> </w:t>
      </w:r>
      <w:r>
        <w:rPr>
          <w:b/>
          <w:bCs/>
        </w:rPr>
        <w:t xml:space="preserve">lost its interim injunction and had the interim order vacated</w:t>
      </w:r>
      <w:r>
        <w:t xml:space="preserve"> </w:t>
      </w:r>
      <w:r>
        <w:t xml:space="preserve">because the court was not persuaded the information was genuinely secret as opposed to general skill and publicly-derivable data (</w:t>
      </w:r>
      <w:hyperlink r:id="rId74">
        <w:r>
          <w:rPr>
            <w:rStyle w:val="Hyperlink"/>
          </w:rPr>
          <w:t xml:space="preserve">CaseMine</w:t>
        </w:r>
      </w:hyperlink>
      <w:r>
        <w:t xml:space="preserve">).</w:t>
      </w:r>
      <w:r>
        <w:t xml:space="preserve"> </w:t>
      </w:r>
      <w:r>
        <w:rPr>
          <w:b/>
          <w:bCs/>
        </w:rPr>
        <w:t xml:space="preserve">The enforceability of your secret depends on your ability to prove you treated it as one.</w:t>
      </w:r>
      <w:r>
        <w:t xml:space="preserve"> </w:t>
      </w:r>
      <w:r>
        <w:t xml:space="preserve">Write a one-page Confidential Information Register naming specifically the tuned scene curves, the calibration methodology and solver source, the override-learning context vector, the firmware tree, the BOM with supplier pricing, the test fixture design. Date it. That single document answers the</w:t>
      </w:r>
      <w:r>
        <w:t xml:space="preserve"> </w:t>
      </w:r>
      <w:r>
        <w:rPr>
          <w:i/>
          <w:iCs/>
        </w:rPr>
        <w:t xml:space="preserve">Priya Puri</w:t>
      </w:r>
      <w:r>
        <w:t xml:space="preserve"> </w:t>
      </w:r>
      <w:r>
        <w:t xml:space="preserve">question —</w:t>
      </w:r>
      <w:r>
        <w:t xml:space="preserve"> </w:t>
      </w:r>
      <w:r>
        <w:rPr>
          <w:i/>
          <w:iCs/>
        </w:rPr>
        <w:t xml:space="preserve">what exactly was secret?</w:t>
      </w:r>
      <w:r>
        <w:t xml:space="preserve"> </w:t>
      </w:r>
      <w:r>
        <w:t xml:space="preserve">— with something you wrote before the dispute.</w:t>
      </w:r>
    </w:p>
    <w:p>
      <w:pPr>
        <w:pStyle w:val="BlockText"/>
      </w:pPr>
      <w:r>
        <w:t xml:space="preserve">Two case citations in the research</w:t>
      </w:r>
      <w:r>
        <w:t xml:space="preserve"> </w:t>
      </w:r>
      <w:r>
        <w:rPr>
          <w:b/>
          <w:bCs/>
        </w:rPr>
        <w:t xml:space="preserve">could not be corroborated at all</w:t>
      </w:r>
      <w:r>
        <w:t xml:space="preserve"> </w:t>
      </w:r>
      <w:r>
        <w:t xml:space="preserve">and rest on training knowledge:</w:t>
      </w:r>
      <w:r>
        <w:t xml:space="preserve"> </w:t>
      </w:r>
      <w:r>
        <w:rPr>
          <w:b/>
          <w:bCs/>
          <w:i/>
          <w:iCs/>
        </w:rPr>
        <w:t xml:space="preserve">John Richard Brady v. Chemical Process Equipments P. Ltd.</w:t>
      </w:r>
      <w:r>
        <w:t xml:space="preserve"> </w:t>
      </w:r>
      <w:r>
        <w:t xml:space="preserve">(AIR 1987 Delhi 372, the foundational Indian breach-of-confidence authority, directly relevant to your overseas PCB house) and</w:t>
      </w:r>
      <w:r>
        <w:t xml:space="preserve"> </w:t>
      </w:r>
      <w:r>
        <w:rPr>
          <w:b/>
          <w:bCs/>
          <w:i/>
          <w:iCs/>
        </w:rPr>
        <w:t xml:space="preserve">Ambiance India Pvt Ltd v. Naveen Jain</w:t>
      </w:r>
      <w:r>
        <w:t xml:space="preserve"> </w:t>
      </w:r>
      <w:r>
        <w:t xml:space="preserve">(122 (2005) DLT 421, that routine day-to-day affairs known to employees are not trade secrets).</w:t>
      </w:r>
      <w:r>
        <w:t xml:space="preserve"> </w:t>
      </w:r>
      <w:r>
        <w:rPr>
          <w:b/>
          <w:bCs/>
        </w:rPr>
        <w:t xml:space="preserve">Neither should appear in a demand letter or a pleading without verification.</w:t>
      </w:r>
    </w:p>
    <w:p>
      <w:pPr>
        <w:pStyle w:val="FirstParagraph"/>
      </w:pPr>
      <w:r>
        <w:t xml:space="preserve">And accept the hard technical limit:</w:t>
      </w:r>
      <w:r>
        <w:t xml:space="preserve"> </w:t>
      </w:r>
      <w:r>
        <w:rPr>
          <w:b/>
          <w:bCs/>
        </w:rPr>
        <w:t xml:space="preserve">anything that must execute on the customer’s device is, in the long run, public.</w:t>
      </w:r>
      <w:r>
        <w:t xml:space="preserve"> </w:t>
      </w:r>
      <w:r>
        <w:t xml:space="preserve">Reverse engineering of a lawfully-acquired product is not a wrong in India. STM32 RDP Level 2 falls to</w:t>
      </w:r>
      <w:r>
        <w:t xml:space="preserve"> </w:t>
      </w:r>
      <w:r>
        <w:rPr>
          <w:b/>
          <w:bCs/>
        </w:rPr>
        <w:t xml:space="preserve">clock glitching and laser fault injection</w:t>
      </w:r>
      <w:r>
        <w:t xml:space="preserve"> </w:t>
      </w:r>
      <w:r>
        <w:t xml:space="preserve">(</w:t>
      </w:r>
      <w:hyperlink r:id="rId75">
        <w:r>
          <w:rPr>
            <w:rStyle w:val="Hyperlink"/>
          </w:rPr>
          <w:t xml:space="preserve">HackMag</w:t>
        </w:r>
      </w:hyperlink>
      <w:r>
        <w:t xml:space="preserve">;</w:t>
      </w:r>
      <w:r>
        <w:t xml:space="preserve"> </w:t>
      </w:r>
      <w:hyperlink r:id="rId76">
        <w:r>
          <w:rPr>
            <w:rStyle w:val="Hyperlink"/>
          </w:rPr>
          <w:t xml:space="preserve">Hackaday</w:t>
        </w:r>
      </w:hyperlink>
      <w:r>
        <w:t xml:space="preserve">); ESP32 flash encryption and secure boot were broken by</w:t>
      </w:r>
      <w:r>
        <w:t xml:space="preserve"> </w:t>
      </w:r>
      <w:r>
        <w:rPr>
          <w:b/>
          <w:bCs/>
        </w:rPr>
        <w:t xml:space="preserve">voltage glitching that extracted both the Flash Encryption Key and the Secure Boot Key — an attack that</w:t>
      </w:r>
      <w:r>
        <w:rPr>
          <w:b/>
          <w:bCs/>
        </w:rPr>
        <w:t xml:space="preserve"> </w:t>
      </w:r>
      <w:r>
        <w:rPr>
          <w:b/>
          <w:bCs/>
        </w:rPr>
        <w:t xml:space="preserve">“cannot be patched by the vendor on existing devices”</w:t>
      </w:r>
      <w:r>
        <w:t xml:space="preserve"> </w:t>
      </w:r>
      <w:r>
        <w:t xml:space="preserve">(</w:t>
      </w:r>
      <w:hyperlink r:id="rId77">
        <w:r>
          <w:rPr>
            <w:rStyle w:val="Hyperlink"/>
          </w:rPr>
          <w:t xml:space="preserve">LimitedResults via Adafruit</w:t>
        </w:r>
      </w:hyperlink>
      <w:r>
        <w:t xml:space="preserve">), and a single EM glitch defeats it on silicon revisions 0 and 1 (</w:t>
      </w:r>
      <w:hyperlink r:id="rId78">
        <w:r>
          <w:rPr>
            <w:rStyle w:val="Hyperlink"/>
          </w:rPr>
          <w:t xml:space="preserve">Raelize</w:t>
        </w:r>
      </w:hyperlink>
      <w:r>
        <w:t xml:space="preserve">). Use current silicon, burn the eFuses, encrypt the model blob at rest with a per-device key, and</w:t>
      </w:r>
      <w:r>
        <w:t xml:space="preserve"> </w:t>
      </w:r>
      <w:r>
        <w:rPr>
          <w:b/>
          <w:bCs/>
        </w:rPr>
        <w:t xml:space="preserve">separate the shipped defaults from the accumulated learning</w:t>
      </w:r>
      <w:r>
        <w:t xml:space="preserve"> </w:t>
      </w:r>
      <w:r>
        <w:t xml:space="preserve">— a total firmware extraction then yields your starting point, not your fleet-level learning. The</w:t>
      </w:r>
      <w:r>
        <w:t xml:space="preserve"> </w:t>
      </w:r>
      <w:r>
        <w:rPr>
          <w:b/>
          <w:bCs/>
        </w:rPr>
        <w:t xml:space="preserve">one structural measure worth more than all the others: do not send production firmware to your contract manufacturer at all.</w:t>
      </w:r>
      <w:r>
        <w:t xml:space="preserve"> </w:t>
      </w:r>
      <w:r>
        <w:t xml:space="preserve">Have boards shipped unprogrammed and do final programming plus eFuse lockdown yourself. At your volume this is entirely feasible.</w:t>
      </w:r>
    </w:p>
    <w:p>
      <w:pPr>
        <w:pStyle w:val="BodyText"/>
      </w:pPr>
      <w:r>
        <w:rPr>
          <w:b/>
          <w:bCs/>
        </w:rPr>
        <w:t xml:space="preserve">On Asset 3, consider defensive publication instead of secrecy</w:t>
      </w:r>
      <w:r>
        <w:t xml:space="preserve"> </w:t>
      </w:r>
      <w:r>
        <w:t xml:space="preserve">if your real fear is a competitor patenting override-learning and blocking</w:t>
      </w:r>
      <w:r>
        <w:t xml:space="preserve"> </w:t>
      </w:r>
      <w:r>
        <w:rPr>
          <w:i/>
          <w:iCs/>
        </w:rPr>
        <w:t xml:space="preserve">you</w:t>
      </w:r>
      <w:r>
        <w:t xml:space="preserve">. It creates prior art that blocks a patent by anyone including you, at a fraction of filing cost. Publish to</w:t>
      </w:r>
      <w:r>
        <w:t xml:space="preserve"> </w:t>
      </w:r>
      <w:r>
        <w:rPr>
          <w:b/>
          <w:bCs/>
        </w:rPr>
        <w:t xml:space="preserve">IP.com’s Prior Art Database</w:t>
      </w:r>
      <w:r>
        <w:t xml:space="preserve">, which examiners are obliged to search:</w:t>
      </w:r>
      <w:r>
        <w:t xml:space="preserve"> </w:t>
      </w:r>
      <w:r>
        <w:t xml:space="preserve">“Under</w:t>
      </w:r>
      <w:r>
        <w:t xml:space="preserve"> </w:t>
      </w:r>
      <w:r>
        <w:rPr>
          <w:b/>
          <w:bCs/>
        </w:rPr>
        <w:t xml:space="preserve">Rule 34 of the Patent Cooperation Treaty</w:t>
      </w:r>
      <w:r>
        <w:t xml:space="preserve">, the Prior Art Database is a required reference for international patent examiners”</w:t>
      </w:r>
      <w:r>
        <w:t xml:space="preserve"> </w:t>
      </w:r>
      <w:r>
        <w:t xml:space="preserve">(</w:t>
      </w:r>
      <w:hyperlink r:id="rId79">
        <w:r>
          <w:rPr>
            <w:rStyle w:val="Hyperlink"/>
          </w:rPr>
          <w:t xml:space="preserve">IP.com</w:t>
        </w:r>
      </w:hyperlink>
      <w:r>
        <w:t xml:space="preserve">) — or</w:t>
      </w:r>
      <w:r>
        <w:t xml:space="preserve"> </w:t>
      </w:r>
      <w:r>
        <w:rPr>
          <w:b/>
          <w:bCs/>
        </w:rPr>
        <w:t xml:space="preserve">Technical Disclosure Commons</w:t>
      </w:r>
      <w:r>
        <w:t xml:space="preserve">, which is free (</w:t>
      </w:r>
      <w:hyperlink r:id="rId80">
        <w:r>
          <w:rPr>
            <w:rStyle w:val="Hyperlink"/>
          </w:rPr>
          <w:t xml:space="preserve">Wikipedia</w:t>
        </w:r>
      </w:hyperlink>
      <w:r>
        <w:t xml:space="preserve">). Write it like a patent specification, with parameters, ranges, a worked embodiment and deliberate alternatives; art only blocks what it discloses.</w:t>
      </w:r>
      <w:r>
        <w:t xml:space="preserve"> </w:t>
      </w:r>
      <w:r>
        <w:rPr>
          <w:b/>
          <w:bCs/>
        </w:rPr>
        <w:t xml:space="preserve">Sequence it after the Asset 1 provisional is filed, and scrub it so it does not disclose the calibration-sweep claim. Never defensively publish the tuned curves.</w:t>
      </w:r>
    </w:p>
    <w:p>
      <w:r>
        <w:pict>
          <v:rect style="width:0;height:1.5pt" o:hralign="center" o:hrstd="t" o:hr="t"/>
        </w:pict>
      </w:r>
    </w:p>
    <w:bookmarkEnd w:id="81"/>
    <w:bookmarkEnd w:id="82"/>
    <w:bookmarkStart w:id="112" w:name="X693b7c8548845d2d7740b5f223b9224d7f03c1c"/>
    <w:p>
      <w:pPr>
        <w:pStyle w:val="Heading2"/>
      </w:pPr>
      <w:r>
        <w:t xml:space="preserve">Design registration is the earliest gate in the whole programme</w:t>
      </w:r>
    </w:p>
    <w:p>
      <w:pPr>
        <w:pStyle w:val="FirstParagraph"/>
      </w:pPr>
      <w:r>
        <w:t xml:space="preserve">Three separate rules converge on one conclusion:</w:t>
      </w:r>
      <w:r>
        <w:t xml:space="preserve"> </w:t>
      </w:r>
      <w:r>
        <w:rPr>
          <w:b/>
          <w:bCs/>
        </w:rPr>
        <w:t xml:space="preserve">the design application is the first thing that must be filed, before the patent provisional or on the same day, and before anything at all is shown to anyone.</w:t>
      </w:r>
    </w:p>
    <w:p>
      <w:pPr>
        <w:pStyle w:val="BodyText"/>
      </w:pPr>
      <w:r>
        <w:rPr>
          <w:b/>
          <w:bCs/>
        </w:rPr>
        <w:t xml:space="preserve">Rule one: Section 4(b) of the Designs Act 2000 bars registration of a design</w:t>
      </w:r>
      <w:r>
        <w:rPr>
          <w:b/>
          <w:bCs/>
        </w:rPr>
        <w:t xml:space="preserve"> </w:t>
      </w:r>
      <w:r>
        <w:rPr>
          <w:b/>
          <w:bCs/>
        </w:rPr>
        <w:t xml:space="preserve">“disclosed to the public anywhere in India or in any other country by publication in tangible form or by use or in any other way prior to the filing date”</w:t>
      </w:r>
      <w:r>
        <w:t xml:space="preserve"> </w:t>
      </w:r>
      <w:r>
        <w:t xml:space="preserve">(</w:t>
      </w:r>
      <w:hyperlink r:id="rId15">
        <w:r>
          <w:rPr>
            <w:rStyle w:val="Hyperlink"/>
          </w:rPr>
          <w:t xml:space="preserve">ipindia</w:t>
        </w:r>
      </w:hyperlink>
      <w:r>
        <w:t xml:space="preserve">). The only escape is</w:t>
      </w:r>
      <w:r>
        <w:t xml:space="preserve"> </w:t>
      </w:r>
      <w:r>
        <w:rPr>
          <w:b/>
          <w:bCs/>
        </w:rPr>
        <w:t xml:space="preserve">Section 21</w:t>
      </w:r>
      <w:r>
        <w:t xml:space="preserve">, which requires the exhibition to be one</w:t>
      </w:r>
      <w:r>
        <w:t xml:space="preserve"> </w:t>
      </w:r>
      <w:r>
        <w:t xml:space="preserve">“to which the provisions of the section have been extended by the Central Government</w:t>
      </w:r>
      <w:r>
        <w:t xml:space="preserve"> </w:t>
      </w:r>
      <w:r>
        <w:rPr>
          <w:b/>
          <w:bCs/>
        </w:rPr>
        <w:t xml:space="preserve">by notification in the Official Gazette</w:t>
      </w:r>
      <w:r>
        <w:t xml:space="preserve">”</w:t>
      </w:r>
      <w:r>
        <w:t xml:space="preserve">,</w:t>
      </w:r>
      <w:r>
        <w:t xml:space="preserve"> </w:t>
      </w:r>
      <w:r>
        <w:rPr>
          <w:b/>
          <w:bCs/>
        </w:rPr>
        <w:t xml:space="preserve">prior notice to the Controller in the prescribed form</w:t>
      </w:r>
      <w:r>
        <w:t xml:space="preserve">, and filing within</w:t>
      </w:r>
      <w:r>
        <w:t xml:space="preserve"> </w:t>
      </w:r>
      <w:r>
        <w:rPr>
          <w:b/>
          <w:bCs/>
        </w:rPr>
        <w:t xml:space="preserve">six months</w:t>
      </w:r>
      <w:r>
        <w:t xml:space="preserve"> </w:t>
      </w:r>
      <w:r>
        <w:t xml:space="preserve">(</w:t>
      </w:r>
      <w:hyperlink r:id="rId83">
        <w:r>
          <w:rPr>
            <w:rStyle w:val="Hyperlink"/>
          </w:rPr>
          <w:t xml:space="preserve">Lawgist</w:t>
        </w:r>
      </w:hyperlink>
      <w:r>
        <w:t xml:space="preserve">;</w:t>
      </w:r>
      <w:r>
        <w:t xml:space="preserve"> </w:t>
      </w:r>
      <w:hyperlink r:id="rId84">
        <w:r>
          <w:rPr>
            <w:rStyle w:val="Hyperlink"/>
          </w:rPr>
          <w:t xml:space="preserve">Mondaq</w:t>
        </w:r>
      </w:hyperlink>
      <w:r>
        <w:t xml:space="preserve">).</w:t>
      </w:r>
      <w:r>
        <w:t xml:space="preserve"> </w:t>
      </w:r>
      <w:r>
        <w:rPr>
          <w:b/>
          <w:bCs/>
        </w:rPr>
        <w:t xml:space="preserve">It is prospective only. It cannot rescue a disclosure that has already happened.</w:t>
      </w:r>
      <w:r>
        <w:t xml:space="preserve"> </w:t>
      </w:r>
      <w:r>
        <w:t xml:space="preserve">Your belief that India has effectively no design grace period is correct.</w:t>
      </w:r>
    </w:p>
    <w:p>
      <w:pPr>
        <w:pStyle w:val="BlockText"/>
      </w:pPr>
      <w:r>
        <w:rPr>
          <w:b/>
          <w:bCs/>
        </w:rPr>
        <w:t xml:space="preserve">Do not plan around the proposed reform.</w:t>
      </w:r>
      <w:r>
        <w:t xml:space="preserve"> </w:t>
      </w:r>
      <w:r>
        <w:t xml:space="preserve">DPIIT released a</w:t>
      </w:r>
      <w:r>
        <w:t xml:space="preserve"> </w:t>
      </w:r>
      <w:r>
        <w:rPr>
          <w:b/>
          <w:bCs/>
        </w:rPr>
        <w:t xml:space="preserve">Concept Note on 23 January 2026</w:t>
      </w:r>
      <w:r>
        <w:t xml:space="preserve"> </w:t>
      </w:r>
      <w:r>
        <w:t xml:space="preserve">proposing a</w:t>
      </w:r>
      <w:r>
        <w:t xml:space="preserve"> </w:t>
      </w:r>
      <w:r>
        <w:rPr>
          <w:b/>
          <w:bCs/>
        </w:rPr>
        <w:t xml:space="preserve">full 12-month grace period</w:t>
      </w:r>
      <w:r>
        <w:t xml:space="preserve">, deferred publication to 30 months, GUI protection and a 5+5+5 term (</w:t>
      </w:r>
      <w:hyperlink r:id="rId85">
        <w:r>
          <w:rPr>
            <w:rStyle w:val="Hyperlink"/>
          </w:rPr>
          <w:t xml:space="preserve">DPIIT Concept Note</w:t>
        </w:r>
      </w:hyperlink>
      <w:r>
        <w:t xml:space="preserve">;</w:t>
      </w:r>
      <w:r>
        <w:t xml:space="preserve"> </w:t>
      </w:r>
      <w:hyperlink r:id="rId86">
        <w:r>
          <w:rPr>
            <w:rStyle w:val="Hyperlink"/>
          </w:rPr>
          <w:t xml:space="preserve">Anand and Anand</w:t>
        </w:r>
      </w:hyperlink>
      <w:r>
        <w:t xml:space="preserve">).</w:t>
      </w:r>
      <w:r>
        <w:t xml:space="preserve"> </w:t>
      </w:r>
      <w:r>
        <w:rPr>
          <w:b/>
          <w:bCs/>
        </w:rPr>
        <w:t xml:space="preserve">Public comments closed 22–23 February 2026 and no amending Act or Rules have been notified</w:t>
      </w:r>
      <w:r>
        <w:t xml:space="preserve"> </w:t>
      </w:r>
      <w:r>
        <w:t xml:space="preserve">(</w:t>
      </w:r>
      <w:hyperlink r:id="rId87">
        <w:r>
          <w:rPr>
            <w:rStyle w:val="Hyperlink"/>
          </w:rPr>
          <w:t xml:space="preserve">Selvam &amp; Selvam</w:t>
        </w:r>
      </w:hyperlink>
      <w:r>
        <w:t xml:space="preserve">). If enacted later it will not retroactively restore novelty you have already destroyed.</w:t>
      </w:r>
    </w:p>
    <w:p>
      <w:pPr>
        <w:pStyle w:val="FirstParagraph"/>
      </w:pPr>
      <w:r>
        <w:rPr>
          <w:b/>
          <w:bCs/>
        </w:rPr>
        <w:t xml:space="preserve">Rule two: Copyright Act Section 15(2).</w:t>
      </w:r>
      <w:r>
        <w:t xml:space="preserve"> </w:t>
      </w:r>
      <w:r>
        <w:t xml:space="preserve">Copyright in a design capable of registration under the Designs Act but not so registered</w:t>
      </w:r>
      <w:r>
        <w:t xml:space="preserve"> </w:t>
      </w:r>
      <w:r>
        <w:rPr>
          <w:b/>
          <w:bCs/>
        </w:rPr>
        <w:t xml:space="preserve">ceases as soon as any article to which it is applied has been reproduced more than fifty times by an industrial process</w:t>
      </w:r>
      <w:r>
        <w:t xml:space="preserve"> </w:t>
      </w:r>
      <w:r>
        <w:t xml:space="preserve">(</w:t>
      </w:r>
      <w:hyperlink r:id="rId88">
        <w:r>
          <w:rPr>
            <w:rStyle w:val="Hyperlink"/>
          </w:rPr>
          <w:t xml:space="preserve">Khurana &amp; Khurana</w:t>
        </w:r>
      </w:hyperlink>
      <w:r>
        <w:t xml:space="preserve">;</w:t>
      </w:r>
      <w:r>
        <w:t xml:space="preserve"> </w:t>
      </w:r>
      <w:hyperlink r:id="rId89">
        <w:r>
          <w:rPr>
            <w:rStyle w:val="Hyperlink"/>
          </w:rPr>
          <w:t xml:space="preserve">RVR Attorneys</w:t>
        </w:r>
      </w:hyperlink>
      <w:r>
        <w:t xml:space="preserve">).</w:t>
      </w:r>
      <w:r>
        <w:t xml:space="preserve"> </w:t>
      </w:r>
      <w:r>
        <w:rPr>
          <w:b/>
          <w:bCs/>
        </w:rPr>
        <w:t xml:space="preserve">A single pilot production batch crosses fifty units.</w:t>
      </w:r>
      <w:r>
        <w:t xml:space="preserve"> </w:t>
      </w:r>
      <w:r>
        <w:t xml:space="preserve">Your CAD models and renders are artistic works with automatic copyright — that copyright is a decoy. Make unit 51 without a design registration and you have no design right</w:t>
      </w:r>
      <w:r>
        <w:t xml:space="preserve"> </w:t>
      </w:r>
      <w:r>
        <w:rPr>
          <w:i/>
          <w:iCs/>
        </w:rPr>
        <w:t xml:space="preserve">and</w:t>
      </w:r>
      <w:r>
        <w:t xml:space="preserve"> </w:t>
      </w:r>
      <w:r>
        <w:t xml:space="preserve">no copyright against anyone who makes the article.</w:t>
      </w:r>
    </w:p>
    <w:p>
      <w:pPr>
        <w:pStyle w:val="BodyText"/>
      </w:pPr>
      <w:r>
        <w:rPr>
          <w:b/>
          <w:bCs/>
        </w:rPr>
        <w:t xml:space="preserve">Rule three:</w:t>
      </w:r>
      <w:r>
        <w:rPr>
          <w:b/>
          <w:bCs/>
        </w:rPr>
        <w:t xml:space="preserve"> </w:t>
      </w:r>
      <w:r>
        <w:rPr>
          <w:b/>
          <w:bCs/>
          <w:i/>
          <w:iCs/>
        </w:rPr>
        <w:t xml:space="preserve">Reckitt Benckiser (India) Ltd v. Wyeth Ltd</w:t>
      </w:r>
      <w:r>
        <w:t xml:space="preserve"> </w:t>
      </w:r>
      <w:r>
        <w:t xml:space="preserve">(Full Bench, Delhi HC, 15 March 2013) holds that where a design is registered abroad</w:t>
      </w:r>
      <w:r>
        <w:t xml:space="preserve"> </w:t>
      </w:r>
      <w:r>
        <w:rPr>
          <w:b/>
          <w:bCs/>
        </w:rPr>
        <w:t xml:space="preserve">and those records are public, it is</w:t>
      </w:r>
      <w:r>
        <w:rPr>
          <w:b/>
          <w:bCs/>
        </w:rPr>
        <w:t xml:space="preserve"> </w:t>
      </w:r>
      <w:r>
        <w:rPr>
          <w:b/>
          <w:bCs/>
        </w:rPr>
        <w:t xml:space="preserve">“published”</w:t>
      </w:r>
      <w:r>
        <w:t xml:space="preserve"> </w:t>
      </w:r>
      <w:r>
        <w:t xml:space="preserve">and therefore lacks novelty in India (</w:t>
      </w:r>
      <w:hyperlink r:id="rId90">
        <w:r>
          <w:rPr>
            <w:rStyle w:val="Hyperlink"/>
          </w:rPr>
          <w:t xml:space="preserve">SpicyIP</w:t>
        </w:r>
      </w:hyperlink>
      <w:r>
        <w:t xml:space="preserve">;</w:t>
      </w:r>
      <w:r>
        <w:t xml:space="preserve"> </w:t>
      </w:r>
      <w:hyperlink r:id="rId91">
        <w:r>
          <w:rPr>
            <w:rStyle w:val="Hyperlink"/>
          </w:rPr>
          <w:t xml:space="preserve">Lexology</w:t>
        </w:r>
      </w:hyperlink>
      <w:r>
        <w:t xml:space="preserve">).</w:t>
      </w:r>
      <w:r>
        <w:t xml:space="preserve"> </w:t>
      </w:r>
      <w:r>
        <w:rPr>
          <w:b/>
          <w:bCs/>
        </w:rPr>
        <w:t xml:space="preserve">So do not file anywhere else first.</w:t>
      </w:r>
      <w:r>
        <w:t xml:space="preserve"> </w:t>
      </w:r>
      <w:r>
        <w:t xml:space="preserve">File India first and use the Paris Convention six-month design priority window.</w:t>
      </w:r>
    </w:p>
    <w:bookmarkStart w:id="103" w:name="file-narrow-not-broad-the-crocs-lesson"/>
    <w:p>
      <w:pPr>
        <w:pStyle w:val="Heading3"/>
      </w:pPr>
      <w:r>
        <w:t xml:space="preserve">File narrow, not broad — the Crocs lesson</w:t>
      </w:r>
    </w:p>
    <w:p>
      <w:pPr>
        <w:pStyle w:val="FirstParagraph"/>
      </w:pPr>
      <w:r>
        <w:rPr>
          <w:b/>
          <w:bCs/>
        </w:rPr>
        <w:t xml:space="preserve">A plain circular disc will very likely fail Sections 4(a) and 4(c)</w:t>
      </w:r>
      <w:r>
        <w:t xml:space="preserve"> </w:t>
      </w:r>
      <w:r>
        <w:t xml:space="preserve">(not new or original; not significantly distinguishable from known designs). The registrable subject matter is the</w:t>
      </w:r>
      <w:r>
        <w:t xml:space="preserve"> </w:t>
      </w:r>
      <w:r>
        <w:rPr>
          <w:b/>
          <w:bCs/>
        </w:rPr>
        <w:t xml:space="preserve">specific visual composition</w:t>
      </w:r>
      <w:r>
        <w:t xml:space="preserve"> </w:t>
      </w:r>
      <w:r>
        <w:t xml:space="preserve">— the three-layer stacked-disc silhouette, the proportional ratio between wall disc, battery pack and light head, the visible seam or reveal lines, the edge profile and fillet radius, the diffuser face treatment.</w:t>
      </w:r>
      <w:r>
        <w:t xml:space="preserve"> </w:t>
      </w:r>
      <w:r>
        <w:rPr>
          <w:b/>
          <w:bCs/>
        </w:rPr>
        <w:t xml:space="preserve">The statement of novelty is the single most important drafting decision</w:t>
      </w:r>
      <w:r>
        <w:t xml:space="preserve">, and it should claim the specific combination of named features, not</w:t>
      </w:r>
      <w:r>
        <w:t xml:space="preserve"> </w:t>
      </w:r>
      <w:r>
        <w:t xml:space="preserve">“shape and configuration as illustrated.”</w:t>
      </w:r>
    </w:p>
    <w:p>
      <w:pPr>
        <w:pStyle w:val="BodyText"/>
      </w:pPr>
      <w:r>
        <w:t xml:space="preserve">Why:</w:t>
      </w:r>
      <w:r>
        <w:t xml:space="preserve"> </w:t>
      </w:r>
      <w:r>
        <w:rPr>
          <w:b/>
          <w:bCs/>
          <w:i/>
          <w:iCs/>
        </w:rPr>
        <w:t xml:space="preserve">Crocs Inc USA v. Bata India</w:t>
      </w:r>
      <w:r>
        <w:t xml:space="preserve">. On</w:t>
      </w:r>
      <w:r>
        <w:t xml:space="preserve"> </w:t>
      </w:r>
      <w:r>
        <w:rPr>
          <w:b/>
          <w:bCs/>
        </w:rPr>
        <w:t xml:space="preserve">9 May 2019 the Deputy Controller cancelled Crocs’ registration no. 197685</w:t>
      </w:r>
      <w:r>
        <w:t xml:space="preserve"> </w:t>
      </w:r>
      <w:r>
        <w:t xml:space="preserve">for want of novelty and prior publication — the added features</w:t>
      </w:r>
      <w:r>
        <w:t xml:space="preserve"> </w:t>
      </w:r>
      <w:r>
        <w:t xml:space="preserve">“were not sufficient to alter the character or identity of previously published designs known to the art”</w:t>
      </w:r>
      <w:r>
        <w:t xml:space="preserve"> </w:t>
      </w:r>
      <w:r>
        <w:t xml:space="preserve">— partly on evidence of the design appearing on the</w:t>
      </w:r>
      <w:r>
        <w:t xml:space="preserve"> </w:t>
      </w:r>
      <w:r>
        <w:rPr>
          <w:b/>
          <w:bCs/>
        </w:rPr>
        <w:t xml:space="preserve">Holey Soles website in 2002–2003</w:t>
      </w:r>
      <w:r>
        <w:t xml:space="preserve"> </w:t>
      </w:r>
      <w:r>
        <w:t xml:space="preserve">(</w:t>
      </w:r>
      <w:hyperlink r:id="rId92">
        <w:r>
          <w:rPr>
            <w:rStyle w:val="Hyperlink"/>
          </w:rPr>
          <w:t xml:space="preserve">BananaIP</w:t>
        </w:r>
      </w:hyperlink>
      <w:r>
        <w:t xml:space="preserve">;</w:t>
      </w:r>
      <w:r>
        <w:t xml:space="preserve"> </w:t>
      </w:r>
      <w:hyperlink r:id="rId93">
        <w:r>
          <w:rPr>
            <w:rStyle w:val="Hyperlink"/>
          </w:rPr>
          <w:t xml:space="preserve">C&amp;C IP</w:t>
        </w:r>
      </w:hyperlink>
      <w:r>
        <w:t xml:space="preserve">). The infringement suit was disposed of as infructuous in July 2023 and</w:t>
      </w:r>
      <w:r>
        <w:t xml:space="preserve"> </w:t>
      </w:r>
      <w:r>
        <w:rPr>
          <w:b/>
          <w:bCs/>
        </w:rPr>
        <w:t xml:space="preserve">Crocs was ordered to pay ₹24.63 lakh in costs to Bata</w:t>
      </w:r>
      <w:r>
        <w:t xml:space="preserve"> </w:t>
      </w:r>
      <w:r>
        <w:t xml:space="preserve">(</w:t>
      </w:r>
      <w:hyperlink r:id="rId94">
        <w:r>
          <w:rPr>
            <w:rStyle w:val="Hyperlink"/>
          </w:rPr>
          <w:t xml:space="preserve">LiveLaw Biz</w:t>
        </w:r>
      </w:hyperlink>
      <w:r>
        <w:t xml:space="preserve">).</w:t>
      </w:r>
      <w:r>
        <w:t xml:space="preserve"> </w:t>
      </w:r>
      <w:r>
        <w:rPr>
          <w:b/>
          <w:bCs/>
        </w:rPr>
        <w:t xml:space="preserve">An over-claimed registration is not worthless — it is negative value.</w:t>
      </w:r>
    </w:p>
    <w:p>
      <w:pPr>
        <w:pStyle w:val="BodyText"/>
      </w:pPr>
      <w:r>
        <w:t xml:space="preserve">The infringement test cuts the same way.</w:t>
      </w:r>
      <w:r>
        <w:t xml:space="preserve"> </w:t>
      </w:r>
      <w:r>
        <w:rPr>
          <w:b/>
          <w:bCs/>
          <w:i/>
          <w:iCs/>
        </w:rPr>
        <w:t xml:space="preserve">Diageo Brands BV v. Great Galleon Ventures</w:t>
      </w:r>
      <w:r>
        <w:t xml:space="preserve"> </w:t>
      </w:r>
      <w:r>
        <w:t xml:space="preserve">(Delhi HC, CS(COMM) 87/2021) held design piracy must be assessed through the</w:t>
      </w:r>
      <w:r>
        <w:t xml:space="preserve"> </w:t>
      </w:r>
      <w:r>
        <w:rPr>
          <w:b/>
          <w:bCs/>
        </w:rPr>
        <w:t xml:space="preserve">“instructed eye”</w:t>
      </w:r>
      <w:r>
        <w:rPr>
          <w:b/>
          <w:bCs/>
        </w:rPr>
        <w:t xml:space="preserve"> </w:t>
      </w:r>
      <w:r>
        <w:rPr>
          <w:b/>
          <w:bCs/>
        </w:rPr>
        <w:t xml:space="preserve">— a person instructed with the prior art</w:t>
      </w:r>
      <w:r>
        <w:t xml:space="preserve"> </w:t>
      </w:r>
      <w:r>
        <w:t xml:space="preserve">— rejecting the average-customer test (</w:t>
      </w:r>
      <w:hyperlink r:id="rId95">
        <w:r>
          <w:rPr>
            <w:rStyle w:val="Hyperlink"/>
          </w:rPr>
          <w:t xml:space="preserve">SpicyIP</w:t>
        </w:r>
      </w:hyperlink>
      <w:r>
        <w:t xml:space="preserve">;</w:t>
      </w:r>
      <w:r>
        <w:t xml:space="preserve"> </w:t>
      </w:r>
      <w:hyperlink r:id="rId96">
        <w:r>
          <w:rPr>
            <w:rStyle w:val="Hyperlink"/>
          </w:rPr>
          <w:t xml:space="preserve">judgment PDF</w:t>
        </w:r>
      </w:hyperlink>
      <w:r>
        <w:t xml:space="preserve">). An instructed observer discounts the cylinder and focuses on the details — which means your registration survives if it claims details, but a copycat who changes those details escapes.</w:t>
      </w:r>
      <w:r>
        <w:t xml:space="preserve"> </w:t>
      </w:r>
      <w:r>
        <w:rPr>
          <w:b/>
          <w:bCs/>
        </w:rPr>
        <w:t xml:space="preserve">Note this test is unsettled</w:t>
      </w:r>
      <w:r>
        <w:t xml:space="preserve">:</w:t>
      </w:r>
      <w:r>
        <w:t xml:space="preserve"> </w:t>
      </w:r>
      <w:r>
        <w:rPr>
          <w:i/>
          <w:iCs/>
        </w:rPr>
        <w:t xml:space="preserve">Diageo Brands BV v. Alcobrew Distilleries</w:t>
      </w:r>
      <w:r>
        <w:t xml:space="preserve"> </w:t>
      </w:r>
      <w:r>
        <w:t xml:space="preserve">(Delhi HC, 19 December 2022) departed from</w:t>
      </w:r>
      <w:r>
        <w:t xml:space="preserve"> </w:t>
      </w:r>
      <w:r>
        <w:rPr>
          <w:i/>
          <w:iCs/>
        </w:rPr>
        <w:t xml:space="preserve">Great Galleon</w:t>
      </w:r>
      <w:r>
        <w:t xml:space="preserve">’s reasoning (</w:t>
      </w:r>
      <w:hyperlink r:id="rId97">
        <w:r>
          <w:rPr>
            <w:rStyle w:val="Hyperlink"/>
          </w:rPr>
          <w:t xml:space="preserve">Khurana &amp; Khurana</w:t>
        </w:r>
      </w:hyperlink>
      <w:r>
        <w:t xml:space="preserve">).</w:t>
      </w:r>
    </w:p>
    <w:p>
      <w:pPr>
        <w:pStyle w:val="BodyText"/>
      </w:pPr>
      <w:r>
        <w:rPr>
          <w:b/>
          <w:bCs/>
        </w:rPr>
        <w:t xml:space="preserve">File in Locarno Class 26, subclass 26-05</w:t>
      </w:r>
      <w:r>
        <w:t xml:space="preserve"> </w:t>
      </w:r>
      <w:r>
        <w:t xml:space="preserve">(lamps, standard lamps, chandeliers, wall and ceiling fixtures, lampshades, reflectors) (</w:t>
      </w:r>
      <w:hyperlink r:id="rId98">
        <w:r>
          <w:rPr>
            <w:rStyle w:val="Hyperlink"/>
          </w:rPr>
          <w:t xml:space="preserve">WIPO Locarno</w:t>
        </w:r>
      </w:hyperlink>
      <w:r>
        <w:t xml:space="preserve">).</w:t>
      </w:r>
      <w:r>
        <w:t xml:space="preserve"> </w:t>
      </w:r>
      <w:r>
        <w:rPr>
          <w:b/>
          <w:bCs/>
        </w:rPr>
        <w:t xml:space="preserve">File more than one design</w:t>
      </w:r>
      <w:r>
        <w:t xml:space="preserve"> </w:t>
      </w:r>
      <w:r>
        <w:t xml:space="preserve">— the assembled module, the light head alone, and the wall disc alone are arguably separable articles at ₹1,000 official fee each. A copycat who changes your wall mount still infringes the head registration.</w:t>
      </w:r>
    </w:p>
    <w:p>
      <w:pPr>
        <w:pStyle w:val="BodyText"/>
      </w:pPr>
      <w:r>
        <w:t xml:space="preserve">Be honest about what registration buys.</w:t>
      </w:r>
      <w:r>
        <w:t xml:space="preserve"> </w:t>
      </w:r>
      <w:r>
        <w:rPr>
          <w:b/>
          <w:bCs/>
        </w:rPr>
        <w:t xml:space="preserve">Section 22(2)(a) caps statutory compensation at ₹25,000 per contravention, maximum ₹50,000 per design</w:t>
      </w:r>
      <w:r>
        <w:t xml:space="preserve"> </w:t>
      </w:r>
      <w:r>
        <w:t xml:space="preserve">(</w:t>
      </w:r>
      <w:hyperlink r:id="rId99">
        <w:r>
          <w:rPr>
            <w:rStyle w:val="Hyperlink"/>
          </w:rPr>
          <w:t xml:space="preserve">S.S. Rana</w:t>
        </w:r>
      </w:hyperlink>
      <w:r>
        <w:t xml:space="preserve">;</w:t>
      </w:r>
      <w:r>
        <w:t xml:space="preserve"> </w:t>
      </w:r>
      <w:hyperlink r:id="rId100">
        <w:r>
          <w:rPr>
            <w:rStyle w:val="Hyperlink"/>
          </w:rPr>
          <w:t xml:space="preserve">The Legal School</w:t>
        </w:r>
      </w:hyperlink>
      <w:r>
        <w:t xml:space="preserve">) — commercially trivial, and nobody sues under it. The alternative is an ordinary suit for damages and injunction, uncapped.</w:t>
      </w:r>
      <w:r>
        <w:t xml:space="preserve"> </w:t>
      </w:r>
      <w:r>
        <w:rPr>
          <w:b/>
          <w:bCs/>
        </w:rPr>
        <w:t xml:space="preserve">The injunction, not the damages, is the product you are buying</w:t>
      </w:r>
      <w:r>
        <w:t xml:space="preserve"> </w:t>
      </w:r>
      <w:r>
        <w:t xml:space="preserve">— and more precisely, the extra-judicial value: a credible cease-and-desist, an Amazon/Flipkart IP takedown, a customs recordal. Structurally,</w:t>
      </w:r>
      <w:r>
        <w:t xml:space="preserve"> </w:t>
      </w:r>
      <w:r>
        <w:rPr>
          <w:b/>
          <w:bCs/>
        </w:rPr>
        <w:t xml:space="preserve">Section 22(3) lets the defendant raise every Section 19 cancellation ground as a defence, and Section 22(4) then forces the suit to the High Court</w:t>
      </w:r>
      <w:r>
        <w:t xml:space="preserve"> </w:t>
      </w:r>
      <w:r>
        <w:t xml:space="preserve">— so a copycat will always make it a validity fight.</w:t>
      </w:r>
      <w:r>
        <w:t xml:space="preserve"> </w:t>
      </w:r>
      <w:r>
        <w:rPr>
          <w:b/>
          <w:bCs/>
        </w:rPr>
        <w:t xml:space="preserve">Register, but do not plan to litigate.</w:t>
      </w:r>
    </w:p>
    <w:p>
      <w:pPr>
        <w:pStyle w:val="BodyText"/>
      </w:pPr>
      <w:r>
        <w:t xml:space="preserve">One genuinely good development: a</w:t>
      </w:r>
      <w:r>
        <w:t xml:space="preserve"> </w:t>
      </w:r>
      <w:r>
        <w:rPr>
          <w:b/>
          <w:bCs/>
        </w:rPr>
        <w:t xml:space="preserve">Division Bench of the Delhi High Court (Justices C. Hari Shankar and Ajay Digpaul) on 1 July 2025 restored Crocs’ passing-off suits</w:t>
      </w:r>
      <w:r>
        <w:t xml:space="preserve">, holding a passing-off action for a product registered under the Designs Act</w:t>
      </w:r>
      <w:r>
        <w:t xml:space="preserve"> </w:t>
      </w:r>
      <w:r>
        <w:rPr>
          <w:i/>
          <w:iCs/>
        </w:rPr>
        <w:t xml:space="preserve">is</w:t>
      </w:r>
      <w:r>
        <w:t xml:space="preserve"> </w:t>
      </w:r>
      <w:r>
        <w:t xml:space="preserve">maintainable (</w:t>
      </w:r>
      <w:hyperlink r:id="rId101">
        <w:r>
          <w:rPr>
            <w:rStyle w:val="Hyperlink"/>
          </w:rPr>
          <w:t xml:space="preserve">LiveLaw</w:t>
        </w:r>
      </w:hyperlink>
      <w:r>
        <w:t xml:space="preserve">;</w:t>
      </w:r>
      <w:r>
        <w:t xml:space="preserve"> </w:t>
      </w:r>
      <w:hyperlink r:id="rId102">
        <w:r>
          <w:rPr>
            <w:rStyle w:val="Hyperlink"/>
          </w:rPr>
          <w:t xml:space="preserve">BananaIP</w:t>
        </w:r>
      </w:hyperlink>
      <w:r>
        <w:t xml:space="preserve">).</w:t>
      </w:r>
      <w:r>
        <w:t xml:space="preserve"> </w:t>
      </w:r>
      <w:r>
        <w:rPr>
          <w:b/>
          <w:bCs/>
        </w:rPr>
        <w:t xml:space="preserve">So shape-based goodwill is a second, longer-lasting layer that outlives the 15-year design term. Start accumulating it deliberately.</w:t>
      </w:r>
    </w:p>
    <w:bookmarkEnd w:id="103"/>
    <w:bookmarkStart w:id="111" w:name="X7d68b771f6b4e165db06985a6f8684f6dcd93c9"/>
    <w:p>
      <w:pPr>
        <w:pStyle w:val="Heading3"/>
      </w:pPr>
      <w:r>
        <w:t xml:space="preserve">Trademarks: three classes, and a phonetic search you cannot skip</w:t>
      </w:r>
    </w:p>
    <w:p>
      <w:pPr>
        <w:pStyle w:val="FirstParagraph"/>
      </w:pPr>
      <w:r>
        <w:rPr>
          <w:b/>
          <w:bCs/>
        </w:rPr>
        <w:t xml:space="preserve">Class 11 is essential</w:t>
      </w:r>
      <w:r>
        <w:t xml:space="preserve"> </w:t>
      </w:r>
      <w:r>
        <w:t xml:space="preserve">(lighting apparatus, LED luminaires, wall-mounted fixtures, modular lighting units).</w:t>
      </w:r>
      <w:r>
        <w:t xml:space="preserve"> </w:t>
      </w:r>
      <w:r>
        <w:rPr>
          <w:b/>
          <w:bCs/>
        </w:rPr>
        <w:t xml:space="preserve">Class 9 is essential too, and this is the part founders get wrong: batteries are Class 9, not Class 11</w:t>
      </w:r>
      <w:r>
        <w:t xml:space="preserve"> </w:t>
      </w:r>
      <w:r>
        <w:t xml:space="preserve">— a Class 11-only registration leaves the swappable battery pack, the sensors and the control app unprotected (</w:t>
      </w:r>
      <w:hyperlink r:id="rId104">
        <w:r>
          <w:rPr>
            <w:rStyle w:val="Hyperlink"/>
          </w:rPr>
          <w:t xml:space="preserve">IncorpX</w:t>
        </w:r>
      </w:hyperlink>
      <w:r>
        <w:t xml:space="preserve">;</w:t>
      </w:r>
      <w:r>
        <w:t xml:space="preserve"> </w:t>
      </w:r>
      <w:hyperlink r:id="rId105">
        <w:r>
          <w:rPr>
            <w:rStyle w:val="Hyperlink"/>
          </w:rPr>
          <w:t xml:space="preserve">RegisterKaro</w:t>
        </w:r>
      </w:hyperlink>
      <w:r>
        <w:t xml:space="preserve">).</w:t>
      </w:r>
      <w:r>
        <w:t xml:space="preserve"> </w:t>
      </w:r>
      <w:r>
        <w:rPr>
          <w:b/>
          <w:bCs/>
        </w:rPr>
        <w:t xml:space="preserve">Class 42 covers the existing Modulus SaaS</w:t>
      </w:r>
      <w:r>
        <w:t xml:space="preserve"> </w:t>
      </w:r>
      <w:r>
        <w:t xml:space="preserve">(</w:t>
      </w:r>
      <w:hyperlink r:id="rId106">
        <w:r>
          <w:rPr>
            <w:rStyle w:val="Hyperlink"/>
          </w:rPr>
          <w:t xml:space="preserve">Vakilsearch</w:t>
        </w:r>
      </w:hyperlink>
      <w:r>
        <w:t xml:space="preserve">). Class 35 (retail) and Class 37 (installation and maintenance) are second-wave.</w:t>
      </w:r>
      <w:r>
        <w:t xml:space="preserve"> </w:t>
      </w:r>
      <w:r>
        <w:rPr>
          <w:b/>
          <w:bCs/>
        </w:rPr>
        <w:t xml:space="preserve">Class 7 is not relevant.</w:t>
      </w:r>
      <w:r>
        <w:t xml:space="preserve"> </w:t>
      </w:r>
      <w:r>
        <w:t xml:space="preserve">Product names go in Classes 11 and 9 only.</w:t>
      </w:r>
      <w:r>
        <w:t xml:space="preserve"> </w:t>
      </w:r>
      <w:r>
        <w:rPr>
          <w:b/>
          <w:bCs/>
        </w:rPr>
        <w:t xml:space="preserve">Draft the specification of goods carefully</w:t>
      </w:r>
      <w:r>
        <w:t xml:space="preserve"> </w:t>
      </w:r>
      <w:r>
        <w:t xml:space="preserve">—</w:t>
      </w:r>
      <w:r>
        <w:t xml:space="preserve"> </w:t>
      </w:r>
      <w:r>
        <w:t xml:space="preserve">“lighting apparatus”</w:t>
      </w:r>
      <w:r>
        <w:t xml:space="preserve"> </w:t>
      </w:r>
      <w:r>
        <w:t xml:space="preserve">alone will not cover a spare battery pack or an app.</w:t>
      </w:r>
    </w:p>
    <w:p>
      <w:pPr>
        <w:pStyle w:val="BodyText"/>
      </w:pPr>
      <w:r>
        <w:rPr>
          <w:b/>
          <w:bCs/>
        </w:rPr>
        <w:t xml:space="preserve">“Modulus”</w:t>
      </w:r>
      <w:r>
        <w:rPr>
          <w:b/>
          <w:bCs/>
        </w:rPr>
        <w:t xml:space="preserve"> </w:t>
      </w:r>
      <w:r>
        <w:rPr>
          <w:b/>
          <w:bCs/>
        </w:rPr>
        <w:t xml:space="preserve">does not help you in Class 11. Three reasons:</w:t>
      </w:r>
      <w:r>
        <w:t xml:space="preserve"> </w:t>
      </w:r>
      <w:r>
        <w:t xml:space="preserve">rights are granted per class, so Class 42 SaaS confers nothing over Class 11 luminaires; the lighting brand is a</w:t>
      </w:r>
      <w:r>
        <w:t xml:space="preserve"> </w:t>
      </w:r>
      <w:r>
        <w:rPr>
          <w:i/>
          <w:iCs/>
        </w:rPr>
        <w:t xml:space="preserve">different mark</w:t>
      </w:r>
      <w:r>
        <w:t xml:space="preserve"> </w:t>
      </w:r>
      <w:r>
        <w:t xml:space="preserve">(MODULARK, not MODULUS); and cross-class protection requires</w:t>
      </w:r>
      <w:r>
        <w:t xml:space="preserve"> </w:t>
      </w:r>
      <w:r>
        <w:rPr>
          <w:b/>
          <w:bCs/>
        </w:rPr>
        <w:t xml:space="preserve">well-known mark</w:t>
      </w:r>
      <w:r>
        <w:t xml:space="preserve"> </w:t>
      </w:r>
      <w:r>
        <w:t xml:space="preserve">status under s.2(1)(zg) and the s.11(6) criteria — substantial public recognition, extensive use and promotion, a record of successful enforcement (</w:t>
      </w:r>
      <w:hyperlink r:id="rId107">
        <w:r>
          <w:rPr>
            <w:rStyle w:val="Hyperlink"/>
          </w:rPr>
          <w:t xml:space="preserve">S.S. Rana</w:t>
        </w:r>
      </w:hyperlink>
      <w:r>
        <w:t xml:space="preserve">;</w:t>
      </w:r>
      <w:r>
        <w:t xml:space="preserve"> </w:t>
      </w:r>
      <w:hyperlink r:id="rId108">
        <w:r>
          <w:rPr>
            <w:rStyle w:val="Hyperlink"/>
          </w:rPr>
          <w:t xml:space="preserve">RegisterKaro</w:t>
        </w:r>
      </w:hyperlink>
      <w:r>
        <w:t xml:space="preserve">) — which a school-management SaaS does not plausibly meet. Where Modulus</w:t>
      </w:r>
      <w:r>
        <w:t xml:space="preserve"> </w:t>
      </w:r>
      <w:r>
        <w:rPr>
          <w:i/>
          <w:iCs/>
        </w:rPr>
        <w:t xml:space="preserve">does</w:t>
      </w:r>
      <w:r>
        <w:t xml:space="preserve"> </w:t>
      </w:r>
      <w:r>
        <w:t xml:space="preserve">help, marginally: it evidences bona fide adoption of the</w:t>
      </w:r>
      <w:r>
        <w:t xml:space="preserve"> </w:t>
      </w:r>
      <w:r>
        <w:t xml:space="preserve">“Modul-”</w:t>
      </w:r>
      <w:r>
        <w:t xml:space="preserve"> </w:t>
      </w:r>
      <w:r>
        <w:t xml:space="preserve">root, useful against a bad-faith allegation.</w:t>
      </w:r>
      <w:r>
        <w:t xml:space="preserve"> </w:t>
      </w:r>
      <w:r>
        <w:rPr>
          <w:b/>
          <w:bCs/>
        </w:rPr>
        <w:t xml:space="preserve">And it cuts the other way: if a third party owns MODULUS or similar in Class 9 or 11, your own filing can be cited against.</w:t>
      </w:r>
    </w:p>
    <w:p>
      <w:pPr>
        <w:pStyle w:val="BodyText"/>
      </w:pPr>
      <w:r>
        <w:rPr>
          <w:b/>
          <w:bCs/>
        </w:rPr>
        <w:t xml:space="preserve">MODULARK’s Section 9 risk is low-to-moderate</w:t>
      </w:r>
      <w:r>
        <w:t xml:space="preserve"> </w:t>
      </w:r>
      <w:r>
        <w:t xml:space="preserve">— it is an invented word, though an examiner could argue it is a misspelling of</w:t>
      </w:r>
      <w:r>
        <w:t xml:space="preserve"> </w:t>
      </w:r>
      <w:r>
        <w:t xml:space="preserve">“modular”</w:t>
      </w:r>
      <w:r>
        <w:t xml:space="preserve"> </w:t>
      </w:r>
      <w:r>
        <w:t xml:space="preserve">and descriptive of a characteristic under s.9(1)(b). Answerable.</w:t>
      </w:r>
      <w:r>
        <w:t xml:space="preserve"> </w:t>
      </w:r>
      <w:r>
        <w:rPr>
          <w:b/>
          <w:bCs/>
        </w:rPr>
        <w:t xml:space="preserve">Section 11 risk is moderate-to-high and currently unquantified</w:t>
      </w:r>
      <w:r>
        <w:t xml:space="preserve">, because</w:t>
      </w:r>
      <w:r>
        <w:t xml:space="preserve"> </w:t>
      </w:r>
      <w:r>
        <w:t xml:space="preserve">“Modul-”</w:t>
      </w:r>
      <w:r>
        <w:t xml:space="preserve"> </w:t>
      </w:r>
      <w:r>
        <w:t xml:space="preserve">is a heavily used root.</w:t>
      </w:r>
      <w:r>
        <w:t xml:space="preserve"> </w:t>
      </w:r>
      <w:r>
        <w:rPr>
          <w:b/>
          <w:bCs/>
        </w:rPr>
        <w:t xml:space="preserve">No register search was run in this research — the IP India portal is interactive and could not be queried.</w:t>
      </w:r>
      <w:r>
        <w:t xml:space="preserve"> </w:t>
      </w:r>
      <w:r>
        <w:t xml:space="preserve">In India</w:t>
      </w:r>
      <w:r>
        <w:t xml:space="preserve"> </w:t>
      </w:r>
      <w:r>
        <w:rPr>
          <w:b/>
          <w:bCs/>
        </w:rPr>
        <w:t xml:space="preserve">phonetic similarity is as strong a ground for refusal as visual similarity, and the examiner’s own conflict search is heavily phonetic</w:t>
      </w:r>
      <w:r>
        <w:t xml:space="preserve"> </w:t>
      </w:r>
      <w:r>
        <w:t xml:space="preserve">(</w:t>
      </w:r>
      <w:hyperlink r:id="rId109">
        <w:r>
          <w:rPr>
            <w:rStyle w:val="Hyperlink"/>
          </w:rPr>
          <w:t xml:space="preserve">Intepat</w:t>
        </w:r>
      </w:hyperlink>
      <w:r>
        <w:t xml:space="preserve">), so a wordmark-only search will systematically miss what the examiner cites. Run</w:t>
      </w:r>
      <w:r>
        <w:t xml:space="preserve"> </w:t>
      </w:r>
      <w:r>
        <w:rPr>
          <w:b/>
          <w:bCs/>
        </w:rPr>
        <w:t xml:space="preserve">wordmark and phonetic searches</w:t>
      </w:r>
      <w:r>
        <w:t xml:space="preserve"> </w:t>
      </w:r>
      <w:r>
        <w:t xml:space="preserve">at</w:t>
      </w:r>
      <w:r>
        <w:t xml:space="preserve"> </w:t>
      </w:r>
      <w:r>
        <w:rPr>
          <w:rStyle w:val="VerbatimChar"/>
        </w:rPr>
        <w:t xml:space="preserve">tmrsearch.ipindia.gov.in</w:t>
      </w:r>
      <w:r>
        <w:t xml:space="preserve"> </w:t>
      </w:r>
      <w:r>
        <w:t xml:space="preserve">(free) for MODULARK, MODULAR, MODUL, MODULUS and phonetic neighbours —</w:t>
      </w:r>
      <w:r>
        <w:t xml:space="preserve"> </w:t>
      </w:r>
      <w:r>
        <w:rPr>
          <w:b/>
          <w:bCs/>
        </w:rPr>
        <w:t xml:space="preserve">MODULEX in particular is lighting-adjacent and must be checked</w:t>
      </w:r>
      <w:r>
        <w:t xml:space="preserve"> </w:t>
      </w:r>
      <w:r>
        <w:t xml:space="preserve">— in</w:t>
      </w:r>
      <w:r>
        <w:t xml:space="preserve"> </w:t>
      </w:r>
      <w:r>
        <w:rPr>
          <w:b/>
          <w:bCs/>
        </w:rPr>
        <w:t xml:space="preserve">each of Classes 9, 11, 35, 37 and 42 separately</w:t>
      </w:r>
      <w:r>
        <w:t xml:space="preserve">, plus the Trade Marks Journal for recently advertised marks, the Registry’s well-known marks list, the MCA company-name check, domains and social handles, and a common-law market sweep of Amazon.in, Flipkart, IndiaMART and Instagram for unregistered prior users who can oppose under</w:t>
      </w:r>
      <w:r>
        <w:t xml:space="preserve"> </w:t>
      </w:r>
      <w:r>
        <w:rPr>
          <w:b/>
          <w:bCs/>
        </w:rPr>
        <w:t xml:space="preserve">s.11(3)</w:t>
      </w:r>
      <w:r>
        <w:t xml:space="preserve">.</w:t>
      </w:r>
    </w:p>
    <w:p>
      <w:pPr>
        <w:pStyle w:val="BodyText"/>
      </w:pPr>
      <w:r>
        <w:rPr>
          <w:b/>
          <w:bCs/>
        </w:rPr>
        <w:t xml:space="preserve">Use MODULARK™ from day one — the Trade Marks Act is entirely silent on ™ and attaches no consequence to it.</w:t>
      </w:r>
      <w:r>
        <w:t xml:space="preserve"> </w:t>
      </w:r>
      <w:r>
        <w:t xml:space="preserve">Do not use ® until the Indian certificate issues:</w:t>
      </w:r>
      <w:r>
        <w:t xml:space="preserve"> </w:t>
      </w:r>
      <w:r>
        <w:rPr>
          <w:b/>
          <w:bCs/>
        </w:rPr>
        <w:t xml:space="preserve">Section 107 makes a false representation of registration in India punishable by a civil monetary penalty of 0.5% of annual turnover or ₹5,00,000, whichever is less</w:t>
      </w:r>
      <w:r>
        <w:t xml:space="preserve">, and it catches</w:t>
      </w:r>
      <w:r>
        <w:t xml:space="preserve"> </w:t>
      </w:r>
      <w:r>
        <w:t xml:space="preserve">“Registered”</w:t>
      </w:r>
      <w:r>
        <w:t xml:space="preserve"> </w:t>
      </w:r>
      <w:r>
        <w:t xml:space="preserve">and</w:t>
      </w:r>
      <w:r>
        <w:t xml:space="preserve"> </w:t>
      </w:r>
      <w:r>
        <w:t xml:space="preserve">“Regd.”</w:t>
      </w:r>
      <w:r>
        <w:t xml:space="preserve"> </w:t>
      </w:r>
      <w:r>
        <w:t xml:space="preserve">too (</w:t>
      </w:r>
      <w:hyperlink r:id="rId110">
        <w:r>
          <w:rPr>
            <w:rStyle w:val="Hyperlink"/>
          </w:rPr>
          <w:t xml:space="preserve">CFOmatrix</w:t>
        </w:r>
      </w:hyperlink>
      <w:r>
        <w:t xml:space="preserve">). Watch the export trap: registering abroad first does not license ® on Indian-market packaging.</w:t>
      </w:r>
      <w:r>
        <w:t xml:space="preserve"> </w:t>
      </w:r>
      <w:r>
        <w:rPr>
          <w:b/>
          <w:bCs/>
        </w:rPr>
        <w:t xml:space="preserve">Design your artwork with ™ and plan a later revision.</w:t>
      </w:r>
      <w:r>
        <w:t xml:space="preserve"> </w:t>
      </w:r>
      <w:r>
        <w:rPr>
          <w:i/>
          <w:iCs/>
        </w:rPr>
        <w:t xml:space="preserve">(The 0.5%/₹5 lakh formulation suggests the offence was civilised by the Jan Vishwas (Amendment of Provisions) Act 2023 — the pre-2023 position was imprisonment up to 3 years.</w:t>
      </w:r>
      <w:r>
        <w:rPr>
          <w:i/>
          <w:iCs/>
        </w:rPr>
        <w:t xml:space="preserve"> </w:t>
      </w:r>
      <w:r>
        <w:rPr>
          <w:b/>
          <w:bCs/>
          <w:i/>
          <w:iCs/>
        </w:rPr>
        <w:t xml:space="preserve">This inference was not confirmed by a source naming the amending Act. Verify.</w:t>
      </w:r>
      <w:r>
        <w:rPr>
          <w:i/>
          <w:iCs/>
        </w:rPr>
        <w:t xml:space="preserve">)</w:t>
      </w:r>
    </w:p>
    <w:p>
      <w:r>
        <w:pict>
          <v:rect style="width:0;height:1.5pt" o:hralign="center" o:hrstd="t" o:hr="t"/>
        </w:pict>
      </w:r>
    </w:p>
    <w:bookmarkEnd w:id="111"/>
    <w:bookmarkEnd w:id="112"/>
    <w:bookmarkStart w:id="187" w:name="X3a71d582b9abb7668dfc7f3aff1582c865efbce"/>
    <w:p>
      <w:pPr>
        <w:pStyle w:val="Heading2"/>
      </w:pPr>
      <w:r>
        <w:t xml:space="preserve">The certification path forks on how much mains voltage you are willing to own</w:t>
      </w:r>
    </w:p>
    <w:p>
      <w:pPr>
        <w:pStyle w:val="FirstParagraph"/>
      </w:pPr>
      <w:r>
        <w:t xml:space="preserve">This is the single strategic insight in the compliance research, and it is worth more than any material substitution or test-lab optimisation.</w:t>
      </w:r>
    </w:p>
    <w:bookmarkStart w:id="115" w:name="the-scope-question-nobody-could-settle"/>
    <w:p>
      <w:pPr>
        <w:pStyle w:val="Heading3"/>
      </w:pPr>
      <w:r>
        <w:t xml:space="preserve">The scope question nobody could settle</w:t>
      </w:r>
    </w:p>
    <w:p>
      <w:pPr>
        <w:pStyle w:val="BlockText"/>
      </w:pPr>
      <w:r>
        <w:rPr>
          <w:b/>
          <w:bCs/>
        </w:rPr>
        <w:t xml:space="preserve">UNRESOLVED CONFLICT — and it determines your entire certification path and cost.</w:t>
      </w:r>
      <w:r>
        <w:t xml:space="preserve"> </w:t>
      </w:r>
      <w:r>
        <w:t xml:space="preserve">Four candidate regimes were identified and none could be confirmed:</w:t>
      </w:r>
      <w:r>
        <w:t xml:space="preserve"> </w:t>
      </w:r>
      <w:r>
        <w:t xml:space="preserve">-</w:t>
      </w:r>
      <w:r>
        <w:t xml:space="preserve"> </w:t>
      </w:r>
      <w:r>
        <w:rPr>
          <w:b/>
          <w:bCs/>
        </w:rPr>
        <w:t xml:space="preserve">IS 10322 (Part 5/Sec 1):2026, Fixed General Purpose LED Luminaires</w:t>
      </w:r>
      <w:r>
        <w:t xml:space="preserve"> </w:t>
      </w:r>
      <w:r>
        <w:t xml:space="preserve">— the most likely classification</w:t>
      </w:r>
      <w:r>
        <w:t xml:space="preserve"> </w:t>
      </w:r>
      <w:r>
        <w:rPr>
          <w:i/>
          <w:iCs/>
        </w:rPr>
        <w:t xml:space="preserve">if</w:t>
      </w:r>
      <w:r>
        <w:t xml:space="preserve"> </w:t>
      </w:r>
      <w:r>
        <w:t xml:space="preserve">the product is mains-fed and wall-mounted (</w:t>
      </w:r>
      <w:hyperlink r:id="rId113">
        <w:r>
          <w:rPr>
            <w:rStyle w:val="Hyperlink"/>
          </w:rPr>
          <w:t xml:space="preserve">Elitas</w:t>
        </w:r>
      </w:hyperlink>
      <w:r>
        <w:t xml:space="preserve">). Your product is not recessed, not road/street, not a lighting chain, not emergency lighting, so it maps onto no existing category cleanly.</w:t>
      </w:r>
      <w:r>
        <w:t xml:space="preserve"> </w:t>
      </w:r>
      <w:r>
        <w:t xml:space="preserve">-</w:t>
      </w:r>
      <w:r>
        <w:t xml:space="preserve"> </w:t>
      </w:r>
      <w:r>
        <w:rPr>
          <w:b/>
          <w:bCs/>
        </w:rPr>
        <w:t xml:space="preserve">IS 16102, self-ballasted LED lamps</w:t>
      </w:r>
      <w:r>
        <w:t xml:space="preserve"> </w:t>
      </w:r>
      <w:r>
        <w:t xml:space="preserve">— this is for lamps with a cap (B22/E27) that replace a bulb.</w:t>
      </w:r>
      <w:r>
        <w:t xml:space="preserve"> </w:t>
      </w:r>
      <w:r>
        <w:rPr>
          <w:b/>
          <w:bCs/>
        </w:rPr>
        <w:t xml:space="preserve">It does not apply to your product form. Do not let a consultant push you into it.</w:t>
      </w:r>
      <w:r>
        <w:t xml:space="preserve"> </w:t>
      </w:r>
      <w:r>
        <w:rPr>
          <w:i/>
          <w:iCs/>
        </w:rPr>
        <w:t xml:space="preserve">(Separately noted: IS 16102 Part 1 was revised to :2026, and licences under the 2012 standard reportedly ceased to be valid after 2 August 2026 —</w:t>
      </w:r>
      <w:r>
        <w:rPr>
          <w:i/>
          <w:iCs/>
        </w:rPr>
        <w:t xml:space="preserve"> </w:t>
      </w:r>
      <w:hyperlink r:id="rId114">
        <w:r>
          <w:rPr>
            <w:rStyle w:val="Hyperlink"/>
            <w:i/>
            <w:iCs/>
          </w:rPr>
          <w:t xml:space="preserve">C-PRAV</w:t>
        </w:r>
      </w:hyperlink>
      <w:r>
        <w:rPr>
          <w:i/>
          <w:iCs/>
        </w:rPr>
        <w:t xml:space="preserve">.)</w:t>
      </w:r>
      <w:r>
        <w:t xml:space="preserve"> </w:t>
      </w:r>
      <w:r>
        <w:t xml:space="preserve">-</w:t>
      </w:r>
      <w:r>
        <w:t xml:space="preserve"> </w:t>
      </w:r>
      <w:r>
        <w:rPr>
          <w:b/>
          <w:bCs/>
        </w:rPr>
        <w:t xml:space="preserve">IS 16103</w:t>
      </w:r>
      <w:r>
        <w:t xml:space="preserve">, LED modules for general lighting.</w:t>
      </w:r>
      <w:r>
        <w:t xml:space="preserve"> </w:t>
      </w:r>
      <w:r>
        <w:t xml:space="preserve">-</w:t>
      </w:r>
      <w:r>
        <w:t xml:space="preserve"> </w:t>
      </w:r>
      <w:r>
        <w:rPr>
          <w:b/>
          <w:bCs/>
        </w:rPr>
        <w:t xml:space="preserve">Outside the CRO regime altogether</w:t>
      </w:r>
      <w:r>
        <w:t xml:space="preserve"> </w:t>
      </w:r>
      <w:r>
        <w:t xml:space="preserve">— see the exemption below.</w:t>
      </w:r>
    </w:p>
    <w:p>
      <w:pPr>
        <w:pStyle w:val="BlockText"/>
      </w:pPr>
      <w:r>
        <w:rPr>
          <w:b/>
          <w:bCs/>
        </w:rPr>
        <w:t xml:space="preserve">How to settle it:</w:t>
      </w:r>
      <w:r>
        <w:t xml:space="preserve"> </w:t>
      </w:r>
      <w:r>
        <w:t xml:space="preserve">this is classification work, not testing work, and it is the highest-leverage compliance task you have. Write to BIS with the product description and get a written classification. Everything downstream — cost, timeline, whether you can print an enclosure — depends on the answer.</w:t>
      </w:r>
    </w:p>
    <w:bookmarkEnd w:id="115"/>
    <w:bookmarkStart w:id="123" w:name="the-exemption-that-may-change-everything"/>
    <w:p>
      <w:pPr>
        <w:pStyle w:val="Heading3"/>
      </w:pPr>
      <w:r>
        <w:t xml:space="preserve">The exemption that may change everything</w:t>
      </w:r>
    </w:p>
    <w:p>
      <w:pPr>
        <w:pStyle w:val="FirstParagraph"/>
      </w:pPr>
      <w:r>
        <w:rPr>
          <w:b/>
          <w:bCs/>
        </w:rPr>
        <w:t xml:space="preserve">Multiple sources indicate BIS has clarified in its official CRS FAQ that portable luminaires and luminaires under IS 10322 running on cell/battery — with the sole exception of emergency luminaires — are exempted from the Order</w:t>
      </w:r>
      <w:r>
        <w:t xml:space="preserve">, and that</w:t>
      </w:r>
      <w:r>
        <w:t xml:space="preserve"> </w:t>
      </w:r>
      <w:r>
        <w:t xml:space="preserve">“</w:t>
      </w:r>
      <w:r>
        <w:rPr>
          <w:b/>
          <w:bCs/>
        </w:rPr>
        <w:t xml:space="preserve">LED portable lights are not covered under CRO</w:t>
      </w:r>
      <w:r>
        <w:t xml:space="preserve">”</w:t>
      </w:r>
      <w:r>
        <w:t xml:space="preserve"> </w:t>
      </w:r>
      <w:r>
        <w:t xml:space="preserve">(</w:t>
      </w:r>
      <w:hyperlink r:id="rId116">
        <w:r>
          <w:rPr>
            <w:rStyle w:val="Hyperlink"/>
          </w:rPr>
          <w:t xml:space="preserve">Vincular</w:t>
        </w:r>
      </w:hyperlink>
      <w:r>
        <w:t xml:space="preserve">; FAQ documents located at</w:t>
      </w:r>
      <w:r>
        <w:t xml:space="preserve"> </w:t>
      </w:r>
      <w:hyperlink r:id="rId117">
        <w:r>
          <w:rPr>
            <w:rStyle w:val="Hyperlink"/>
          </w:rPr>
          <w:t xml:space="preserve">crsbis.in Revised FAQs</w:t>
        </w:r>
      </w:hyperlink>
      <w:r>
        <w:t xml:space="preserve"> </w:t>
      </w:r>
      <w:r>
        <w:t xml:space="preserve">and</w:t>
      </w:r>
      <w:r>
        <w:t xml:space="preserve"> </w:t>
      </w:r>
      <w:hyperlink r:id="rId118">
        <w:r>
          <w:rPr>
            <w:rStyle w:val="Hyperlink"/>
          </w:rPr>
          <w:t xml:space="preserve">CRS FAQ Rev 13</w:t>
        </w:r>
      </w:hyperlink>
      <w:r>
        <w:t xml:space="preserve">).</w:t>
      </w:r>
    </w:p>
    <w:p>
      <w:pPr>
        <w:pStyle w:val="BodyText"/>
      </w:pPr>
      <w:r>
        <w:rPr>
          <w:b/>
          <w:bCs/>
        </w:rPr>
        <w:t xml:space="preserve">None of these documents could be read. crsbis.in was blocked.</w:t>
      </w:r>
      <w:r>
        <w:t xml:space="preserve"> </w:t>
      </w:r>
      <w:r>
        <w:t xml:space="preserve">One consultancy directly contradicts, stating</w:t>
      </w:r>
      <w:r>
        <w:t xml:space="preserve"> </w:t>
      </w:r>
      <w:r>
        <w:t xml:space="preserve">“DC operation (battery or solar-based) does not change CRS applicability”</w:t>
      </w:r>
      <w:r>
        <w:t xml:space="preserve"> </w:t>
      </w:r>
      <w:r>
        <w:t xml:space="preserve">(</w:t>
      </w:r>
      <w:hyperlink r:id="rId119">
        <w:r>
          <w:rPr>
            <w:rStyle w:val="Hyperlink"/>
          </w:rPr>
          <w:t xml:space="preserve">Instacertify</w:t>
        </w:r>
      </w:hyperlink>
      <w:r>
        <w:t xml:space="preserve">) — probably resolvable, since that claim is about DC-input luminaires</w:t>
      </w:r>
      <w:r>
        <w:t xml:space="preserve"> </w:t>
      </w:r>
      <w:r>
        <w:rPr>
          <w:i/>
          <w:iCs/>
        </w:rPr>
        <w:t xml:space="preserve">within a notified category</w:t>
      </w:r>
      <w:r>
        <w:t xml:space="preserve">, while the exemption is about</w:t>
      </w:r>
      <w:r>
        <w:t xml:space="preserve"> </w:t>
      </w:r>
      <w:r>
        <w:rPr>
          <w:i/>
          <w:iCs/>
        </w:rPr>
        <w:t xml:space="preserve">product form</w:t>
      </w:r>
      <w:r>
        <w:t xml:space="preserve">. But the FAQ dates from 2018 and</w:t>
      </w:r>
      <w:r>
        <w:t xml:space="preserve"> </w:t>
      </w:r>
      <w:r>
        <w:rPr>
          <w:b/>
          <w:bCs/>
        </w:rPr>
        <w:t xml:space="preserve">two CRO amendments landed in 2026</w:t>
      </w:r>
      <w:r>
        <w:t xml:space="preserve"> </w:t>
      </w:r>
      <w:r>
        <w:t xml:space="preserve">— S.O. 1246(E) dated 10 March 2026, in force 15 June 2026 (</w:t>
      </w:r>
      <w:hyperlink r:id="rId120">
        <w:r>
          <w:rPr>
            <w:rStyle w:val="Hyperlink"/>
          </w:rPr>
          <w:t xml:space="preserve">India Law</w:t>
        </w:r>
      </w:hyperlink>
      <w:r>
        <w:t xml:space="preserve">), and a reported 3 August 2026 amendment (</w:t>
      </w:r>
      <w:hyperlink r:id="rId121">
        <w:r>
          <w:rPr>
            <w:rStyle w:val="Hyperlink"/>
          </w:rPr>
          <w:t xml:space="preserve">Absolute Veritas</w:t>
        </w:r>
      </w:hyperlink>
      <w:r>
        <w:t xml:space="preserve">) — while the IS 10322:2026 revision itself</w:t>
      </w:r>
      <w:r>
        <w:t xml:space="preserve"> </w:t>
      </w:r>
      <w:r>
        <w:rPr>
          <w:b/>
          <w:bCs/>
        </w:rPr>
        <w:t xml:space="preserve">adds explicit provisions for battery-operated luminaires</w:t>
      </w:r>
      <w:r>
        <w:t xml:space="preserve"> </w:t>
      </w:r>
      <w:r>
        <w:t xml:space="preserve">(</w:t>
      </w:r>
      <w:hyperlink r:id="rId122">
        <w:r>
          <w:rPr>
            <w:rStyle w:val="Hyperlink"/>
          </w:rPr>
          <w:t xml:space="preserve">SS Global Services</w:t>
        </w:r>
      </w:hyperlink>
      <w:r>
        <w:t xml:space="preserve">), which suggests BIS is tightening around exactly this space.</w:t>
      </w:r>
    </w:p>
    <w:p>
      <w:pPr>
        <w:pStyle w:val="BodyText"/>
      </w:pPr>
      <w:r>
        <w:rPr>
          <w:b/>
          <w:bCs/>
        </w:rPr>
        <w:t xml:space="preserve">Treat the exemption as a real off-ramp that must be confirmed in writing before you build a business on it, and as potentially time-limited.</w:t>
      </w:r>
      <w:r>
        <w:t xml:space="preserve"> </w:t>
      </w:r>
      <w:r>
        <w:t xml:space="preserve">Pull</w:t>
      </w:r>
      <w:r>
        <w:t xml:space="preserve"> </w:t>
      </w:r>
      <w:r>
        <w:rPr>
          <w:rStyle w:val="VerbatimChar"/>
        </w:rPr>
        <w:t xml:space="preserve">crsbis.in/BIS/app_srv/tdc/gl/docs/Revised_FAQs.pdf</w:t>
      </w:r>
      <w:r>
        <w:t xml:space="preserve">, find the portable/battery Q&amp;A, quote the wording, and check it against the 2026 amendments. This is the highest-value verification task in the entire project.</w:t>
      </w:r>
    </w:p>
    <w:bookmarkEnd w:id="123"/>
    <w:bookmarkStart w:id="130" w:name="X2d58fc462a4a769a3942b8855fbc94a36a24e99"/>
    <w:p>
      <w:pPr>
        <w:pStyle w:val="Heading3"/>
      </w:pPr>
      <w:r>
        <w:t xml:space="preserve">The 3D-printed enclosure: no for mains, qualified yes for SELV</w:t>
      </w:r>
    </w:p>
    <w:p>
      <w:pPr>
        <w:pStyle w:val="FirstParagraph"/>
      </w:pPr>
      <w:r>
        <w:rPr>
          <w:b/>
          <w:bCs/>
        </w:rPr>
        <w:t xml:space="preserve">Direct verdict: for a mains-connected luminaire, in-house FDM printing is not a viable route to a BIS-certified enclosure.</w:t>
      </w:r>
      <w:r>
        <w:t xml:space="preserve"> </w:t>
      </w:r>
      <w:r>
        <w:t xml:space="preserve">Three independent problems.</w:t>
      </w:r>
    </w:p>
    <w:p>
      <w:pPr>
        <w:pStyle w:val="BodyText"/>
      </w:pPr>
      <w:r>
        <w:rPr>
          <w:b/>
          <w:bCs/>
        </w:rPr>
        <w:t xml:space="preserve">First, the tests are severe and escalate by function.</w:t>
      </w:r>
      <w:r>
        <w:t xml:space="preserve"> </w:t>
      </w:r>
      <w:r>
        <w:t xml:space="preserve">Glow wire: parts subjected to a nickel-chromium wire at</w:t>
      </w:r>
      <w:r>
        <w:t xml:space="preserve"> </w:t>
      </w:r>
      <w:r>
        <w:rPr>
          <w:b/>
          <w:bCs/>
        </w:rPr>
        <w:t xml:space="preserve">650°C</w:t>
      </w:r>
      <w:r>
        <w:t xml:space="preserve">, with flame or glowing extinguishing</w:t>
      </w:r>
      <w:r>
        <w:t xml:space="preserve"> </w:t>
      </w:r>
      <w:r>
        <w:rPr>
          <w:b/>
          <w:bCs/>
        </w:rPr>
        <w:t xml:space="preserve">within 30 seconds</w:t>
      </w:r>
      <w:r>
        <w:t xml:space="preserve"> </w:t>
      </w:r>
      <w:r>
        <w:t xml:space="preserve">of withdrawal and no burning drop igniting tissue paper 200 mm below (</w:t>
      </w:r>
      <w:hyperlink r:id="rId124">
        <w:r>
          <w:rPr>
            <w:rStyle w:val="Hyperlink"/>
          </w:rPr>
          <w:t xml:space="preserve">TRILUX</w:t>
        </w:r>
      </w:hyperlink>
      <w:r>
        <w:t xml:space="preserve">).</w:t>
      </w:r>
      <w:r>
        <w:t xml:space="preserve"> </w:t>
      </w:r>
      <w:r>
        <w:rPr>
          <w:b/>
          <w:bCs/>
        </w:rPr>
        <w:t xml:space="preserve">Insulating parts supporting live parts of a certain wattage must pass at 960°C</w:t>
      </w:r>
      <w:r>
        <w:t xml:space="preserve"> </w:t>
      </w:r>
      <w:r>
        <w:t xml:space="preserve">(</w:t>
      </w:r>
      <w:hyperlink r:id="rId125">
        <w:r>
          <w:rPr>
            <w:rStyle w:val="Hyperlink"/>
          </w:rPr>
          <w:t xml:space="preserve">LISUN</w:t>
        </w:r>
      </w:hyperlink>
      <w:r>
        <w:t xml:space="preserve">). The full battery is</w:t>
      </w:r>
      <w:r>
        <w:t xml:space="preserve"> </w:t>
      </w:r>
      <w:r>
        <w:rPr>
          <w:b/>
          <w:bCs/>
        </w:rPr>
        <w:t xml:space="preserve">ball pressure, glow wire, CTI and needle flame</w:t>
      </w:r>
      <w:r>
        <w:t xml:space="preserve"> </w:t>
      </w:r>
      <w:r>
        <w:t xml:space="preserve">(</w:t>
      </w:r>
      <w:hyperlink r:id="rId126">
        <w:r>
          <w:rPr>
            <w:rStyle w:val="Hyperlink"/>
          </w:rPr>
          <w:t xml:space="preserve">LVT</w:t>
        </w:r>
      </w:hyperlink>
      <w:r>
        <w:t xml:space="preserve">). And the IS 10322:2026 revision</w:t>
      </w:r>
      <w:r>
        <w:t xml:space="preserve"> </w:t>
      </w:r>
      <w:r>
        <w:rPr>
          <w:b/>
          <w:bCs/>
        </w:rPr>
        <w:t xml:space="preserve">raises the enclosure bar further by adding IPX9</w:t>
      </w:r>
      <w:r>
        <w:t xml:space="preserve">.</w:t>
      </w:r>
    </w:p>
    <w:p>
      <w:pPr>
        <w:pStyle w:val="BodyText"/>
      </w:pPr>
      <w:r>
        <w:rPr>
          <w:b/>
          <w:bCs/>
        </w:rPr>
        <w:t xml:space="preserve">Second, a filament’s V-0 rating does not follow the polymer into your printer.</w:t>
      </w:r>
      <w:r>
        <w:t xml:space="preserve"> </w:t>
      </w:r>
      <w:r>
        <w:t xml:space="preserve">This is the decisive finding:</w:t>
      </w:r>
      <w:r>
        <w:t xml:space="preserve"> </w:t>
      </w:r>
      <w:r>
        <w:rPr>
          <w:b/>
          <w:bCs/>
        </w:rPr>
        <w:t xml:space="preserve">UL issues a</w:t>
      </w:r>
      <w:r>
        <w:rPr>
          <w:b/>
          <w:bCs/>
        </w:rPr>
        <w:t xml:space="preserve"> </w:t>
      </w:r>
      <w:r>
        <w:rPr>
          <w:b/>
          <w:bCs/>
        </w:rPr>
        <w:t xml:space="preserve">“Blue Card”</w:t>
      </w:r>
      <w:r>
        <w:rPr>
          <w:b/>
          <w:bCs/>
        </w:rPr>
        <w:t xml:space="preserve"> </w:t>
      </w:r>
      <w:r>
        <w:rPr>
          <w:b/>
          <w:bCs/>
        </w:rPr>
        <w:t xml:space="preserve">for material tested and certified specifically for additive manufacturing, and a</w:t>
      </w:r>
      <w:r>
        <w:rPr>
          <w:b/>
          <w:bCs/>
        </w:rPr>
        <w:t xml:space="preserve"> </w:t>
      </w:r>
      <w:r>
        <w:rPr>
          <w:b/>
          <w:bCs/>
        </w:rPr>
        <w:t xml:space="preserve">“Yellow Card”</w:t>
      </w:r>
      <w:r>
        <w:rPr>
          <w:b/>
          <w:bCs/>
        </w:rPr>
        <w:t xml:space="preserve"> </w:t>
      </w:r>
      <w:r>
        <w:rPr>
          <w:b/>
          <w:bCs/>
        </w:rPr>
        <w:t xml:space="preserve">for material tested by conventional methods but not through the AM process</w:t>
      </w:r>
      <w:r>
        <w:t xml:space="preserve"> </w:t>
      </w:r>
      <w:r>
        <w:t xml:space="preserve">(</w:t>
      </w:r>
      <w:hyperlink r:id="rId127">
        <w:r>
          <w:rPr>
            <w:rStyle w:val="Hyperlink"/>
          </w:rPr>
          <w:t xml:space="preserve">Forge Labs</w:t>
        </w:r>
      </w:hyperlink>
      <w:r>
        <w:t xml:space="preserve">). A spool advertising</w:t>
      </w:r>
      <w:r>
        <w:t xml:space="preserve"> </w:t>
      </w:r>
      <w:r>
        <w:t xml:space="preserve">“UL94 V-0 certified”</w:t>
      </w:r>
      <w:r>
        <w:t xml:space="preserve"> </w:t>
      </w:r>
      <w:r>
        <w:t xml:space="preserve">is almost always quoting a Yellow Card earned on a moulded 3 mm plaque. UL created a separate programme precisely because AM-processed parts behave differently.</w:t>
      </w:r>
      <w:r>
        <w:t xml:space="preserve"> </w:t>
      </w:r>
      <w:r>
        <w:rPr>
          <w:b/>
          <w:bCs/>
        </w:rPr>
        <w:t xml:space="preserve">Ratings are also thickness-specific — V-0 at 3 mm can be V-1 at 1 mm — and print parameters influence flame-retardant performance.</w:t>
      </w:r>
      <w:r>
        <w:t xml:space="preserve"> </w:t>
      </w:r>
      <w:r>
        <w:t xml:space="preserve">Vendors say so themselves:</w:t>
      </w:r>
      <w:r>
        <w:t xml:space="preserve"> </w:t>
      </w:r>
      <w:r>
        <w:t xml:space="preserve">“material properties may vary based on part geometry, print orientation, print settings, and temperature”</w:t>
      </w:r>
      <w:r>
        <w:t xml:space="preserve"> </w:t>
      </w:r>
      <w:r>
        <w:t xml:space="preserve">(</w:t>
      </w:r>
      <w:hyperlink r:id="rId128">
        <w:r>
          <w:rPr>
            <w:rStyle w:val="Hyperlink"/>
          </w:rPr>
          <w:t xml:space="preserve">SUNLU</w:t>
        </w:r>
      </w:hyperlink>
      <w:r>
        <w:t xml:space="preserve">), and HP explicitly disclaims that its 3D products have</w:t>
      </w:r>
      <w:r>
        <w:t xml:space="preserve"> </w:t>
      </w:r>
      <w:r>
        <w:t xml:space="preserve">“not been designed, manufactured or tested by HP for compliance with legal requirements”</w:t>
      </w:r>
      <w:r>
        <w:t xml:space="preserve"> </w:t>
      </w:r>
      <w:r>
        <w:t xml:space="preserve">(</w:t>
      </w:r>
      <w:hyperlink r:id="rId129">
        <w:r>
          <w:rPr>
            <w:rStyle w:val="Hyperlink"/>
          </w:rPr>
          <w:t xml:space="preserve">HP PA 12 UL94/746A document</w:t>
        </w:r>
      </w:hyperlink>
      <w:r>
        <w:t xml:space="preserve">).</w:t>
      </w:r>
    </w:p>
    <w:p>
      <w:pPr>
        <w:pStyle w:val="BodyText"/>
      </w:pPr>
      <w:r>
        <w:rPr>
          <w:b/>
          <w:bCs/>
        </w:rPr>
        <w:t xml:space="preserve">Third, the standards assume production units are identical to the tested sample, and FDM does not deliver that.</w:t>
      </w:r>
      <w:r>
        <w:t xml:space="preserve"> </w:t>
      </w:r>
      <w:r>
        <w:t xml:space="preserve">Layer lines are preferential flame-propagation and melt-drip paths; inter-layer voids defeat any meaningful IP rating without post-processing; Z-axis adhesion makes impact results orientation-dependent.</w:t>
      </w:r>
      <w:r>
        <w:t xml:space="preserve"> </w:t>
      </w:r>
      <w:r>
        <w:rPr>
          <w:b/>
          <w:bCs/>
        </w:rPr>
        <w:t xml:space="preserve">No source found any evidence that BIS or IEC standards contemplate additive manufacturing at all</w:t>
      </w:r>
      <w:r>
        <w:t xml:space="preserve"> </w:t>
      </w:r>
      <w:r>
        <w:t xml:space="preserve">— no AM clause, no process-control annex, no route for a lab to certify</w:t>
      </w:r>
      <w:r>
        <w:t xml:space="preserve"> </w:t>
      </w:r>
      <w:r>
        <w:t xml:space="preserve">“this printer, these parameters.”</w:t>
      </w:r>
      <w:r>
        <w:t xml:space="preserve"> </w:t>
      </w:r>
      <w:r>
        <w:t xml:space="preserve">You would be asking an assessor to accept an undocumented process. Some will simply refuse.</w:t>
      </w:r>
    </w:p>
    <w:p>
      <w:pPr>
        <w:pStyle w:val="BodyText"/>
      </w:pPr>
      <w:r>
        <w:rPr>
          <w:b/>
          <w:bCs/>
        </w:rPr>
        <w:t xml:space="preserve">Material verdicts</w:t>
      </w:r>
      <w:r>
        <w:t xml:space="preserve"> </w:t>
      </w:r>
      <w:r>
        <w:rPr>
          <w:i/>
          <w:iCs/>
        </w:rPr>
        <w:t xml:space="preserve">(Tg values and ball-pressure temperatures below are stated from engineering knowledge, not from a fetched source — get filament datasheets and the IS 10322 Part 1:2026 text before relying on them)</w:t>
      </w:r>
      <w:r>
        <w:t xml:space="preserve">:</w:t>
      </w:r>
      <w:r>
        <w:t xml:space="preserve"> </w:t>
      </w:r>
      <w:r>
        <w:rPr>
          <w:b/>
          <w:bCs/>
        </w:rPr>
        <w:t xml:space="preserve">PLA is dead on arrival</w:t>
      </w:r>
      <w:r>
        <w:t xml:space="preserve"> </w:t>
      </w:r>
      <w:r>
        <w:t xml:space="preserve">(Tg ~55–60°C, below the 75°C external-parts threshold; drips when burned).</w:t>
      </w:r>
      <w:r>
        <w:t xml:space="preserve"> </w:t>
      </w:r>
      <w:r>
        <w:rPr>
          <w:b/>
          <w:bCs/>
        </w:rPr>
        <w:t xml:space="preserve">PETG</w:t>
      </w:r>
      <w:r>
        <w:t xml:space="preserve"> </w:t>
      </w:r>
      <w:r>
        <w:t xml:space="preserve">(Tg ~80°C) has no margin and is not flame retardant.</w:t>
      </w:r>
      <w:r>
        <w:t xml:space="preserve"> </w:t>
      </w:r>
      <w:r>
        <w:rPr>
          <w:b/>
          <w:bCs/>
        </w:rPr>
        <w:t xml:space="preserve">Standard ABS/ASA is HB-rated and burns readily</w:t>
      </w:r>
      <w:r>
        <w:t xml:space="preserve"> </w:t>
      </w:r>
      <w:r>
        <w:t xml:space="preserve">— FR-ABS (V-0) is the only serious FDM candidate.</w:t>
      </w:r>
      <w:r>
        <w:t xml:space="preserve"> </w:t>
      </w:r>
      <w:r>
        <w:rPr>
          <w:b/>
          <w:bCs/>
        </w:rPr>
        <w:t xml:space="preserve">PC-FR</w:t>
      </w:r>
      <w:r>
        <w:t xml:space="preserve"> </w:t>
      </w:r>
      <w:r>
        <w:t xml:space="preserve">has the best thermal performance (Tg ~145°C) and reaches V-0, and is what a serious attempt would use.</w:t>
      </w:r>
      <w:r>
        <w:t xml:space="preserve"> </w:t>
      </w:r>
      <w:r>
        <w:rPr>
          <w:b/>
          <w:bCs/>
        </w:rPr>
        <w:t xml:space="preserve">Nylon/PA is disqualified by hygroscopic dimensional instability</w:t>
      </w:r>
      <w:r>
        <w:t xml:space="preserve"> </w:t>
      </w:r>
      <w:r>
        <w:t xml:space="preserve">in a part that must hold an IP rating and creepage geometry reproducibly.</w:t>
      </w:r>
    </w:p>
    <w:p>
      <w:pPr>
        <w:pStyle w:val="BodyText"/>
      </w:pPr>
      <w:r>
        <w:rPr>
          <w:b/>
          <w:bCs/>
        </w:rPr>
        <w:t xml:space="preserve">The SELV escape route is where the risk profile genuinely inverts.</w:t>
      </w:r>
      <w:r>
        <w:t xml:space="preserve"> </w:t>
      </w:r>
      <w:r>
        <w:t xml:space="preserve">The flammability regime in IEC/IS 60598-1 is</w:t>
      </w:r>
      <w:r>
        <w:t xml:space="preserve"> </w:t>
      </w:r>
      <w:r>
        <w:rPr>
          <w:b/>
          <w:bCs/>
        </w:rPr>
        <w:t xml:space="preserve">graduated by what the part does</w:t>
      </w:r>
      <w:r>
        <w:t xml:space="preserve"> </w:t>
      </w:r>
      <w:r>
        <w:t xml:space="preserve">— parts that fixate live components face 960°C, parts that do not face the lower stipulation (</w:t>
      </w:r>
      <w:hyperlink r:id="rId124">
        <w:r>
          <w:rPr>
            <w:rStyle w:val="Hyperlink"/>
          </w:rPr>
          <w:t xml:space="preserve">TRILUX</w:t>
        </w:r>
      </w:hyperlink>
      <w:r>
        <w:t xml:space="preserve">). The hazard the test simulates is a mains fault current igniting the plastic around it.</w:t>
      </w:r>
      <w:r>
        <w:t xml:space="preserve"> </w:t>
      </w:r>
      <w:r>
        <w:rPr>
          <w:b/>
          <w:bCs/>
        </w:rPr>
        <w:t xml:space="preserve">Remove the mains and you remove the ignition source the test exists to model.</w:t>
      </w:r>
      <w:r>
        <w:t xml:space="preserve"> </w:t>
      </w:r>
      <w:r>
        <w:t xml:space="preserve">A SELV product running off a lithium pack has no live part in the regulatory sense for the enclosure to retain; the enclosure stops being a fire barrier and becomes a mechanical housing. Layer that on the portable-luminaire exemption and the battery-only variant potentially exits</w:t>
      </w:r>
      <w:r>
        <w:t xml:space="preserve"> </w:t>
      </w:r>
      <w:r>
        <w:rPr>
          <w:b/>
          <w:bCs/>
        </w:rPr>
        <w:t xml:space="preserve">both</w:t>
      </w:r>
      <w:r>
        <w:t xml:space="preserve"> </w:t>
      </w:r>
      <w:r>
        <w:t xml:space="preserve">the CRS registration requirement and the severe flammability regime in one move.</w:t>
      </w:r>
    </w:p>
    <w:p>
      <w:pPr>
        <w:pStyle w:val="BodyText"/>
      </w:pPr>
      <w:r>
        <w:rPr>
          <w:b/>
          <w:bCs/>
        </w:rPr>
        <w:t xml:space="preserve">The architecture this implies:</w:t>
      </w:r>
      <w:r>
        <w:t xml:space="preserve"> </w:t>
      </w:r>
      <w:r>
        <w:t xml:space="preserve">-</w:t>
      </w:r>
      <w:r>
        <w:t xml:space="preserve"> </w:t>
      </w:r>
      <w:r>
        <w:rPr>
          <w:b/>
          <w:bCs/>
        </w:rPr>
        <w:t xml:space="preserve">Wall disc = the only mains-touching article.</w:t>
      </w:r>
      <w:r>
        <w:t xml:space="preserve"> </w:t>
      </w:r>
      <w:r>
        <w:t xml:space="preserve">Put mains entry and AC-DC conversion inside a</w:t>
      </w:r>
      <w:r>
        <w:t xml:space="preserve"> </w:t>
      </w:r>
      <w:r>
        <w:rPr>
          <w:b/>
          <w:bCs/>
        </w:rPr>
        <w:t xml:space="preserve">bought-in, already-certified enclosed power module or certified off-the-shelf enclosure</w:t>
      </w:r>
      <w:r>
        <w:t xml:space="preserve">, or use an</w:t>
      </w:r>
      <w:r>
        <w:t xml:space="preserve"> </w:t>
      </w:r>
      <w:r>
        <w:rPr>
          <w:b/>
          <w:bCs/>
        </w:rPr>
        <w:t xml:space="preserve">external, already-CRS-registered wall adaptor</w:t>
      </w:r>
      <w:r>
        <w:t xml:space="preserve"> </w:t>
      </w:r>
      <w:r>
        <w:t xml:space="preserve">so the disc itself never sees mains internally.</w:t>
      </w:r>
      <w:r>
        <w:t xml:space="preserve"> </w:t>
      </w:r>
      <w:r>
        <w:rPr>
          <w:b/>
          <w:bCs/>
        </w:rPr>
        <w:t xml:space="preserve">For the wall disc specifically — the least design-critical of the three modules — a certified off-the-shelf enclosure is very likely the correct answer.</w:t>
      </w:r>
      <w:r>
        <w:t xml:space="preserve"> </w:t>
      </w:r>
      <w:r>
        <w:t xml:space="preserve">It converts your hardest compliance problem into a purchase order.</w:t>
      </w:r>
      <w:r>
        <w:t xml:space="preserve"> </w:t>
      </w:r>
      <w:r>
        <w:t xml:space="preserve">-</w:t>
      </w:r>
      <w:r>
        <w:t xml:space="preserve"> </w:t>
      </w:r>
      <w:r>
        <w:rPr>
          <w:b/>
          <w:bCs/>
        </w:rPr>
        <w:t xml:space="preserve">Light head, battery pack, sensing node = SELV.</w:t>
      </w:r>
      <w:r>
        <w:t xml:space="preserve"> </w:t>
      </w:r>
      <w:r>
        <w:t xml:space="preserve">Printed shells are defensible. Print in FR-ABS or ASA anyway — it costs little and protects you against a rule change.</w:t>
      </w:r>
    </w:p>
    <w:p>
      <w:pPr>
        <w:pStyle w:val="BodyText"/>
      </w:pPr>
      <w:r>
        <w:rPr>
          <w:b/>
          <w:bCs/>
        </w:rPr>
        <w:t xml:space="preserve">The single highest-leverage design decision available to you is to keep mains voltage out of every enclosure you print.</w:t>
      </w:r>
      <w:r>
        <w:t xml:space="preserve"> </w:t>
      </w:r>
      <w:r>
        <w:t xml:space="preserve">Then move to injection moulding when you need a certified mains product or volume above roughly 1,000–2,000 units.</w:t>
      </w:r>
      <w:r>
        <w:t xml:space="preserve"> </w:t>
      </w:r>
      <w:r>
        <w:rPr>
          <w:i/>
          <w:iCs/>
        </w:rPr>
        <w:t xml:space="preserve">(Indian tooling costs: no citable figure was obtainable. Not stated.)</w:t>
      </w:r>
    </w:p>
    <w:bookmarkEnd w:id="130"/>
    <w:bookmarkStart w:id="140" w:name="Xd6697ab3540ec3d37e89591de1bb5483968df28"/>
    <w:p>
      <w:pPr>
        <w:pStyle w:val="Heading3"/>
      </w:pPr>
      <w:r>
        <w:t xml:space="preserve">The battery is the unavoidable cost, and it is a separate registration</w:t>
      </w:r>
    </w:p>
    <w:p>
      <w:pPr>
        <w:pStyle w:val="FirstParagraph"/>
      </w:pPr>
      <w:r>
        <w:rPr>
          <w:b/>
          <w:bCs/>
        </w:rPr>
        <w:t xml:space="preserve">Portable sealed secondary lithium cells and batteries are covered under IS 16046 (Part 2):2018</w:t>
      </w:r>
      <w:r>
        <w:t xml:space="preserve"> </w:t>
      </w:r>
      <w:r>
        <w:t xml:space="preserve">— identical to IEC 62133-2:2017 — in the Electronics and IT Goods (Compulsory Registration) Order 2021;</w:t>
      </w:r>
      <w:r>
        <w:t xml:space="preserve"> </w:t>
      </w:r>
      <w:r>
        <w:rPr>
          <w:b/>
          <w:bCs/>
        </w:rPr>
        <w:t xml:space="preserve">no manufacture, import or sale in India without a valid BIS CRS registration</w:t>
      </w:r>
      <w:r>
        <w:t xml:space="preserve">, and scope explicitly includes</w:t>
      </w:r>
      <w:r>
        <w:t xml:space="preserve"> </w:t>
      </w:r>
      <w:r>
        <w:t xml:space="preserve">“18650 and 21700 cells, pouch and prismatic cells, and</w:t>
      </w:r>
      <w:r>
        <w:t xml:space="preserve"> </w:t>
      </w:r>
      <w:r>
        <w:rPr>
          <w:b/>
          <w:bCs/>
        </w:rPr>
        <w:t xml:space="preserve">packs built from them</w:t>
      </w:r>
      <w:r>
        <w:t xml:space="preserve">”</w:t>
      </w:r>
      <w:r>
        <w:t xml:space="preserve"> </w:t>
      </w:r>
      <w:r>
        <w:t xml:space="preserve">(</w:t>
      </w:r>
      <w:hyperlink r:id="rId131">
        <w:r>
          <w:rPr>
            <w:rStyle w:val="Hyperlink"/>
          </w:rPr>
          <w:t xml:space="preserve">PCN Global</w:t>
        </w:r>
      </w:hyperlink>
      <w:r>
        <w:t xml:space="preserve">;</w:t>
      </w:r>
      <w:r>
        <w:t xml:space="preserve"> </w:t>
      </w:r>
      <w:hyperlink r:id="rId132">
        <w:r>
          <w:rPr>
            <w:rStyle w:val="Hyperlink"/>
          </w:rPr>
          <w:t xml:space="preserve">Standphill</w:t>
        </w:r>
      </w:hyperlink>
      <w:r>
        <w:t xml:space="preserve">).</w:t>
      </w:r>
    </w:p>
    <w:p>
      <w:pPr>
        <w:pStyle w:val="BodyText"/>
      </w:pPr>
      <w:r>
        <w:rPr>
          <w:b/>
          <w:bCs/>
        </w:rPr>
        <w:t xml:space="preserve">“Battery cells and battery packs shall be considered different products and must be registered separately”</w:t>
      </w:r>
      <w:r>
        <w:t xml:space="preserve"> </w:t>
      </w:r>
      <w:r>
        <w:t xml:space="preserve">(</w:t>
      </w:r>
      <w:hyperlink r:id="rId133">
        <w:r>
          <w:rPr>
            <w:rStyle w:val="Hyperlink"/>
          </w:rPr>
          <w:t xml:space="preserve">Standphill</w:t>
        </w:r>
      </w:hyperlink>
      <w:r>
        <w:t xml:space="preserve">).</w:t>
      </w:r>
      <w:r>
        <w:t xml:space="preserve"> </w:t>
      </w:r>
      <w:r>
        <w:rPr>
          <w:b/>
          <w:bCs/>
        </w:rPr>
        <w:t xml:space="preserve">Buying certified cells is a precondition, not a substitute.</w:t>
      </w:r>
      <w:r>
        <w:t xml:space="preserve"> </w:t>
      </w:r>
      <w:r>
        <w:t xml:space="preserve">A swappable pack is a separately-marketed article, which kills any</w:t>
      </w:r>
      <w:r>
        <w:t xml:space="preserve"> </w:t>
      </w:r>
      <w:r>
        <w:t xml:space="preserve">“integral battery, assessed with the host”</w:t>
      </w:r>
      <w:r>
        <w:t xml:space="preserve"> </w:t>
      </w:r>
      <w:r>
        <w:t xml:space="preserve">argument. Assembling packs in-house without a pack registration is manufacturing and selling a CRS-notified product without registration or the Standard Mark —</w:t>
      </w:r>
      <w:r>
        <w:t xml:space="preserve"> </w:t>
      </w:r>
      <w:r>
        <w:rPr>
          <w:b/>
          <w:bCs/>
        </w:rPr>
        <w:t xml:space="preserve">an offence, not a grey area</w:t>
      </w:r>
      <w:r>
        <w:t xml:space="preserve">, and in a fire case it hands a complainant a ready-made finding of illegality that colours every other issue.</w:t>
      </w:r>
    </w:p>
    <w:p>
      <w:pPr>
        <w:pStyle w:val="BodyText"/>
      </w:pPr>
      <w:r>
        <w:rPr>
          <w:b/>
          <w:bCs/>
        </w:rPr>
        <w:t xml:space="preserve">Importing pre-assembled packs is the cheaper compliance path</w:t>
      </w:r>
      <w:r>
        <w:t xml:space="preserve"> </w:t>
      </w:r>
      <w:r>
        <w:t xml:space="preserve">for a low-volume operation: the registration burden moves to the overseas pack manufacturer, and your job reduces to verifying a live R-number for that exact model and factory and keeping the certificate and UN 38.3 summary on file. The trade-off is total dependence on the supplier keeping the registration alive and not changing the pack silently.</w:t>
      </w:r>
    </w:p>
    <w:p>
      <w:pPr>
        <w:pStyle w:val="BodyText"/>
      </w:pPr>
      <w:r>
        <w:rPr>
          <w:b/>
          <w:bCs/>
        </w:rPr>
        <w:t xml:space="preserve">New in 2026: by MeitY order dated 3 February 2026, rated-capacity verification per Clause 7.3.1 of IS 16047 (Part 3):2018 is mandatory; existing licensees must comply by 30 April 2027</w:t>
      </w:r>
      <w:r>
        <w:t xml:space="preserve"> </w:t>
      </w:r>
      <w:r>
        <w:t xml:space="preserve">(</w:t>
      </w:r>
      <w:hyperlink r:id="rId134">
        <w:r>
          <w:rPr>
            <w:rStyle w:val="Hyperlink"/>
          </w:rPr>
          <w:t xml:space="preserve">PSR Compliance</w:t>
        </w:r>
      </w:hyperlink>
      <w:r>
        <w:t xml:space="preserve">;</w:t>
      </w:r>
      <w:r>
        <w:t xml:space="preserve"> </w:t>
      </w:r>
      <w:hyperlink r:id="rId135">
        <w:r>
          <w:rPr>
            <w:rStyle w:val="Hyperlink"/>
          </w:rPr>
          <w:t xml:space="preserve">Certification-India</w:t>
        </w:r>
      </w:hyperlink>
      <w:r>
        <w:t xml:space="preserve">).</w:t>
      </w:r>
      <w:r>
        <w:t xml:space="preserve"> </w:t>
      </w:r>
      <w:r>
        <w:rPr>
          <w:b/>
          <w:bCs/>
        </w:rPr>
        <w:t xml:space="preserve">The capacity number printed on the pack is now a lab-verified number, not a marketing number.</w:t>
      </w:r>
    </w:p>
    <w:p>
      <w:pPr>
        <w:pStyle w:val="BodyText"/>
      </w:pPr>
      <w:r>
        <w:rPr>
          <w:b/>
          <w:bCs/>
        </w:rPr>
        <w:t xml:space="preserve">Transport is an operational blocker, not a paperwork one.</w:t>
      </w:r>
      <w:r>
        <w:t xml:space="preserve"> </w:t>
      </w:r>
      <w:r>
        <w:t xml:space="preserve">Lithium batteries are IATA dangerous goods.</w:t>
      </w:r>
      <w:r>
        <w:t xml:space="preserve"> </w:t>
      </w:r>
      <w:r>
        <w:rPr>
          <w:b/>
          <w:bCs/>
        </w:rPr>
        <w:t xml:space="preserve">Blue Dart restricts battery-containing products on Domestic Priority (air) but accepts them on Dart Apex and Dart Surfaceline (surface)</w:t>
      </w:r>
      <w:r>
        <w:t xml:space="preserve"> </w:t>
      </w:r>
      <w:r>
        <w:t xml:space="preserve">(</w:t>
      </w:r>
      <w:hyperlink r:id="rId136">
        <w:r>
          <w:rPr>
            <w:rStyle w:val="Hyperlink"/>
          </w:rPr>
          <w:t xml:space="preserve">Blue Dart banned commodities</w:t>
        </w:r>
      </w:hyperlink>
      <w:r>
        <w:t xml:space="preserve">).</w:t>
      </w:r>
      <w:r>
        <w:t xml:space="preserve"> </w:t>
      </w:r>
      <w:r>
        <w:rPr>
          <w:b/>
          <w:bCs/>
        </w:rPr>
        <w:t xml:space="preserve">India Post permits items with inbuilt lithium-ion batteries via Parcel/Registered Parcel (surface) but restricts Speed Post, which moves by air</w:t>
      </w:r>
      <w:r>
        <w:t xml:space="preserve"> </w:t>
      </w:r>
      <w:r>
        <w:t xml:space="preserve">— following an Office Memorandum of 2 May 2021 after Speed Post parcels caught fire during aircraft handling (</w:t>
      </w:r>
      <w:hyperlink r:id="rId137">
        <w:r>
          <w:rPr>
            <w:rStyle w:val="Hyperlink"/>
          </w:rPr>
          <w:t xml:space="preserve">India Post</w:t>
        </w:r>
      </w:hyperlink>
      <w:r>
        <w:t xml:space="preserve">).</w:t>
      </w:r>
      <w:r>
        <w:t xml:space="preserve"> </w:t>
      </w:r>
      <w:r>
        <w:rPr>
          <w:b/>
          <w:bCs/>
        </w:rPr>
        <w:t xml:space="preserve">Operating rule: ship module-with-pack-installed or packed-with by surface express, never book loose spare packs on an air service or Speed Post, state ≤30% state of charge, use UN 3480/3481 marking, keep the UN 38.3 summary on file for every cell and pack type</w:t>
      </w:r>
      <w:r>
        <w:t xml:space="preserve"> </w:t>
      </w:r>
      <w:r>
        <w:t xml:space="preserve">(</w:t>
      </w:r>
      <w:hyperlink r:id="rId138">
        <w:r>
          <w:rPr>
            <w:rStyle w:val="Hyperlink"/>
          </w:rPr>
          <w:t xml:space="preserve">Compliance Gate</w:t>
        </w:r>
      </w:hyperlink>
      <w:r>
        <w:t xml:space="preserve">;</w:t>
      </w:r>
      <w:r>
        <w:t xml:space="preserve"> </w:t>
      </w:r>
      <w:hyperlink r:id="rId139">
        <w:r>
          <w:rPr>
            <w:rStyle w:val="Hyperlink"/>
          </w:rPr>
          <w:t xml:space="preserve">IATA Lithium Battery Guidance Document 2026</w:t>
        </w:r>
      </w:hyperlink>
      <w:r>
        <w:t xml:space="preserve">).</w:t>
      </w:r>
    </w:p>
    <w:bookmarkEnd w:id="140"/>
    <w:bookmarkStart w:id="151" w:name="Xbd6630a54ac6e78783749b51d2e0d89184394dd"/>
    <w:p>
      <w:pPr>
        <w:pStyle w:val="Heading3"/>
      </w:pPr>
      <w:r>
        <w:t xml:space="preserve">The radio is trivial. Do not let it drive any decision.</w:t>
      </w:r>
    </w:p>
    <w:p>
      <w:pPr>
        <w:pStyle w:val="FirstParagraph"/>
      </w:pPr>
      <w:r>
        <w:rPr>
          <w:b/>
          <w:bCs/>
        </w:rPr>
        <w:t xml:space="preserve">WPC ETA is self-declaration: file on Saral Sanchar, pay ₹10,000 per model via Bharatkosh, certificate in 1–7 working days, no renewal required under current 2026 guidelines</w:t>
      </w:r>
      <w:r>
        <w:t xml:space="preserve"> </w:t>
      </w:r>
      <w:r>
        <w:t xml:space="preserve">(</w:t>
      </w:r>
      <w:hyperlink r:id="rId141">
        <w:r>
          <w:rPr>
            <w:rStyle w:val="Hyperlink"/>
          </w:rPr>
          <w:t xml:space="preserve">DoT eServices</w:t>
        </w:r>
      </w:hyperlink>
      <w:r>
        <w:t xml:space="preserve">;</w:t>
      </w:r>
      <w:r>
        <w:t xml:space="preserve"> </w:t>
      </w:r>
      <w:hyperlink r:id="rId142">
        <w:r>
          <w:rPr>
            <w:rStyle w:val="Hyperlink"/>
          </w:rPr>
          <w:t xml:space="preserve">SIACC</w:t>
        </w:r>
      </w:hyperlink>
      <w:r>
        <w:t xml:space="preserve">;</w:t>
      </w:r>
      <w:r>
        <w:t xml:space="preserve"> </w:t>
      </w:r>
      <w:hyperlink r:id="rId143">
        <w:r>
          <w:rPr>
            <w:rStyle w:val="Hyperlink"/>
          </w:rPr>
          <w:t xml:space="preserve">IMARC Engineering</w:t>
        </w:r>
      </w:hyperlink>
      <w:r>
        <w:t xml:space="preserve">). Test basis is typically</w:t>
      </w:r>
      <w:r>
        <w:t xml:space="preserve"> </w:t>
      </w:r>
      <w:r>
        <w:rPr>
          <w:b/>
          <w:bCs/>
        </w:rPr>
        <w:t xml:space="preserve">EN 300 328</w:t>
      </w:r>
      <w:r>
        <w:t xml:space="preserve"> </w:t>
      </w:r>
      <w:r>
        <w:t xml:space="preserve">for 2.4 GHz.</w:t>
      </w:r>
      <w:r>
        <w:t xml:space="preserve"> </w:t>
      </w:r>
      <w:r>
        <w:rPr>
          <w:b/>
          <w:bCs/>
        </w:rPr>
        <w:t xml:space="preserve">India de-licensed the lower 6 GHz band (5945–6425 MHz) by GSR 47(E) on 20 January 2026.</w:t>
      </w:r>
      <w:r>
        <w:t xml:space="preserve"> </w:t>
      </w:r>
      <w:r>
        <w:rPr>
          <w:i/>
          <w:iCs/>
        </w:rPr>
        <w:t xml:space="preserve">(You asked about GSR 45(E) and 1050(E) — neither could be confirmed. Do not cite them.)</w:t>
      </w:r>
    </w:p>
    <w:p>
      <w:pPr>
        <w:pStyle w:val="BodyText"/>
      </w:pPr>
      <w:r>
        <w:rPr>
          <w:b/>
          <w:bCs/>
        </w:rPr>
        <w:t xml:space="preserve">Where RF modules are fitted without any modification or alteration into finished products manufactured in India, no separate ETA is required for the finished product</w:t>
      </w:r>
      <w:r>
        <w:t xml:space="preserve">, and an existing ETA-SD</w:t>
      </w:r>
      <w:r>
        <w:t xml:space="preserve"> </w:t>
      </w:r>
      <w:r>
        <w:t xml:space="preserve">“may subsequently be utilized by other persons”</w:t>
      </w:r>
      <w:r>
        <w:t xml:space="preserve"> </w:t>
      </w:r>
      <w:r>
        <w:t xml:space="preserve">(</w:t>
      </w:r>
      <w:hyperlink r:id="rId144">
        <w:r>
          <w:rPr>
            <w:rStyle w:val="Hyperlink"/>
          </w:rPr>
          <w:t xml:space="preserve">ASC Group</w:t>
        </w:r>
      </w:hyperlink>
      <w:r>
        <w:t xml:space="preserve">;</w:t>
      </w:r>
      <w:r>
        <w:t xml:space="preserve"> </w:t>
      </w:r>
      <w:hyperlink r:id="rId145">
        <w:r>
          <w:rPr>
            <w:rStyle w:val="Hyperlink"/>
          </w:rPr>
          <w:t xml:space="preserve">Granite River Labs</w:t>
        </w:r>
      </w:hyperlink>
      <w:r>
        <w:t xml:space="preserve">). This is</w:t>
      </w:r>
      <w:r>
        <w:t xml:space="preserve"> </w:t>
      </w:r>
      <w:r>
        <w:rPr>
          <w:b/>
          <w:bCs/>
        </w:rPr>
        <w:t xml:space="preserve">looser than FCC modular approval</w:t>
      </w:r>
      <w:r>
        <w:t xml:space="preserve">, which keeps the integrator responsible for antenna match, RF exposure and</w:t>
      </w:r>
      <w:r>
        <w:t xml:space="preserve"> </w:t>
      </w:r>
      <w:r>
        <w:t xml:space="preserve">“Contains FCC ID”</w:t>
      </w:r>
      <w:r>
        <w:t xml:space="preserve"> </w:t>
      </w:r>
      <w:r>
        <w:t xml:space="preserve">labelling.</w:t>
      </w:r>
      <w:r>
        <w:t xml:space="preserve"> </w:t>
      </w:r>
      <w:r>
        <w:rPr>
          <w:b/>
          <w:bCs/>
        </w:rPr>
        <w:t xml:space="preserve">But</w:t>
      </w:r>
      <w:r>
        <w:rPr>
          <w:b/>
          <w:bCs/>
        </w:rPr>
        <w:t xml:space="preserve"> </w:t>
      </w:r>
      <w:r>
        <w:rPr>
          <w:b/>
          <w:bCs/>
        </w:rPr>
        <w:t xml:space="preserve">“without any modification or alteration”</w:t>
      </w:r>
      <w:r>
        <w:rPr>
          <w:b/>
          <w:bCs/>
        </w:rPr>
        <w:t xml:space="preserve"> </w:t>
      </w:r>
      <w:r>
        <w:rPr>
          <w:b/>
          <w:bCs/>
        </w:rPr>
        <w:t xml:space="preserve">is doing all the work</w:t>
      </w:r>
      <w:r>
        <w:t xml:space="preserve"> </w:t>
      </w:r>
      <w:r>
        <w:t xml:space="preserve">— changing the antenna from the module’s own to a PCB trace or external whip is plausibly an alteration.</w:t>
      </w:r>
      <w:r>
        <w:t xml:space="preserve"> </w:t>
      </w:r>
      <w:r>
        <w:rPr>
          <w:b/>
          <w:bCs/>
        </w:rPr>
        <w:t xml:space="preserve">And your PCBAs are imported with the module already mounted</w:t>
      </w:r>
      <w:r>
        <w:t xml:space="preserve">, which sits ambiguously between</w:t>
      </w:r>
      <w:r>
        <w:t xml:space="preserve"> </w:t>
      </w:r>
      <w:r>
        <w:t xml:space="preserve">“finished product manufactured in India”</w:t>
      </w:r>
      <w:r>
        <w:t xml:space="preserve"> </w:t>
      </w:r>
      <w:r>
        <w:t xml:space="preserve">and</w:t>
      </w:r>
      <w:r>
        <w:t xml:space="preserve"> </w:t>
      </w:r>
      <w:r>
        <w:t xml:space="preserve">“imported assembly containing an RF module.”</w:t>
      </w:r>
      <w:r>
        <w:t xml:space="preserve"> </w:t>
      </w:r>
      <w:r>
        <w:t xml:space="preserve">At ₹10,000 and a few days,</w:t>
      </w:r>
      <w:r>
        <w:t xml:space="preserve"> </w:t>
      </w:r>
      <w:r>
        <w:rPr>
          <w:b/>
          <w:bCs/>
        </w:rPr>
        <w:t xml:space="preserve">file your own ETA-SD anyway.</w:t>
      </w:r>
      <w:r>
        <w:t xml:space="preserve"> </w:t>
      </w:r>
      <w:r>
        <w:t xml:space="preserve">The argument is not worth having with a customs officer —</w:t>
      </w:r>
      <w:r>
        <w:t xml:space="preserve"> </w:t>
      </w:r>
      <w:r>
        <w:rPr>
          <w:b/>
          <w:bCs/>
        </w:rPr>
        <w:t xml:space="preserve">imports of radio equipment without prior WPC permission are confiscated at the point of entry</w:t>
      </w:r>
      <w:r>
        <w:t xml:space="preserve"> </w:t>
      </w:r>
      <w:r>
        <w:t xml:space="preserve">(</w:t>
      </w:r>
      <w:hyperlink r:id="rId144">
        <w:r>
          <w:rPr>
            <w:rStyle w:val="Hyperlink"/>
          </w:rPr>
          <w:t xml:space="preserve">ASC Group</w:t>
        </w:r>
      </w:hyperlink>
      <w:r>
        <w:t xml:space="preserve">).</w:t>
      </w:r>
    </w:p>
    <w:p>
      <w:pPr>
        <w:pStyle w:val="BodyText"/>
      </w:pPr>
      <w:r>
        <w:t xml:space="preserve">Use a module that already holds an Indian ETA — Espressif publishes theirs (</w:t>
      </w:r>
      <w:r>
        <w:rPr>
          <w:b/>
          <w:bCs/>
        </w:rPr>
        <w:t xml:space="preserve">ETA-SD-20200704087, ESP32-PICO-V3-ZERO</w:t>
      </w:r>
      <w:r>
        <w:t xml:space="preserve">,</w:t>
      </w:r>
      <w:r>
        <w:t xml:space="preserve"> </w:t>
      </w:r>
      <w:hyperlink r:id="rId146">
        <w:r>
          <w:rPr>
            <w:rStyle w:val="Hyperlink"/>
          </w:rPr>
          <w:t xml:space="preserve">certificate PDF</w:t>
        </w:r>
      </w:hyperlink>
      <w:r>
        <w:t xml:space="preserve">) — and get the certificate and EN 300 328 report from the vendor</w:t>
      </w:r>
      <w:r>
        <w:t xml:space="preserve"> </w:t>
      </w:r>
      <w:r>
        <w:rPr>
          <w:i/>
          <w:iCs/>
        </w:rPr>
        <w:t xml:space="preserve">before</w:t>
      </w:r>
      <w:r>
        <w:t xml:space="preserve"> </w:t>
      </w:r>
      <w:r>
        <w:t xml:space="preserve">designing it in.</w:t>
      </w:r>
    </w:p>
    <w:p>
      <w:pPr>
        <w:pStyle w:val="BodyText"/>
      </w:pPr>
      <w:r>
        <w:rPr>
          <w:b/>
          <w:bCs/>
        </w:rPr>
        <w:t xml:space="preserve">TEC MTCTE almost certainly does not apply.</w:t>
      </w:r>
      <w:r>
        <w:t xml:space="preserve"> </w:t>
      </w:r>
      <w:r>
        <w:t xml:space="preserve">It is now in</w:t>
      </w:r>
      <w:r>
        <w:t xml:space="preserve"> </w:t>
      </w:r>
      <w:r>
        <w:rPr>
          <w:b/>
          <w:bCs/>
        </w:rPr>
        <w:t xml:space="preserve">Phase VI, mandatory from 24 August 2025</w:t>
      </w:r>
      <w:r>
        <w:t xml:space="preserve">, covering</w:t>
      </w:r>
      <w:r>
        <w:t xml:space="preserve"> </w:t>
      </w:r>
      <w:r>
        <w:rPr>
          <w:b/>
          <w:bCs/>
        </w:rPr>
        <w:t xml:space="preserve">14 categories of telecom network equipment</w:t>
      </w:r>
      <w:r>
        <w:t xml:space="preserve"> </w:t>
      </w:r>
      <w:r>
        <w:t xml:space="preserve">— IoT gateways, cellular CPE, fixed wireless telephones, LAN switches, IP routers (</w:t>
      </w:r>
      <w:hyperlink r:id="rId147">
        <w:r>
          <w:rPr>
            <w:rStyle w:val="Hyperlink"/>
          </w:rPr>
          <w:t xml:space="preserve">SGS Taiwan</w:t>
        </w:r>
      </w:hyperlink>
      <w:r>
        <w:t xml:space="preserve">;</w:t>
      </w:r>
      <w:r>
        <w:t xml:space="preserve"> </w:t>
      </w:r>
      <w:hyperlink r:id="rId148">
        <w:r>
          <w:rPr>
            <w:rStyle w:val="Hyperlink"/>
          </w:rPr>
          <w:t xml:space="preserve">CAICT GMA</w:t>
        </w:r>
      </w:hyperlink>
      <w:r>
        <w:t xml:space="preserve">).</w:t>
      </w:r>
      <w:r>
        <w:t xml:space="preserve"> </w:t>
      </w:r>
      <w:r>
        <w:rPr>
          <w:b/>
          <w:bCs/>
        </w:rPr>
        <w:t xml:space="preserve">Your luminaire and sensor are endpoints that join someone else’s Wi-Fi.</w:t>
      </w:r>
      <w:r>
        <w:t xml:space="preserve"> </w:t>
      </w:r>
      <w:r>
        <w:t xml:space="preserve">The distinction to hold:</w:t>
      </w:r>
      <w:r>
        <w:t xml:space="preserve"> </w:t>
      </w:r>
      <w:r>
        <w:rPr>
          <w:b/>
          <w:bCs/>
        </w:rPr>
        <w:t xml:space="preserve">ETA is spectrum permission —</w:t>
      </w:r>
      <w:r>
        <w:rPr>
          <w:b/>
          <w:bCs/>
        </w:rPr>
        <w:t xml:space="preserve"> </w:t>
      </w:r>
      <w:r>
        <w:rPr>
          <w:b/>
          <w:bCs/>
        </w:rPr>
        <w:t xml:space="preserve">“may you transmit?”</w:t>
      </w:r>
      <w:r>
        <w:rPr>
          <w:b/>
          <w:bCs/>
        </w:rPr>
        <w:t xml:space="preserve"> </w:t>
      </w:r>
      <w:r>
        <w:rPr>
          <w:b/>
          <w:bCs/>
        </w:rPr>
        <w:t xml:space="preserve">MTCTE is telecom-equipment conformance —</w:t>
      </w:r>
      <w:r>
        <w:rPr>
          <w:b/>
          <w:bCs/>
        </w:rPr>
        <w:t xml:space="preserve"> </w:t>
      </w:r>
      <w:r>
        <w:rPr>
          <w:b/>
          <w:bCs/>
        </w:rPr>
        <w:t xml:space="preserve">“does this network infrastructure meet Indian technical requirements?”</w:t>
      </w:r>
      <w:r>
        <w:t xml:space="preserve"> </w:t>
      </w:r>
      <w:r>
        <w:t xml:space="preserve">They are independent.</w:t>
      </w:r>
      <w:r>
        <w:t xml:space="preserve"> </w:t>
      </w:r>
      <w:r>
        <w:rPr>
          <w:b/>
          <w:bCs/>
        </w:rPr>
        <w:t xml:space="preserve">The roadmap risk: if you ever add a hub, bridge or gateway that terminates a WAN or bridges protocols, that device could land in MTCTE scope and is materially more expensive.</w:t>
      </w:r>
      <w:r>
        <w:t xml:space="preserve"> </w:t>
      </w:r>
      <w:r>
        <w:t xml:space="preserve">The phase list at</w:t>
      </w:r>
      <w:r>
        <w:t xml:space="preserve"> </w:t>
      </w:r>
      <w:r>
        <w:rPr>
          <w:rStyle w:val="VerbatimChar"/>
        </w:rPr>
        <w:t xml:space="preserve">mtcte.tec.gov.in/phaseWiseproductsList</w:t>
      </w:r>
      <w:r>
        <w:t xml:space="preserve"> </w:t>
      </w:r>
      <w:r>
        <w:t xml:space="preserve">was blocked — it is a ten-minute check, do it before launch.</w:t>
      </w:r>
    </w:p>
    <w:p>
      <w:pPr>
        <w:pStyle w:val="BodyText"/>
      </w:pPr>
      <w:r>
        <w:rPr>
          <w:b/>
          <w:bCs/>
        </w:rPr>
        <w:t xml:space="preserve">One dated item you must check immediately:</w:t>
      </w:r>
      <w:r>
        <w:t xml:space="preserve"> </w:t>
      </w:r>
      <w:r>
        <w:t xml:space="preserve">a</w:t>
      </w:r>
      <w:r>
        <w:t xml:space="preserve"> </w:t>
      </w:r>
      <w:r>
        <w:rPr>
          <w:b/>
          <w:bCs/>
        </w:rPr>
        <w:t xml:space="preserve">Safety of Household, Commercial and Similar Electrical Appliances (Quality Control) Order, 2026 comes into force on 1 October 2026</w:t>
      </w:r>
      <w:r>
        <w:t xml:space="preserve">, making</w:t>
      </w:r>
      <w:r>
        <w:t xml:space="preserve"> </w:t>
      </w:r>
      <w:r>
        <w:rPr>
          <w:b/>
          <w:bCs/>
        </w:rPr>
        <w:t xml:space="preserve">ISI marking under Scheme-I mandatory for the products it lists</w:t>
      </w:r>
      <w:r>
        <w:t xml:space="preserve">, built on IS 302 (Part 1):2024 (</w:t>
      </w:r>
      <w:hyperlink r:id="rId149">
        <w:r>
          <w:rPr>
            <w:rStyle w:val="Hyperlink"/>
          </w:rPr>
          <w:t xml:space="preserve">BL-India</w:t>
        </w:r>
      </w:hyperlink>
      <w:r>
        <w:t xml:space="preserve">;</w:t>
      </w:r>
      <w:r>
        <w:t xml:space="preserve"> </w:t>
      </w:r>
      <w:hyperlink r:id="rId150">
        <w:r>
          <w:rPr>
            <w:rStyle w:val="Hyperlink"/>
          </w:rPr>
          <w:t xml:space="preserve">CliniExperts</w:t>
        </w:r>
      </w:hyperlink>
      <w:r>
        <w:t xml:space="preserve">).</w:t>
      </w:r>
      <w:r>
        <w:t xml:space="preserve"> </w:t>
      </w:r>
      <w:r>
        <w:rPr>
          <w:b/>
          <w:bCs/>
        </w:rPr>
        <w:t xml:space="preserve">The annexed product list could not be read. Whether it captures battery chargers, docking stations or luminaires is unknown.</w:t>
      </w:r>
      <w:r>
        <w:t xml:space="preserve"> </w:t>
      </w:r>
      <w:r>
        <w:t xml:space="preserve">The distinction matters enormously:</w:t>
      </w:r>
      <w:r>
        <w:t xml:space="preserve"> </w:t>
      </w:r>
      <w:r>
        <w:rPr>
          <w:b/>
          <w:bCs/>
        </w:rPr>
        <w:t xml:space="preserve">Scheme II (CRS) is a product-model registration from a lab test report plus self-declaration, with no factory audit. Scheme I (ISI) is a factory licence with BIS auditing your premises, in-house testing capability and quality control</w:t>
      </w:r>
      <w:r>
        <w:t xml:space="preserve"> </w:t>
      </w:r>
      <w:r>
        <w:t xml:space="preserve">— which is precisely where hand-assembled, 3D-printed production attracts the most scrutiny. Lighting appears to sit in CRS, but</w:t>
      </w:r>
      <w:r>
        <w:t xml:space="preserve"> </w:t>
      </w:r>
      <w:r>
        <w:rPr>
          <w:b/>
          <w:bCs/>
        </w:rPr>
        <w:t xml:space="preserve">check that list this week.</w:t>
      </w:r>
    </w:p>
    <w:bookmarkEnd w:id="151"/>
    <w:bookmarkStart w:id="186" w:name="Xb5b9dc043a35f2caae70421a7f42e4d943e284f"/>
    <w:p>
      <w:pPr>
        <w:pStyle w:val="Heading3"/>
      </w:pPr>
      <w:r>
        <w:t xml:space="preserve">Dual EPR, Legal Metrology, customs and the GST question you must not guess</w:t>
      </w:r>
    </w:p>
    <w:p>
      <w:pPr>
        <w:pStyle w:val="FirstParagraph"/>
      </w:pPr>
      <w:r>
        <w:rPr>
          <w:b/>
          <w:bCs/>
        </w:rPr>
        <w:t xml:space="preserve">You will have two EPR registrations, not one.</w:t>
      </w:r>
      <w:r>
        <w:t xml:space="preserve"> </w:t>
      </w:r>
      <w:r>
        <w:t xml:space="preserve">The E-Waste (Management) Rules 2022 expanded to</w:t>
      </w:r>
      <w:r>
        <w:t xml:space="preserve"> </w:t>
      </w:r>
      <w:r>
        <w:rPr>
          <w:b/>
          <w:bCs/>
        </w:rPr>
        <w:t xml:space="preserve">over 130 product categories</w:t>
      </w:r>
      <w:r>
        <w:t xml:space="preserve"> </w:t>
      </w:r>
      <w:r>
        <w:t xml:space="preserve">and Schedule I includes</w:t>
      </w:r>
      <w:r>
        <w:t xml:space="preserve"> </w:t>
      </w:r>
      <w:r>
        <w:rPr>
          <w:b/>
          <w:bCs/>
        </w:rPr>
        <w:t xml:space="preserve">“other lighting or equipment for the purpose of spreading or controlling light, excluding filament bulbs”</w:t>
      </w:r>
      <w:r>
        <w:t xml:space="preserve">, with average life</w:t>
      </w:r>
      <w:r>
        <w:t xml:space="preserve"> </w:t>
      </w:r>
      <w:r>
        <w:rPr>
          <w:b/>
          <w:bCs/>
        </w:rPr>
        <w:t xml:space="preserve">3 years for consumer LED</w:t>
      </w:r>
      <w:r>
        <w:t xml:space="preserve"> </w:t>
      </w:r>
      <w:r>
        <w:t xml:space="preserve">(</w:t>
      </w:r>
      <w:hyperlink r:id="rId152">
        <w:r>
          <w:rPr>
            <w:rStyle w:val="Hyperlink"/>
          </w:rPr>
          <w:t xml:space="preserve">Lexology</w:t>
        </w:r>
      </w:hyperlink>
      <w:r>
        <w:t xml:space="preserve">;</w:t>
      </w:r>
      <w:r>
        <w:t xml:space="preserve"> </w:t>
      </w:r>
      <w:hyperlink r:id="rId153">
        <w:r>
          <w:rPr>
            <w:rStyle w:val="Hyperlink"/>
          </w:rPr>
          <w:t xml:space="preserve">Clarity UPSC</w:t>
        </w:r>
      </w:hyperlink>
      <w:r>
        <w:t xml:space="preserve">).</w:t>
      </w:r>
      <w:r>
        <w:t xml:space="preserve"> </w:t>
      </w:r>
      <w:r>
        <w:rPr>
          <w:b/>
          <w:bCs/>
        </w:rPr>
        <w:t xml:space="preserve">No turnover or volume threshold exempts a small producer — no de minimis was found in any source.</w:t>
      </w:r>
      <w:r>
        <w:t xml:space="preserve"> </w:t>
      </w:r>
      <w:r>
        <w:t xml:space="preserve">New producers fall under</w:t>
      </w:r>
      <w:r>
        <w:t xml:space="preserve"> </w:t>
      </w:r>
      <w:r>
        <w:rPr>
          <w:b/>
          <w:bCs/>
        </w:rPr>
        <w:t xml:space="preserve">Schedule IV: FY 2025-26 onwards, 20% of the sales figure of two financial years prior</w:t>
      </w:r>
      <w:r>
        <w:t xml:space="preserve"> </w:t>
      </w:r>
      <w:r>
        <w:t xml:space="preserve">(</w:t>
      </w:r>
      <w:hyperlink r:id="rId154">
        <w:r>
          <w:rPr>
            <w:rStyle w:val="Hyperlink"/>
          </w:rPr>
          <w:t xml:space="preserve">Gem Recycling</w:t>
        </w:r>
      </w:hyperlink>
      <w:r>
        <w:t xml:space="preserve">). For your first two years that base is zero, so the</w:t>
      </w:r>
      <w:r>
        <w:t xml:space="preserve"> </w:t>
      </w:r>
      <w:r>
        <w:rPr>
          <w:i/>
          <w:iCs/>
        </w:rPr>
        <w:t xml:space="preserve">quantified</w:t>
      </w:r>
      <w:r>
        <w:t xml:space="preserve"> </w:t>
      </w:r>
      <w:r>
        <w:t xml:space="preserve">target is nil —</w:t>
      </w:r>
      <w:r>
        <w:t xml:space="preserve"> </w:t>
      </w:r>
      <w:r>
        <w:rPr>
          <w:b/>
          <w:bCs/>
        </w:rPr>
        <w:t xml:space="preserve">but the registration, quarterly and annual returns and RoHS obligations bite from day one</w:t>
      </w:r>
      <w:r>
        <w:t xml:space="preserve">, and from FY 2025-26 all returns are digital-only (</w:t>
      </w:r>
      <w:hyperlink r:id="rId155">
        <w:r>
          <w:rPr>
            <w:rStyle w:val="Hyperlink"/>
          </w:rPr>
          <w:t xml:space="preserve">AVI Group</w:t>
        </w:r>
      </w:hyperlink>
      <w:r>
        <w:t xml:space="preserve">).</w:t>
      </w:r>
    </w:p>
    <w:p>
      <w:pPr>
        <w:pStyle w:val="BodyText"/>
      </w:pPr>
      <w:r>
        <w:t xml:space="preserve">Separately, the</w:t>
      </w:r>
      <w:r>
        <w:t xml:space="preserve"> </w:t>
      </w:r>
      <w:r>
        <w:rPr>
          <w:b/>
          <w:bCs/>
        </w:rPr>
        <w:t xml:space="preserve">Battery Waste Management Rules 2022</w:t>
      </w:r>
      <w:r>
        <w:t xml:space="preserve"> </w:t>
      </w:r>
      <w:r>
        <w:t xml:space="preserve">cover all chemistries including Li-ion, with EPR under Rule 4(1) for batteries introduced in the market, discharged by obtaining EPR certificates from certified recyclers (</w:t>
      </w:r>
      <w:hyperlink r:id="rId156">
        <w:r>
          <w:rPr>
            <w:rStyle w:val="Hyperlink"/>
          </w:rPr>
          <w:t xml:space="preserve">IEA</w:t>
        </w:r>
      </w:hyperlink>
      <w:r>
        <w:t xml:space="preserve">;</w:t>
      </w:r>
      <w:r>
        <w:t xml:space="preserve"> </w:t>
      </w:r>
      <w:hyperlink r:id="rId157">
        <w:r>
          <w:rPr>
            <w:rStyle w:val="Hyperlink"/>
          </w:rPr>
          <w:t xml:space="preserve">CPCB Battery EPR FAQ</w:t>
        </w:r>
      </w:hyperlink>
      <w:r>
        <w:t xml:space="preserve">). Registration is on a</w:t>
      </w:r>
      <w:r>
        <w:t xml:space="preserve"> </w:t>
      </w:r>
      <w:r>
        <w:rPr>
          <w:b/>
          <w:bCs/>
        </w:rPr>
        <w:t xml:space="preserve">separate portal</w:t>
      </w:r>
      <w:r>
        <w:t xml:space="preserve"> </w:t>
      </w:r>
      <w:r>
        <w:t xml:space="preserve">(</w:t>
      </w:r>
      <w:r>
        <w:rPr>
          <w:rStyle w:val="VerbatimChar"/>
        </w:rPr>
        <w:t xml:space="preserve">eprbattery.cpcb.gov.in</w:t>
      </w:r>
      <w:r>
        <w:t xml:space="preserve">), Form 1A in, Form 1B out.</w:t>
      </w:r>
      <w:r>
        <w:t xml:space="preserve"> </w:t>
      </w:r>
      <w:r>
        <w:rPr>
          <w:b/>
          <w:bCs/>
        </w:rPr>
        <w:t xml:space="preserve">Selling spare swap packs as a standalone SKU is the clearest possible trigger for battery-producer status.</w:t>
      </w:r>
      <w:r>
        <w:t xml:space="preserve"> </w:t>
      </w:r>
      <w:r>
        <w:t xml:space="preserve">Labelling adds</w:t>
      </w:r>
      <w:r>
        <w:t xml:space="preserve"> </w:t>
      </w:r>
      <w:r>
        <w:rPr>
          <w:b/>
          <w:bCs/>
        </w:rPr>
        <w:t xml:space="preserve">battery chemistry, capacity, date of manufacture, EPR registration number and the crossed-out wheeled bin symbol</w:t>
      </w:r>
      <w:r>
        <w:t xml:space="preserve"> </w:t>
      </w:r>
      <w:r>
        <w:t xml:space="preserve">(</w:t>
      </w:r>
      <w:hyperlink r:id="rId158">
        <w:r>
          <w:rPr>
            <w:rStyle w:val="Hyperlink"/>
          </w:rPr>
          <w:t xml:space="preserve">Certification-India</w:t>
        </w:r>
      </w:hyperlink>
      <w:r>
        <w:t xml:space="preserve">).</w:t>
      </w:r>
    </w:p>
    <w:p>
      <w:pPr>
        <w:pStyle w:val="BodyText"/>
      </w:pPr>
      <w:r>
        <w:rPr>
          <w:b/>
          <w:bCs/>
        </w:rPr>
        <w:t xml:space="preserve">RoHS is self-declared but sampled.</w:t>
      </w:r>
      <w:r>
        <w:t xml:space="preserve"> </w:t>
      </w:r>
      <w:r>
        <w:t xml:space="preserve">Limits are</w:t>
      </w:r>
      <w:r>
        <w:t xml:space="preserve"> </w:t>
      </w:r>
      <w:r>
        <w:rPr>
          <w:b/>
          <w:bCs/>
        </w:rPr>
        <w:t xml:space="preserve">Lead, Mercury, Hexavalent Chromium, PBB and PBDE ≤0.1% by weight in homogeneous materials; Cadmium ≤0.01%</w:t>
      </w:r>
      <w:r>
        <w:t xml:space="preserve">, applied to the equipment and its components, parts and spares, and</w:t>
      </w:r>
      <w:r>
        <w:t xml:space="preserve"> </w:t>
      </w:r>
      <w:r>
        <w:rPr>
          <w:b/>
          <w:bCs/>
        </w:rPr>
        <w:t xml:space="preserve">CPCB is empowered to conduct random market sampling</w:t>
      </w:r>
      <w:r>
        <w:t xml:space="preserve"> </w:t>
      </w:r>
      <w:r>
        <w:t xml:space="preserve">(</w:t>
      </w:r>
      <w:hyperlink r:id="rId159">
        <w:r>
          <w:rPr>
            <w:rStyle w:val="Hyperlink"/>
          </w:rPr>
          <w:t xml:space="preserve">CPCB FAQ</w:t>
        </w:r>
      </w:hyperlink>
      <w:r>
        <w:t xml:space="preserve">;</w:t>
      </w:r>
      <w:r>
        <w:t xml:space="preserve"> </w:t>
      </w:r>
      <w:hyperlink r:id="rId160">
        <w:r>
          <w:rPr>
            <w:rStyle w:val="Hyperlink"/>
          </w:rPr>
          <w:t xml:space="preserve">C-MET</w:t>
        </w:r>
      </w:hyperlink>
      <w:r>
        <w:t xml:space="preserve">).</w:t>
      </w:r>
      <w:r>
        <w:t xml:space="preserve"> </w:t>
      </w:r>
      <w:r>
        <w:rPr>
          <w:b/>
          <w:bCs/>
        </w:rPr>
        <w:t xml:space="preserve">Your imported PCBA is the exposure. Require per-homogeneous-material RoHS test reports from the overseas assembler at PO stage.</w:t>
      </w:r>
      <w:r>
        <w:t xml:space="preserve"> </w:t>
      </w:r>
      <w:r>
        <w:t xml:space="preserve">A self-declaration unsupported by supplier reports is the audit failure mode.</w:t>
      </w:r>
    </w:p>
    <w:p>
      <w:pPr>
        <w:pStyle w:val="BodyText"/>
      </w:pPr>
      <w:r>
        <w:rPr>
          <w:b/>
          <w:bCs/>
        </w:rPr>
        <w:t xml:space="preserve">Legal Metrology is the most frequently enforced of these regimes and the cheapest to get right.</w:t>
      </w:r>
      <w:r>
        <w:t xml:space="preserve"> </w:t>
      </w:r>
      <w:r>
        <w:t xml:space="preserve">Rule 27 requires every entity that pre-packs or imports a commodity to register with the Director or Controller of Legal Metrology,</w:t>
      </w:r>
      <w:r>
        <w:t xml:space="preserve"> </w:t>
      </w:r>
      <w:r>
        <w:rPr>
          <w:b/>
          <w:bCs/>
        </w:rPr>
        <w:t xml:space="preserve">fee ₹500, within 90 days of commencing pre-packing</w:t>
      </w:r>
      <w:r>
        <w:t xml:space="preserve"> </w:t>
      </w:r>
      <w:r>
        <w:t xml:space="preserve">(</w:t>
      </w:r>
      <w:hyperlink r:id="rId161">
        <w:r>
          <w:rPr>
            <w:rStyle w:val="Hyperlink"/>
          </w:rPr>
          <w:t xml:space="preserve">Diligence Certification</w:t>
        </w:r>
      </w:hyperlink>
      <w:r>
        <w:t xml:space="preserve">). Non-registration is a ₹4,000 fine — trivial.</w:t>
      </w:r>
      <w:r>
        <w:t xml:space="preserve"> </w:t>
      </w:r>
      <w:r>
        <w:rPr>
          <w:b/>
          <w:bCs/>
        </w:rPr>
        <w:t xml:space="preserve">Section 36(1) for a non-standard package is not: up to ₹25,000 first offence, ₹50,000 second, and for subsequent offences not less than ₹50,000 up to ₹1,00,000, or imprisonment up to one year, or both</w:t>
      </w:r>
      <w:r>
        <w:t xml:space="preserve"> </w:t>
      </w:r>
      <w:r>
        <w:t xml:space="preserve">(</w:t>
      </w:r>
      <w:hyperlink r:id="rId162">
        <w:r>
          <w:rPr>
            <w:rStyle w:val="Hyperlink"/>
          </w:rPr>
          <w:t xml:space="preserve">Lexology</w:t>
        </w:r>
      </w:hyperlink>
      <w:r>
        <w:t xml:space="preserve">) —</w:t>
      </w:r>
      <w:r>
        <w:t xml:space="preserve"> </w:t>
      </w:r>
      <w:r>
        <w:rPr>
          <w:b/>
          <w:bCs/>
        </w:rPr>
        <w:t xml:space="preserve">per offence, which inspectors count per SKU and sometimes per consignment.</w:t>
      </w:r>
      <w:r>
        <w:t xml:space="preserve"> </w:t>
      </w:r>
      <w:r>
        <w:t xml:space="preserve">Rule 6 declarations: manufacturer/packer/importer name and address, generic name, net quantity, month and year of manufacture, MRP inclusive of all taxes, consumer care contact, and country of origin for imported goods. Rule 7(3):</w:t>
      </w:r>
      <w:r>
        <w:t xml:space="preserve"> </w:t>
      </w:r>
      <w:r>
        <w:rPr>
          <w:b/>
          <w:bCs/>
        </w:rPr>
        <w:t xml:space="preserve">letters not less than 1 mm, or 2 mm where blown, formed, moulded, embossed or perforated</w:t>
      </w:r>
      <w:r>
        <w:t xml:space="preserve">; numeral heights for net quantity run</w:t>
      </w:r>
      <w:r>
        <w:t xml:space="preserve"> </w:t>
      </w:r>
      <w:r>
        <w:rPr>
          <w:b/>
          <w:bCs/>
        </w:rPr>
        <w:t xml:space="preserve">1–6 mm by panel area</w:t>
      </w:r>
      <w:r>
        <w:t xml:space="preserve"> </w:t>
      </w:r>
      <w:r>
        <w:t xml:space="preserve">(2 mm at ~75 cm², 4 mm at ~150 cm²) —</w:t>
      </w:r>
      <w:r>
        <w:t xml:space="preserve"> </w:t>
      </w:r>
      <w:r>
        <w:rPr>
          <w:b/>
          <w:bCs/>
        </w:rPr>
        <w:t xml:space="preserve">the full Tables I and II could not be retrieved and are not reproduced here.</w:t>
      </w:r>
    </w:p>
    <w:p>
      <w:pPr>
        <w:pStyle w:val="BodyText"/>
      </w:pPr>
      <w:r>
        <w:rPr>
          <w:b/>
          <w:bCs/>
        </w:rPr>
        <w:t xml:space="preserve">Two Legal Metrology traps.</w:t>
      </w:r>
      <w:r>
        <w:t xml:space="preserve"> </w:t>
      </w:r>
      <w:r>
        <w:t xml:space="preserve">First,</w:t>
      </w:r>
      <w:r>
        <w:t xml:space="preserve"> </w:t>
      </w:r>
      <w:r>
        <w:rPr>
          <w:b/>
          <w:bCs/>
        </w:rPr>
        <w:t xml:space="preserve">the spare swap pack sold separately is its own pre-packaged commodity</w:t>
      </w:r>
      <w:r>
        <w:t xml:space="preserve"> </w:t>
      </w:r>
      <w:r>
        <w:t xml:space="preserve">needing its own net quantity, MRP and consumer care declaration — it cannot ride on the parent label. Second, your finished product assembled in India from an imported PCBA is</w:t>
      </w:r>
      <w:r>
        <w:t xml:space="preserve"> </w:t>
      </w:r>
      <w:r>
        <w:rPr>
          <w:b/>
          <w:bCs/>
        </w:rPr>
        <w:t xml:space="preserve">not</w:t>
      </w:r>
      <w:r>
        <w:t xml:space="preserve"> </w:t>
      </w:r>
      <w:r>
        <w:t xml:space="preserve">an</w:t>
      </w:r>
      <w:r>
        <w:t xml:space="preserve"> </w:t>
      </w:r>
      <w:r>
        <w:t xml:space="preserve">“imported product”</w:t>
      </w:r>
      <w:r>
        <w:t xml:space="preserve"> </w:t>
      </w:r>
      <w:r>
        <w:t xml:space="preserve">for Rule 6 — but if you ever import a finished pre-packed retail unit, that pack needs</w:t>
      </w:r>
      <w:r>
        <w:t xml:space="preserve"> </w:t>
      </w:r>
      <w:r>
        <w:rPr>
          <w:b/>
          <w:bCs/>
        </w:rPr>
        <w:t xml:space="preserve">importer registration under Rule 27 and country-of-origin declaration</w:t>
      </w:r>
      <w:r>
        <w:t xml:space="preserve">, plus, from</w:t>
      </w:r>
      <w:r>
        <w:t xml:space="preserve"> </w:t>
      </w:r>
      <w:r>
        <w:rPr>
          <w:b/>
          <w:bCs/>
        </w:rPr>
        <w:t xml:space="preserve">1 July 2026, the new Rule 6(10A) searchable-and-sortable country-of-origin filter on any e-commerce listing</w:t>
      </w:r>
      <w:r>
        <w:t xml:space="preserve"> </w:t>
      </w:r>
      <w:r>
        <w:t xml:space="preserve">(</w:t>
      </w:r>
      <w:hyperlink r:id="rId163">
        <w:r>
          <w:rPr>
            <w:rStyle w:val="Hyperlink"/>
          </w:rPr>
          <w:t xml:space="preserve">TeamLease RegTech</w:t>
        </w:r>
      </w:hyperlink>
      <w:r>
        <w:t xml:space="preserve">;</w:t>
      </w:r>
      <w:r>
        <w:t xml:space="preserve"> </w:t>
      </w:r>
      <w:hyperlink r:id="rId164">
        <w:r>
          <w:rPr>
            <w:rStyle w:val="Hyperlink"/>
          </w:rPr>
          <w:t xml:space="preserve">Chambers</w:t>
        </w:r>
      </w:hyperlink>
      <w:r>
        <w:t xml:space="preserve">). Two further amendment waves are live:</w:t>
      </w:r>
      <w:r>
        <w:t xml:space="preserve"> </w:t>
      </w:r>
      <w:r>
        <w:rPr>
          <w:b/>
          <w:bCs/>
        </w:rPr>
        <w:t xml:space="preserve">Second Amendment Rules 2025 effective 1 February 2026</w:t>
      </w:r>
      <w:r>
        <w:t xml:space="preserve"> </w:t>
      </w:r>
      <w:r>
        <w:t xml:space="preserve">and</w:t>
      </w:r>
      <w:r>
        <w:t xml:space="preserve"> </w:t>
      </w:r>
      <w:r>
        <w:rPr>
          <w:b/>
          <w:bCs/>
        </w:rPr>
        <w:t xml:space="preserve">Second Amendment Rules 2026 notified 27 April 2026, effective 1 July 2027.</w:t>
      </w:r>
      <w:r>
        <w:t xml:space="preserve"> </w:t>
      </w:r>
      <w:r>
        <w:rPr>
          <w:b/>
          <w:bCs/>
        </w:rPr>
        <w:t xml:space="preserve">Any label designed from pre-2025 guidance is already stale.</w:t>
      </w:r>
    </w:p>
    <w:p>
      <w:pPr>
        <w:pStyle w:val="BodyText"/>
      </w:pPr>
      <w:r>
        <w:rPr>
          <w:b/>
          <w:bCs/>
        </w:rPr>
        <w:t xml:space="preserve">On imported PCBAs: do not guess the heading — get a CAAR advance ruling.</w:t>
      </w:r>
      <w:r>
        <w:t xml:space="preserve"> </w:t>
      </w:r>
      <w:r>
        <w:t xml:space="preserve">A populated board is</w:t>
      </w:r>
      <w:r>
        <w:t xml:space="preserve"> </w:t>
      </w:r>
      <w:r>
        <w:rPr>
          <w:b/>
          <w:bCs/>
        </w:rPr>
        <w:t xml:space="preserve">not</w:t>
      </w:r>
      <w:r>
        <w:t xml:space="preserve"> </w:t>
      </w:r>
      <w:r>
        <w:t xml:space="preserve">heading 8534 (bare printed circuits). The realistic candidates are</w:t>
      </w:r>
      <w:r>
        <w:t xml:space="preserve"> </w:t>
      </w:r>
      <w:r>
        <w:rPr>
          <w:b/>
          <w:bCs/>
        </w:rPr>
        <w:t xml:space="preserve">9405 99</w:t>
      </w:r>
      <w:r>
        <w:t xml:space="preserve"> </w:t>
      </w:r>
      <w:r>
        <w:t xml:space="preserve">(parts of luminaires),</w:t>
      </w:r>
      <w:r>
        <w:t xml:space="preserve"> </w:t>
      </w:r>
      <w:r>
        <w:rPr>
          <w:b/>
          <w:bCs/>
        </w:rPr>
        <w:t xml:space="preserve">8537</w:t>
      </w:r>
      <w:r>
        <w:t xml:space="preserve"> </w:t>
      </w:r>
      <w:r>
        <w:t xml:space="preserve">(boards for electric control),</w:t>
      </w:r>
      <w:r>
        <w:t xml:space="preserve"> </w:t>
      </w:r>
      <w:r>
        <w:rPr>
          <w:b/>
          <w:bCs/>
        </w:rPr>
        <w:t xml:space="preserve">8543 70</w:t>
      </w:r>
      <w:r>
        <w:t xml:space="preserve"> </w:t>
      </w:r>
      <w:r>
        <w:t xml:space="preserve">(apparatus with individual functions n.e.s.) and</w:t>
      </w:r>
      <w:r>
        <w:t xml:space="preserve"> </w:t>
      </w:r>
      <w:r>
        <w:rPr>
          <w:b/>
          <w:bCs/>
        </w:rPr>
        <w:t xml:space="preserve">8517 70 10</w:t>
      </w:r>
      <w:r>
        <w:t xml:space="preserve"> </w:t>
      </w:r>
      <w:r>
        <w:t xml:space="preserve">(parts of telecom apparatus, on which</w:t>
      </w:r>
      <w:r>
        <w:t xml:space="preserve"> </w:t>
      </w:r>
      <w:r>
        <w:rPr>
          <w:b/>
          <w:bCs/>
        </w:rPr>
        <w:t xml:space="preserve">CBIC has imposed 10% BCD</w:t>
      </w:r>
      <w:r>
        <w:t xml:space="preserve">,</w:t>
      </w:r>
      <w:r>
        <w:t xml:space="preserve"> </w:t>
      </w:r>
      <w:hyperlink r:id="rId165">
        <w:r>
          <w:rPr>
            <w:rStyle w:val="Hyperlink"/>
          </w:rPr>
          <w:t xml:space="preserve">TaxGuru</w:t>
        </w:r>
      </w:hyperlink>
      <w:r>
        <w:t xml:space="preserve">). Because the luminaire is Chapter 94, Section XVI Note 2 does not route the board to 9405 automatically; and a board combining</w:t>
      </w:r>
      <w:r>
        <w:t xml:space="preserve"> </w:t>
      </w:r>
      <w:r>
        <w:rPr>
          <w:b/>
          <w:bCs/>
        </w:rPr>
        <w:t xml:space="preserve">LED driver + MCU + radio</w:t>
      </w:r>
      <w:r>
        <w:t xml:space="preserve"> </w:t>
      </w:r>
      <w:r>
        <w:t xml:space="preserve">could plausibly land on 8543 70 or 8537.</w:t>
      </w:r>
      <w:r>
        <w:t xml:space="preserve"> </w:t>
      </w:r>
      <w:r>
        <w:rPr>
          <w:b/>
          <w:bCs/>
        </w:rPr>
        <w:t xml:space="preserve">The radio module is what most weakens the 9405 99</w:t>
      </w:r>
      <w:r>
        <w:rPr>
          <w:b/>
          <w:bCs/>
        </w:rPr>
        <w:t xml:space="preserve"> </w:t>
      </w:r>
      <w:r>
        <w:rPr>
          <w:b/>
          <w:bCs/>
        </w:rPr>
        <w:t xml:space="preserve">“dedicated part”</w:t>
      </w:r>
      <w:r>
        <w:rPr>
          <w:b/>
          <w:bCs/>
        </w:rPr>
        <w:t xml:space="preserve"> </w:t>
      </w:r>
      <w:r>
        <w:rPr>
          <w:b/>
          <w:bCs/>
        </w:rPr>
        <w:t xml:space="preserve">position.</w:t>
      </w:r>
      <w:r>
        <w:t xml:space="preserve"> </w:t>
      </w:r>
      <w:r>
        <w:t xml:space="preserve">Getting it wrong means differential duty plus interest plus penalty on post-clearance audit, the extended limitation period if wilfulness is alleged, and it also determines whether</w:t>
      </w:r>
      <w:r>
        <w:t xml:space="preserve"> </w:t>
      </w:r>
      <w:r>
        <w:rPr>
          <w:b/>
          <w:bCs/>
        </w:rPr>
        <w:t xml:space="preserve">CHIMS</w:t>
      </w:r>
      <w:r>
        <w:t xml:space="preserve"> </w:t>
      </w:r>
      <w:r>
        <w:t xml:space="preserve">applies —</w:t>
      </w:r>
      <w:r>
        <w:t xml:space="preserve"> </w:t>
      </w:r>
      <w:r>
        <w:rPr>
          <w:b/>
          <w:bCs/>
        </w:rPr>
        <w:t xml:space="preserve">and here the brief’s assumption is wrong: CHIMS bites on 8542 integrated circuits (ITC-HS 85423100/3200/3300/3900 and 85429000), not on PCBAs generally</w:t>
      </w:r>
      <w:r>
        <w:t xml:space="preserve"> </w:t>
      </w:r>
      <w:r>
        <w:t xml:space="preserve">(</w:t>
      </w:r>
      <w:hyperlink r:id="rId166">
        <w:r>
          <w:rPr>
            <w:rStyle w:val="Hyperlink"/>
          </w:rPr>
          <w:t xml:space="preserve">Afleo</w:t>
        </w:r>
      </w:hyperlink>
      <w:r>
        <w:t xml:space="preserve">;</w:t>
      </w:r>
      <w:r>
        <w:t xml:space="preserve"> </w:t>
      </w:r>
      <w:hyperlink r:id="rId167">
        <w:r>
          <w:rPr>
            <w:rStyle w:val="Hyperlink"/>
          </w:rPr>
          <w:t xml:space="preserve">Corpbiz</w:t>
        </w:r>
      </w:hyperlink>
      <w:r>
        <w:t xml:space="preserve">). Where it does apply, registration must be made</w:t>
      </w:r>
      <w:r>
        <w:t xml:space="preserve"> </w:t>
      </w:r>
      <w:r>
        <w:rPr>
          <w:b/>
          <w:bCs/>
        </w:rPr>
        <w:t xml:space="preserve">60 days before expected arrival, separately for each shipment, and without it customs clearance cannot be obtained.</w:t>
      </w:r>
    </w:p>
    <w:p>
      <w:pPr>
        <w:pStyle w:val="BlockText"/>
      </w:pPr>
      <w:r>
        <w:rPr>
          <w:b/>
          <w:bCs/>
        </w:rPr>
        <w:t xml:space="preserve">No reliable Indian BCD rate was obtained for 9405 99, 8537, 8543 70 or 8534.</w:t>
      </w:r>
      <w:r>
        <w:t xml:space="preserve"> </w:t>
      </w:r>
      <w:r>
        <w:t xml:space="preserve">The only Indian-specific figures found were</w:t>
      </w:r>
      <w:r>
        <w:t xml:space="preserve"> </w:t>
      </w:r>
      <w:r>
        <w:rPr>
          <w:b/>
          <w:bCs/>
        </w:rPr>
        <w:t xml:space="preserve">BCD 20% for finished luminaires under 94051100</w:t>
      </w:r>
      <w:r>
        <w:t xml:space="preserve"> </w:t>
      </w:r>
      <w:r>
        <w:t xml:space="preserve">and</w:t>
      </w:r>
      <w:r>
        <w:t xml:space="preserve"> </w:t>
      </w:r>
      <w:r>
        <w:rPr>
          <w:b/>
          <w:bCs/>
        </w:rPr>
        <w:t xml:space="preserve">BCD 10% on PCBAs under 8517 70 10</w:t>
      </w:r>
      <w:r>
        <w:t xml:space="preserve">. One aggregator listed BCD 20% + SWS 10% + IGST 18% +</w:t>
      </w:r>
      <w:r>
        <w:t xml:space="preserve"> </w:t>
      </w:r>
      <w:r>
        <w:t xml:space="preserve">“AIDC 20%”</w:t>
      </w:r>
      <w:r>
        <w:t xml:space="preserve"> </w:t>
      </w:r>
      <w:r>
        <w:t xml:space="preserve">with an indicative total of ~49.15% on ₹100 assessable value —</w:t>
      </w:r>
      <w:r>
        <w:t xml:space="preserve"> </w:t>
      </w:r>
      <w:r>
        <w:rPr>
          <w:b/>
          <w:bCs/>
        </w:rPr>
        <w:t xml:space="preserve">that total is not reconcilable with those components and the AIDC line is probably spurious. The 49.15% figure is deliberately not published here.</w:t>
      </w:r>
      <w:r>
        <w:t xml:space="preserve"> </w:t>
      </w:r>
      <w:r>
        <w:t xml:space="preserve">Consult the CBIC tariff.</w:t>
      </w:r>
    </w:p>
    <w:p>
      <w:pPr>
        <w:pStyle w:val="BlockText"/>
      </w:pPr>
      <w:r>
        <w:rPr>
          <w:b/>
          <w:bCs/>
        </w:rPr>
        <w:t xml:space="preserve">HEADLINE CONFLICT — the GST rate on HSN 9405 is unresolved and you must not set an MRP on a guess.</w:t>
      </w:r>
      <w:r>
        <w:t xml:space="preserve"> </w:t>
      </w:r>
      <w:r>
        <w:t xml:space="preserve">GST was restructured effective</w:t>
      </w:r>
      <w:r>
        <w:t xml:space="preserve"> </w:t>
      </w:r>
      <w:r>
        <w:rPr>
          <w:b/>
          <w:bCs/>
        </w:rPr>
        <w:t xml:space="preserve">22 September 2025</w:t>
      </w:r>
      <w:r>
        <w:t xml:space="preserve"> </w:t>
      </w:r>
      <w:r>
        <w:t xml:space="preserve">by</w:t>
      </w:r>
      <w:r>
        <w:t xml:space="preserve"> </w:t>
      </w:r>
      <w:r>
        <w:rPr>
          <w:b/>
          <w:bCs/>
        </w:rPr>
        <w:t xml:space="preserve">Notification No. 9/2025-Central Tax (Rate) dated 17 September 2025</w:t>
      </w:r>
      <w:r>
        <w:t xml:space="preserve">, superseding Notification 1/2017-CTR; the 56th Council</w:t>
      </w:r>
      <w:r>
        <w:t xml:space="preserve"> </w:t>
      </w:r>
      <w:r>
        <w:rPr>
          <w:b/>
          <w:bCs/>
        </w:rPr>
        <w:t xml:space="preserve">removed the 12% and 28% slabs</w:t>
      </w:r>
      <w:r>
        <w:t xml:space="preserve"> </w:t>
      </w:r>
      <w:r>
        <w:t xml:space="preserve">(</w:t>
      </w:r>
      <w:hyperlink r:id="rId168">
        <w:r>
          <w:rPr>
            <w:rStyle w:val="Hyperlink"/>
          </w:rPr>
          <w:t xml:space="preserve">GST Learn</w:t>
        </w:r>
      </w:hyperlink>
      <w:r>
        <w:t xml:space="preserve">;</w:t>
      </w:r>
      <w:r>
        <w:t xml:space="preserve"> </w:t>
      </w:r>
      <w:hyperlink r:id="rId169">
        <w:r>
          <w:rPr>
            <w:rStyle w:val="Hyperlink"/>
          </w:rPr>
          <w:t xml:space="preserve">Tally Solutions</w:t>
        </w:r>
      </w:hyperlink>
      <w:r>
        <w:t xml:space="preserve">).</w:t>
      </w:r>
      <w:r>
        <w:t xml:space="preserve"> </w:t>
      </w:r>
      <w:r>
        <w:t xml:space="preserve">-</w:t>
      </w:r>
      <w:r>
        <w:t xml:space="preserve"> </w:t>
      </w:r>
      <w:r>
        <w:rPr>
          <w:b/>
          <w:bCs/>
        </w:rPr>
        <w:t xml:space="preserve">Position A — 5%:</w:t>
      </w:r>
      <w:r>
        <w:t xml:space="preserve"> </w:t>
      </w:r>
      <w:r>
        <w:t xml:space="preserve">LED lighting products previously in the 12% slab moved to 5% (</w:t>
      </w:r>
      <w:hyperlink r:id="rId170">
        <w:r>
          <w:rPr>
            <w:rStyle w:val="Hyperlink"/>
          </w:rPr>
          <w:t xml:space="preserve">Busy.in</w:t>
        </w:r>
      </w:hyperlink>
      <w:r>
        <w:t xml:space="preserve">;</w:t>
      </w:r>
      <w:r>
        <w:t xml:space="preserve"> </w:t>
      </w:r>
      <w:hyperlink r:id="rId171">
        <w:r>
          <w:rPr>
            <w:rStyle w:val="Hyperlink"/>
          </w:rPr>
          <w:t xml:space="preserve">GimBooks</w:t>
        </w:r>
      </w:hyperlink>
      <w:r>
        <w:t xml:space="preserve">;</w:t>
      </w:r>
      <w:r>
        <w:t xml:space="preserve"> </w:t>
      </w:r>
      <w:hyperlink r:id="rId172">
        <w:r>
          <w:rPr>
            <w:rStyle w:val="Hyperlink"/>
          </w:rPr>
          <w:t xml:space="preserve">Aditya Birla Capital</w:t>
        </w:r>
      </w:hyperlink>
      <w:r>
        <w:t xml:space="preserve">).</w:t>
      </w:r>
      <w:r>
        <w:t xml:space="preserve"> </w:t>
      </w:r>
      <w:r>
        <w:t xml:space="preserve">-</w:t>
      </w:r>
      <w:r>
        <w:t xml:space="preserve"> </w:t>
      </w:r>
      <w:r>
        <w:rPr>
          <w:b/>
          <w:bCs/>
        </w:rPr>
        <w:t xml:space="preserve">Position B — 18%:</w:t>
      </w:r>
      <w:r>
        <w:t xml:space="preserve"> </w:t>
      </w:r>
      <w:r>
        <w:t xml:space="preserve">a 2026-dated page states 9405 attracts 18% and that 94051100 attracts 18% IGST (</w:t>
      </w:r>
      <w:hyperlink r:id="rId173">
        <w:r>
          <w:rPr>
            <w:rStyle w:val="Hyperlink"/>
          </w:rPr>
          <w:t xml:space="preserve">EximPe</w:t>
        </w:r>
      </w:hyperlink>
      <w:r>
        <w:t xml:space="preserve">); one source places 9405 in Schedule III, which is the 18% schedule (</w:t>
      </w:r>
      <w:hyperlink r:id="rId174">
        <w:r>
          <w:rPr>
            <w:rStyle w:val="Hyperlink"/>
          </w:rPr>
          <w:t xml:space="preserve">TaxTMI</w:t>
        </w:r>
      </w:hyperlink>
      <w:r>
        <w:t xml:space="preserve">).</w:t>
      </w:r>
      <w:r>
        <w:t xml:space="preserve"> </w:t>
      </w:r>
      <w:r>
        <w:t xml:space="preserve">-</w:t>
      </w:r>
      <w:r>
        <w:t xml:space="preserve"> </w:t>
      </w:r>
      <w:r>
        <w:rPr>
          <w:b/>
          <w:bCs/>
        </w:rPr>
        <w:t xml:space="preserve">Attempted reconciliation:</w:t>
      </w:r>
      <w:r>
        <w:t xml:space="preserve"> </w:t>
      </w:r>
      <w:r>
        <w:t xml:space="preserve">LED-based lighting under 9405 at 5%, non-LED/decorative/conventional lighting and parts at 18% (</w:t>
      </w:r>
      <w:hyperlink r:id="rId175">
        <w:r>
          <w:rPr>
            <w:rStyle w:val="Hyperlink"/>
          </w:rPr>
          <w:t xml:space="preserve">Busy.in</w:t>
        </w:r>
      </w:hyperlink>
      <w:r>
        <w:t xml:space="preserve">).</w:t>
      </w:r>
      <w:r>
        <w:t xml:space="preserve"> </w:t>
      </w:r>
      <w:r>
        <w:t xml:space="preserve">-</w:t>
      </w:r>
      <w:r>
        <w:t xml:space="preserve"> </w:t>
      </w:r>
      <w:r>
        <w:rPr>
          <w:b/>
          <w:bCs/>
        </w:rPr>
        <w:t xml:space="preserve">Stale 12% figures persist on 2026-dated pages</w:t>
      </w:r>
      <w:r>
        <w:t xml:space="preserve"> </w:t>
      </w:r>
      <w:r>
        <w:t xml:space="preserve">(</w:t>
      </w:r>
      <w:hyperlink r:id="rId176">
        <w:r>
          <w:rPr>
            <w:rStyle w:val="Hyperlink"/>
          </w:rPr>
          <w:t xml:space="preserve">Credlix</w:t>
        </w:r>
      </w:hyperlink>
      <w:r>
        <w:t xml:space="preserve">;</w:t>
      </w:r>
      <w:r>
        <w:t xml:space="preserve"> </w:t>
      </w:r>
      <w:hyperlink r:id="rId177">
        <w:r>
          <w:rPr>
            <w:rStyle w:val="Hyperlink"/>
          </w:rPr>
          <w:t xml:space="preserve">Bizfoc</w:t>
        </w:r>
      </w:hyperlink>
      <w:r>
        <w:t xml:space="preserve">) —</w:t>
      </w:r>
      <w:r>
        <w:t xml:space="preserve"> </w:t>
      </w:r>
      <w:r>
        <w:rPr>
          <w:b/>
          <w:bCs/>
        </w:rPr>
        <w:t xml:space="preserve">12% no longer exists as a slab. Any source still quoting it is not current.</w:t>
      </w:r>
      <w:r>
        <w:t xml:space="preserve"> </w:t>
      </w:r>
      <w:r>
        <w:rPr>
          <w:b/>
          <w:bCs/>
        </w:rPr>
        <w:t xml:space="preserve">How to settle it:</w:t>
      </w:r>
      <w:r>
        <w:t xml:space="preserve"> </w:t>
      </w:r>
      <w:r>
        <w:t xml:space="preserve">read Notification 9/2025-CTR directly (an</w:t>
      </w:r>
      <w:r>
        <w:t xml:space="preserve"> </w:t>
      </w:r>
      <w:hyperlink r:id="rId178">
        <w:r>
          <w:rPr>
            <w:rStyle w:val="Hyperlink"/>
          </w:rPr>
          <w:t xml:space="preserve">ICAI mirror PDF exists</w:t>
        </w:r>
      </w:hyperlink>
      <w:r>
        <w:t xml:space="preserve">) and the</w:t>
      </w:r>
      <w:r>
        <w:t xml:space="preserve"> </w:t>
      </w:r>
      <w:hyperlink r:id="rId179">
        <w:r>
          <w:rPr>
            <w:rStyle w:val="Hyperlink"/>
          </w:rPr>
          <w:t xml:space="preserve">PIB 56th Council FAQ</w:t>
        </w:r>
      </w:hyperlink>
      <w:r>
        <w:t xml:space="preserve">. Both were blocked here.</w:t>
      </w:r>
    </w:p>
    <w:p>
      <w:pPr>
        <w:pStyle w:val="FirstParagraph"/>
      </w:pPr>
      <w:r>
        <w:rPr>
          <w:b/>
          <w:bCs/>
        </w:rPr>
        <w:t xml:space="preserve">What is settled: all batteries under HSN 8507 are a uniform 18% from 22 September 2025. Lithium-ion did not get a cut — it was 18% before and remains 18%</w:t>
      </w:r>
      <w:r>
        <w:t xml:space="preserve"> </w:t>
      </w:r>
      <w:r>
        <w:t xml:space="preserve">(</w:t>
      </w:r>
      <w:hyperlink r:id="rId180">
        <w:r>
          <w:rPr>
            <w:rStyle w:val="Hyperlink"/>
          </w:rPr>
          <w:t xml:space="preserve">Tally Solutions</w:t>
        </w:r>
      </w:hyperlink>
      <w:r>
        <w:t xml:space="preserve">;</w:t>
      </w:r>
      <w:r>
        <w:t xml:space="preserve"> </w:t>
      </w:r>
      <w:hyperlink r:id="rId181">
        <w:r>
          <w:rPr>
            <w:rStyle w:val="Hyperlink"/>
          </w:rPr>
          <w:t xml:space="preserve">Tax2win</w:t>
        </w:r>
      </w:hyperlink>
      <w:r>
        <w:t xml:space="preserve">).</w:t>
      </w:r>
    </w:p>
    <w:p>
      <w:pPr>
        <w:pStyle w:val="BodyText"/>
      </w:pPr>
      <w:r>
        <w:rPr>
          <w:b/>
          <w:bCs/>
        </w:rPr>
        <w:t xml:space="preserve">Which creates your sharpest tax trap: the kit.</w:t>
      </w:r>
      <w:r>
        <w:t xml:space="preserve"> </w:t>
      </w:r>
      <w:r>
        <w:t xml:space="preserve">A box containing a wall disc, a lithium pack, an LED head and a sensor node sold for one price is on its face a</w:t>
      </w:r>
      <w:r>
        <w:t xml:space="preserve"> </w:t>
      </w:r>
      <w:r>
        <w:rPr>
          <w:b/>
          <w:bCs/>
        </w:rPr>
        <w:t xml:space="preserve">mixed supply</w:t>
      </w:r>
      <w:r>
        <w:t xml:space="preserve"> </w:t>
      </w:r>
      <w:r>
        <w:t xml:space="preserve">unless naturally bundled with one identifiable principal supply — and</w:t>
      </w:r>
      <w:r>
        <w:t xml:space="preserve"> </w:t>
      </w:r>
      <w:r>
        <w:rPr>
          <w:b/>
          <w:bCs/>
        </w:rPr>
        <w:t xml:space="preserve">Section 8(b) CGST taxes a mixed supply at the highest rate in the box</w:t>
      </w:r>
      <w:r>
        <w:t xml:space="preserve"> </w:t>
      </w:r>
      <w:r>
        <w:t xml:space="preserve">(</w:t>
      </w:r>
      <w:hyperlink r:id="rId182">
        <w:r>
          <w:rPr>
            <w:rStyle w:val="Hyperlink"/>
          </w:rPr>
          <w:t xml:space="preserve">TaxGuru</w:t>
        </w:r>
      </w:hyperlink>
      <w:r>
        <w:t xml:space="preserve">). With the battery confirmed at 18% and the luminaire plausibly at 5%,</w:t>
      </w:r>
      <w:r>
        <w:t xml:space="preserve"> </w:t>
      </w:r>
      <w:r>
        <w:rPr>
          <w:b/>
          <w:bCs/>
        </w:rPr>
        <w:t xml:space="preserve">treating the kit as a 5% supply understates GST on the entire kit value by 13 percentage points — a liability that compounds silently with interest and penalty until an audit.</w:t>
      </w:r>
      <w:r>
        <w:t xml:space="preserve"> </w:t>
      </w:r>
      <w:r>
        <w:t xml:space="preserve">The composite-supply argument is real (components not usable independently, sold only as a working luminaire, one warranty, principal supply is the luminaire) but</w:t>
      </w:r>
      <w:r>
        <w:t xml:space="preserve"> </w:t>
      </w:r>
      <w:r>
        <w:rPr>
          <w:b/>
          <w:bCs/>
        </w:rPr>
        <w:t xml:space="preserve">materially weakened by the fact that you also sell spare swap packs as a standalone SKU — which demonstrates the battery</w:t>
      </w:r>
      <w:r>
        <w:rPr>
          <w:b/>
          <w:bCs/>
        </w:rPr>
        <w:t xml:space="preserve"> </w:t>
      </w:r>
      <w:r>
        <w:rPr>
          <w:b/>
          <w:bCs/>
          <w:i/>
          <w:iCs/>
        </w:rPr>
        <w:t xml:space="preserve">can</w:t>
      </w:r>
      <w:r>
        <w:rPr>
          <w:b/>
          <w:bCs/>
        </w:rPr>
        <w:t xml:space="preserve"> </w:t>
      </w:r>
      <w:r>
        <w:rPr>
          <w:b/>
          <w:bCs/>
        </w:rPr>
        <w:t xml:space="preserve">be supplied separately, the exact criterion the mixed-supply definition turns on.</w:t>
      </w:r>
      <w:r>
        <w:t xml:space="preserve"> </w:t>
      </w:r>
      <w:r>
        <w:t xml:space="preserve">The spare pack sold alone is unambiguously 8507 at 18%; there is no argument otherwise.</w:t>
      </w:r>
      <w:r>
        <w:t xml:space="preserve"> </w:t>
      </w:r>
      <w:r>
        <w:rPr>
          <w:b/>
          <w:bCs/>
        </w:rPr>
        <w:t xml:space="preserve">Get an advance ruling under Section 97 CGST. It is cheap relative to the exposure, and no AAR was found on an LED luminaire kit containing a removable battery.</w:t>
      </w:r>
    </w:p>
    <w:p>
      <w:pPr>
        <w:pStyle w:val="BodyText"/>
      </w:pPr>
      <w:r>
        <w:rPr>
          <w:b/>
          <w:bCs/>
        </w:rPr>
        <w:t xml:space="preserve">Register for GST from day one regardless of turnover</w:t>
      </w:r>
      <w:r>
        <w:t xml:space="preserve"> </w:t>
      </w:r>
      <w:r>
        <w:t xml:space="preserve">— inter-state B2C sales force registration irrespective of the ₹40 lakh threshold, and without registration you cannot claim IGST paid on imported PCBAs as input tax credit, which for an import-dependent BOM is a large working-capital item (</w:t>
      </w:r>
      <w:hyperlink r:id="rId183">
        <w:r>
          <w:rPr>
            <w:rStyle w:val="Hyperlink"/>
          </w:rPr>
          <w:t xml:space="preserve">Tax2win</w:t>
        </w:r>
      </w:hyperlink>
      <w:r>
        <w:t xml:space="preserve">).</w:t>
      </w:r>
      <w:r>
        <w:t xml:space="preserve"> </w:t>
      </w:r>
      <w:r>
        <w:rPr>
          <w:b/>
          <w:bCs/>
        </w:rPr>
        <w:t xml:space="preserve">E-invoicing does not apply below ₹5 crore AATO, but e-way bills do: ₹50,000 per consignment</w:t>
      </w:r>
      <w:r>
        <w:t xml:space="preserve"> </w:t>
      </w:r>
      <w:r>
        <w:t xml:space="preserve">(</w:t>
      </w:r>
      <w:hyperlink r:id="rId184">
        <w:r>
          <w:rPr>
            <w:rStyle w:val="Hyperlink"/>
          </w:rPr>
          <w:t xml:space="preserve">xFlow Pay</w:t>
        </w:r>
      </w:hyperlink>
      <w:r>
        <w:t xml:space="preserve">;</w:t>
      </w:r>
      <w:r>
        <w:t xml:space="preserve"> </w:t>
      </w:r>
      <w:hyperlink r:id="rId185">
        <w:r>
          <w:rPr>
            <w:rStyle w:val="Hyperlink"/>
          </w:rPr>
          <w:t xml:space="preserve">Bajaj Finserv</w:t>
        </w:r>
      </w:hyperlink>
      <w:r>
        <w:t xml:space="preserve">). A small manufacturer shipping direct-to-consumer by courier is exactly the profile that forgets this.</w:t>
      </w:r>
    </w:p>
    <w:p>
      <w:r>
        <w:pict>
          <v:rect style="width:0;height:1.5pt" o:hralign="center" o:hrstd="t" o:hr="t"/>
        </w:pict>
      </w:r>
    </w:p>
    <w:bookmarkEnd w:id="186"/>
    <w:bookmarkEnd w:id="187"/>
    <w:bookmarkStart w:id="209" w:name="Xcb62012ff7d6a7e678b4f1352bbbfc7f96b4772"/>
    <w:p>
      <w:pPr>
        <w:pStyle w:val="Heading2"/>
      </w:pPr>
      <w:r>
        <w:t xml:space="preserve">Product liability: strict, personal, and defended on the label you print</w:t>
      </w:r>
    </w:p>
    <w:p>
      <w:pPr>
        <w:pStyle w:val="FirstParagraph"/>
      </w:pPr>
      <w:r>
        <w:rPr>
          <w:b/>
          <w:bCs/>
        </w:rPr>
        <w:t xml:space="preserve">Section 84 is strict liability. You do not get to argue you were careful.</w:t>
      </w:r>
      <w:r>
        <w:t xml:space="preserve"> </w:t>
      </w:r>
      <w:r>
        <w:t xml:space="preserve">The complainant proves the product was defective or the warnings inadequate, and that harm followed.</w:t>
      </w:r>
      <w:r>
        <w:t xml:space="preserve"> </w:t>
      </w:r>
      <w:r>
        <w:t xml:space="preserve">“I hand-assembled it carefully”</w:t>
      </w:r>
      <w:r>
        <w:t xml:space="preserve">,</w:t>
      </w:r>
      <w:r>
        <w:t xml:space="preserve"> </w:t>
      </w:r>
      <w:r>
        <w:t xml:space="preserve">“I used good cells”</w:t>
      </w:r>
      <w:r>
        <w:t xml:space="preserve">,</w:t>
      </w:r>
      <w:r>
        <w:t xml:space="preserve"> </w:t>
      </w:r>
      <w:r>
        <w:t xml:space="preserve">“I tested every unit”</w:t>
      </w:r>
      <w:r>
        <w:t xml:space="preserve"> </w:t>
      </w:r>
      <w:r>
        <w:t xml:space="preserve">are not defences to s.84(1)(a)–(c), and</w:t>
      </w:r>
      <w:r>
        <w:t xml:space="preserve"> </w:t>
      </w:r>
      <w:r>
        <w:rPr>
          <w:b/>
          <w:bCs/>
        </w:rPr>
        <w:t xml:space="preserve">s.84(2) removes even the honest-belief defence on an express warranty:</w:t>
      </w:r>
      <w:r>
        <w:rPr>
          <w:b/>
          <w:bCs/>
        </w:rPr>
        <w:t xml:space="preserve"> </w:t>
      </w:r>
      <w:r>
        <w:rPr>
          <w:b/>
          <w:bCs/>
        </w:rPr>
        <w:t xml:space="preserve">“a product manufacturer shall be liable … even if he proves that he was not negligent or fraudulent in making the express warranty”</w:t>
      </w:r>
      <w:r>
        <w:t xml:space="preserve"> </w:t>
      </w:r>
      <w:r>
        <w:t xml:space="preserve">(</w:t>
      </w:r>
      <w:hyperlink r:id="rId188">
        <w:r>
          <w:rPr>
            <w:rStyle w:val="Hyperlink"/>
          </w:rPr>
          <w:t xml:space="preserve">IBC Laws</w:t>
        </w:r>
      </w:hyperlink>
      <w:r>
        <w:t xml:space="preserve">;</w:t>
      </w:r>
      <w:r>
        <w:t xml:space="preserve"> </w:t>
      </w:r>
      <w:hyperlink r:id="rId189">
        <w:r>
          <w:rPr>
            <w:rStyle w:val="Hyperlink"/>
          </w:rPr>
          <w:t xml:space="preserve">Lawgist</w:t>
        </w:r>
      </w:hyperlink>
      <w:r>
        <w:t xml:space="preserve">).</w:t>
      </w:r>
    </w:p>
    <w:p>
      <w:pPr>
        <w:pStyle w:val="BodyText"/>
      </w:pPr>
      <w:r>
        <w:rPr>
          <w:b/>
          <w:bCs/>
        </w:rPr>
        <w:t xml:space="preserve">The Section 87 exceptions are close to useless for a consumer lighting product.</w:t>
      </w:r>
      <w:r>
        <w:t xml:space="preserve"> </w:t>
      </w:r>
      <w:r>
        <w:t xml:space="preserve">s.87(1) protects</w:t>
      </w:r>
      <w:r>
        <w:t xml:space="preserve"> </w:t>
      </w:r>
      <w:r>
        <w:rPr>
          <w:i/>
          <w:iCs/>
        </w:rPr>
        <w:t xml:space="preserve">sellers</w:t>
      </w:r>
      <w:r>
        <w:t xml:space="preserve">, not manufacturers. s.87(2) covers workplace purchase by an employer, components sold on for use in another product, expert-dispensed products, and complainants under the influence of alcohol or an unprescribed drug (</w:t>
      </w:r>
      <w:hyperlink r:id="rId190">
        <w:r>
          <w:rPr>
            <w:rStyle w:val="Hyperlink"/>
          </w:rPr>
          <w:t xml:space="preserve">IBC Laws</w:t>
        </w:r>
      </w:hyperlink>
      <w:r>
        <w:t xml:space="preserve">;</w:t>
      </w:r>
      <w:r>
        <w:t xml:space="preserve"> </w:t>
      </w:r>
      <w:hyperlink r:id="rId191">
        <w:r>
          <w:rPr>
            <w:rStyle w:val="Hyperlink"/>
          </w:rPr>
          <w:t xml:space="preserve">KanoonGPT</w:t>
        </w:r>
      </w:hyperlink>
      <w:r>
        <w:t xml:space="preserve">).</w:t>
      </w:r>
      <w:r>
        <w:t xml:space="preserve"> </w:t>
      </w:r>
      <w:r>
        <w:rPr>
          <w:b/>
          <w:bCs/>
        </w:rPr>
        <w:t xml:space="preserve">None fit.</w:t>
      </w:r>
      <w:r>
        <w:t xml:space="preserve"> </w:t>
      </w:r>
      <w:r>
        <w:t xml:space="preserve">That leaves only s.87(3), obvious or commonly known danger — and no commission will accept that the failure modes of a swappable lithium pack are commonly known to a lay consumer.</w:t>
      </w:r>
    </w:p>
    <w:p>
      <w:pPr>
        <w:pStyle w:val="BodyText"/>
      </w:pPr>
      <w:r>
        <w:rPr>
          <w:b/>
          <w:bCs/>
        </w:rPr>
        <w:t xml:space="preserve">So s.84(1)(e) — failure to contain adequate instructions or any warning regarding improper use — is the ground most likely to be used against you.</w:t>
      </w:r>
      <w:r>
        <w:t xml:space="preserve"> </w:t>
      </w:r>
      <w:r>
        <w:t xml:space="preserve">Design and manufacturing defects need expert evidence. Inadequate warnings need only holding up the box.</w:t>
      </w:r>
      <w:r>
        <w:t xml:space="preserve"> </w:t>
      </w:r>
      <w:r>
        <w:rPr>
          <w:b/>
          <w:bCs/>
        </w:rPr>
        <w:t xml:space="preserve">Your instruction leaflet is not marketing collateral. It is your primary legal defence, and it is the cheapest risk control you can buy.</w:t>
      </w:r>
    </w:p>
    <w:p>
      <w:pPr>
        <w:pStyle w:val="BodyText"/>
      </w:pPr>
      <w:r>
        <w:rPr>
          <w:b/>
          <w:bCs/>
        </w:rPr>
        <w:t xml:space="preserve">The exposure is not the price of the lamp.</w:t>
      </w:r>
      <w:r>
        <w:t xml:space="preserve"> </w:t>
      </w:r>
      <w:r>
        <w:t xml:space="preserve">“Harm”</w:t>
      </w:r>
      <w:r>
        <w:t xml:space="preserve"> </w:t>
      </w:r>
      <w:r>
        <w:t xml:space="preserve">under s.2(22) includes damage to property</w:t>
      </w:r>
      <w:r>
        <w:t xml:space="preserve"> </w:t>
      </w:r>
      <w:r>
        <w:rPr>
          <w:b/>
          <w:bCs/>
        </w:rPr>
        <w:t xml:space="preserve">other than the product itself</w:t>
      </w:r>
      <w:r>
        <w:t xml:space="preserve">, personal injury and death, and</w:t>
      </w:r>
      <w:r>
        <w:t xml:space="preserve"> </w:t>
      </w:r>
      <w:r>
        <w:rPr>
          <w:b/>
          <w:bCs/>
        </w:rPr>
        <w:t xml:space="preserve">mental agony or emotional distress attendant to that injury or damage</w:t>
      </w:r>
      <w:r>
        <w:t xml:space="preserve"> </w:t>
      </w:r>
      <w:r>
        <w:t xml:space="preserve">— a head Indian commissions award routinely. Excluded: the lamp itself, and commercial or economic loss.</w:t>
      </w:r>
      <w:r>
        <w:t xml:space="preserve"> </w:t>
      </w:r>
      <w:r>
        <w:rPr>
          <w:b/>
          <w:bCs/>
        </w:rPr>
        <w:t xml:space="preserve">So the exposure is the value of the consumer’s home and body.</w:t>
      </w:r>
      <w:r>
        <w:t xml:space="preserve"> </w:t>
      </w:r>
      <w:r>
        <w:t xml:space="preserve">And the forum is the worst configuration for a defendant:</w:t>
      </w:r>
      <w:r>
        <w:t xml:space="preserve"> </w:t>
      </w:r>
      <w:r>
        <w:rPr>
          <w:b/>
          <w:bCs/>
        </w:rPr>
        <w:t xml:space="preserve">pecuniary jurisdiction is set by the consideration paid, not the compensation claimed</w:t>
      </w:r>
      <w:r>
        <w:t xml:space="preserve"> </w:t>
      </w:r>
      <w:r>
        <w:t xml:space="preserve">(</w:t>
      </w:r>
      <w:hyperlink r:id="rId192">
        <w:r>
          <w:rPr>
            <w:rStyle w:val="Hyperlink"/>
          </w:rPr>
          <w:t xml:space="preserve">PIB</w:t>
        </w:r>
      </w:hyperlink>
      <w:r>
        <w:t xml:space="preserve">;</w:t>
      </w:r>
      <w:r>
        <w:t xml:space="preserve"> </w:t>
      </w:r>
      <w:hyperlink r:id="rId193">
        <w:r>
          <w:rPr>
            <w:rStyle w:val="Hyperlink"/>
          </w:rPr>
          <w:t xml:space="preserve">SCC Online</w:t>
        </w:r>
      </w:hyperlink>
      <w:r>
        <w:t xml:space="preserve">), so a consumer who paid a few thousand rupees files in the</w:t>
      </w:r>
      <w:r>
        <w:t xml:space="preserve"> </w:t>
      </w:r>
      <w:r>
        <w:rPr>
          <w:b/>
          <w:bCs/>
        </w:rPr>
        <w:t xml:space="preserve">District Commission (up to ₹50 lakh)</w:t>
      </w:r>
      <w:r>
        <w:t xml:space="preserve"> </w:t>
      </w:r>
      <w:r>
        <w:t xml:space="preserve">even claiming crores for a house fire — the cheapest, most accessible, most consumer-sympathetic forum, nominal filing fee, no lawyer required.</w:t>
      </w:r>
      <w:r>
        <w:t xml:space="preserve"> </w:t>
      </w:r>
      <w:r>
        <w:rPr>
          <w:b/>
          <w:bCs/>
        </w:rPr>
        <w:t xml:space="preserve">Defence cost is real even where the claim fails and is not recoverable in practice.</w:t>
      </w:r>
      <w:r>
        <w:t xml:space="preserve"> </w:t>
      </w:r>
      <w:r>
        <w:rPr>
          <w:i/>
          <w:iCs/>
        </w:rPr>
        <w:t xml:space="preserve">(No sourced statistics on Indian consumer-forum disposal times or battery-fire award quantum could be obtained — indiankanoon was blocked. No duration or quantum figure is stated here.)</w:t>
      </w:r>
    </w:p>
    <w:p>
      <w:pPr>
        <w:pStyle w:val="BodyText"/>
      </w:pPr>
      <w:r>
        <w:rPr>
          <w:b/>
          <w:bCs/>
        </w:rPr>
        <w:t xml:space="preserve">Your private limited company is a genuine shield for the civil award and a weak shield in three specific places.</w:t>
      </w:r>
      <w:r>
        <w:t xml:space="preserve"> </w:t>
      </w:r>
      <w:r>
        <w:rPr>
          <w:b/>
          <w:bCs/>
        </w:rPr>
        <w:t xml:space="preserve">Criminal:</w:t>
      </w:r>
      <w:r>
        <w:t xml:space="preserve"> </w:t>
      </w:r>
      <w:r>
        <w:t xml:space="preserve">ss.88–91 are prosecuted against the company</w:t>
      </w:r>
      <w:r>
        <w:t xml:space="preserve"> </w:t>
      </w:r>
      <w:r>
        <w:rPr>
          <w:i/>
          <w:iCs/>
        </w:rPr>
        <w:t xml:space="preserve">and</w:t>
      </w:r>
      <w:r>
        <w:t xml:space="preserve"> </w:t>
      </w:r>
      <w:r>
        <w:t xml:space="preserve">the persons in charge of and responsible for its business — in a founder-led company, unambiguously you — and</w:t>
      </w:r>
      <w:r>
        <w:t xml:space="preserve"> </w:t>
      </w:r>
      <w:r>
        <w:rPr>
          <w:b/>
          <w:bCs/>
        </w:rPr>
        <w:t xml:space="preserve">s.91 carries not less than 7 years extendable to life imprisonment plus a fine of not less than ₹10 lakh where a consumer dies</w:t>
      </w:r>
      <w:r>
        <w:t xml:space="preserve"> </w:t>
      </w:r>
      <w:r>
        <w:t xml:space="preserve">(</w:t>
      </w:r>
      <w:hyperlink r:id="rId194">
        <w:r>
          <w:rPr>
            <w:rStyle w:val="Hyperlink"/>
          </w:rPr>
          <w:t xml:space="preserve">Lexology</w:t>
        </w:r>
      </w:hyperlink>
      <w:r>
        <w:t xml:space="preserve">;</w:t>
      </w:r>
      <w:r>
        <w:t xml:space="preserve"> </w:t>
      </w:r>
      <w:hyperlink r:id="rId195">
        <w:r>
          <w:rPr>
            <w:rStyle w:val="Hyperlink"/>
          </w:rPr>
          <w:t xml:space="preserve">Jus Corpus</w:t>
        </w:r>
      </w:hyperlink>
      <w:r>
        <w:t xml:space="preserve">).</w:t>
      </w:r>
      <w:r>
        <w:t xml:space="preserve"> </w:t>
      </w:r>
      <w:r>
        <w:rPr>
          <w:b/>
          <w:bCs/>
        </w:rPr>
        <w:t xml:space="preserve">CCPA:</w:t>
      </w:r>
      <w:r>
        <w:t xml:space="preserve"> </w:t>
      </w:r>
      <w:r>
        <w:t xml:space="preserve">it can order</w:t>
      </w:r>
      <w:r>
        <w:t xml:space="preserve"> </w:t>
      </w:r>
      <w:r>
        <w:rPr>
          <w:b/>
          <w:bCs/>
        </w:rPr>
        <w:t xml:space="preserve">recall of dangerous goods and reimbursement of the prices paid</w:t>
      </w:r>
      <w:r>
        <w:t xml:space="preserve"> </w:t>
      </w:r>
      <w:r>
        <w:t xml:space="preserve">under s.20, and non-compliance with a direction is imprisonment up to six months or fine up to ₹20 lakh.</w:t>
      </w:r>
      <w:r>
        <w:t xml:space="preserve"> </w:t>
      </w:r>
      <w:r>
        <w:rPr>
          <w:b/>
          <w:bCs/>
        </w:rPr>
        <w:t xml:space="preserve">Veil-piercing:</w:t>
      </w:r>
      <w:r>
        <w:t xml:space="preserve"> </w:t>
      </w:r>
      <w:r>
        <w:t xml:space="preserve">an undercapitalised one-man company selling a fire-risk product with no insurance is close to the paradigm case. And if the pack ships</w:t>
      </w:r>
      <w:r>
        <w:t xml:space="preserve"> </w:t>
      </w:r>
      <w:r>
        <w:rPr>
          <w:b/>
          <w:bCs/>
        </w:rPr>
        <w:t xml:space="preserve">without BIS registration and the Standard Mark</w:t>
      </w:r>
      <w:r>
        <w:t xml:space="preserve">, a complainant has a colourable argument the goods are</w:t>
      </w:r>
      <w:r>
        <w:t xml:space="preserve"> </w:t>
      </w:r>
      <w:r>
        <w:t xml:space="preserve">“spurious”</w:t>
      </w:r>
      <w:r>
        <w:t xml:space="preserve"> </w:t>
      </w:r>
      <w:r>
        <w:t xml:space="preserve">— which is what unlocks s.91’s imprisonment tiers.</w:t>
      </w:r>
      <w:r>
        <w:t xml:space="preserve"> </w:t>
      </w:r>
      <w:r>
        <w:rPr>
          <w:i/>
          <w:iCs/>
        </w:rPr>
        <w:t xml:space="preserve">(That characterisation is an argument, not settled law, and no authority either way was located.)</w:t>
      </w:r>
    </w:p>
    <w:p>
      <w:pPr>
        <w:pStyle w:val="BodyText"/>
      </w:pPr>
      <w:r>
        <w:rPr>
          <w:b/>
          <w:bCs/>
        </w:rPr>
        <w:t xml:space="preserve">Recall would end the company.</w:t>
      </w:r>
      <w:r>
        <w:t xml:space="preserve"> </w:t>
      </w:r>
      <w:r>
        <w:t xml:space="preserve">CCPA can order recall</w:t>
      </w:r>
      <w:r>
        <w:t xml:space="preserve"> </w:t>
      </w:r>
      <w:r>
        <w:rPr>
          <w:i/>
          <w:iCs/>
        </w:rPr>
        <w:t xml:space="preserve">plus reimbursement of price paid to all purchasers</w:t>
      </w:r>
      <w:r>
        <w:t xml:space="preserve"> </w:t>
      </w:r>
      <w:r>
        <w:t xml:space="preserve">— 100% of revenue for the affected batch, plus reverse logistics that for lithium packs must be surface-mode DG-compliant, plus safe disposal through an authorised recycler, plus the cost of tracing buyers.</w:t>
      </w:r>
      <w:r>
        <w:t xml:space="preserve"> </w:t>
      </w:r>
      <w:r>
        <w:rPr>
          <w:b/>
          <w:bCs/>
        </w:rPr>
        <w:t xml:space="preserve">That last is why a serial-numbered sales register matters from unit one.</w:t>
      </w:r>
      <w:r>
        <w:t xml:space="preserve"> </w:t>
      </w:r>
      <w:r>
        <w:t xml:space="preserve">And</w:t>
      </w:r>
      <w:r>
        <w:t xml:space="preserve"> </w:t>
      </w:r>
      <w:r>
        <w:rPr>
          <w:b/>
          <w:bCs/>
        </w:rPr>
        <w:t xml:space="preserve">product recall cost is expressly excluded from standard Indian product liability policies</w:t>
      </w:r>
      <w:r>
        <w:t xml:space="preserve"> </w:t>
      </w:r>
      <w:r>
        <w:t xml:space="preserve">(</w:t>
      </w:r>
      <w:hyperlink r:id="rId196">
        <w:r>
          <w:rPr>
            <w:rStyle w:val="Hyperlink"/>
          </w:rPr>
          <w:t xml:space="preserve">BimaKavach</w:t>
        </w:r>
      </w:hyperlink>
      <w:r>
        <w:t xml:space="preserve">;</w:t>
      </w:r>
      <w:r>
        <w:t xml:space="preserve"> </w:t>
      </w:r>
      <w:hyperlink r:id="rId197">
        <w:r>
          <w:rPr>
            <w:rStyle w:val="Hyperlink"/>
          </w:rPr>
          <w:t xml:space="preserve">New India Assurance</w:t>
        </w:r>
      </w:hyperlink>
      <w:r>
        <w:t xml:space="preserve">), so insurance will not pay for it. When you buy cover,</w:t>
      </w:r>
      <w:r>
        <w:t xml:space="preserve"> </w:t>
      </w:r>
      <w:r>
        <w:rPr>
          <w:b/>
          <w:bCs/>
        </w:rPr>
        <w:t xml:space="preserve">hunt for the lithium battery exclusion</w:t>
      </w:r>
      <w:r>
        <w:t xml:space="preserve"> </w:t>
      </w:r>
      <w:r>
        <w:t xml:space="preserve">—</w:t>
      </w:r>
      <w:r>
        <w:t xml:space="preserve"> </w:t>
      </w:r>
      <w:r>
        <w:t xml:space="preserve">“most standard carriers have added lithium battery exclusions in recent years as the loss data has worsened … a standard policy with a hidden lithium exclusion is worse than no policy”</w:t>
      </w:r>
      <w:r>
        <w:t xml:space="preserve"> </w:t>
      </w:r>
      <w:r>
        <w:t xml:space="preserve">(</w:t>
      </w:r>
      <w:hyperlink r:id="rId198">
        <w:r>
          <w:rPr>
            <w:rStyle w:val="Hyperlink"/>
          </w:rPr>
          <w:t xml:space="preserve">Ashlin Hadden Agency</w:t>
        </w:r>
      </w:hyperlink>
      <w:r>
        <w:t xml:space="preserve">) — and expect insurers to require BIS certification as a condition.</w:t>
      </w:r>
      <w:r>
        <w:t xml:space="preserve"> </w:t>
      </w:r>
      <w:r>
        <w:rPr>
          <w:b/>
          <w:bCs/>
        </w:rPr>
        <w:t xml:space="preserve">No Indian premium range could be sourced for this risk class. Get a broker to test the market before you commit to the product design; if cover is unobtainable or heavily excluded, that is itself a design input.</w:t>
      </w:r>
    </w:p>
    <w:p>
      <w:pPr>
        <w:pStyle w:val="BodyText"/>
      </w:pPr>
      <w:r>
        <w:rPr>
          <w:b/>
          <w:bCs/>
        </w:rPr>
        <w:t xml:space="preserve">Warranty: promise less, precisely.</w:t>
      </w:r>
      <w:r>
        <w:t xml:space="preserve"> </w:t>
      </w:r>
      <w:r>
        <w:t xml:space="preserve">An express warranty creates an</w:t>
      </w:r>
      <w:r>
        <w:t xml:space="preserve"> </w:t>
      </w:r>
      <w:r>
        <w:rPr>
          <w:i/>
          <w:iCs/>
        </w:rPr>
        <w:t xml:space="preserve">additional</w:t>
      </w:r>
      <w:r>
        <w:t xml:space="preserve"> </w:t>
      </w:r>
      <w:r>
        <w:t xml:space="preserve">head of strict liability under s.84(1)(d)+(2), so</w:t>
      </w:r>
      <w:r>
        <w:t xml:space="preserve"> </w:t>
      </w:r>
      <w:r>
        <w:rPr>
          <w:b/>
          <w:bCs/>
        </w:rPr>
        <w:t xml:space="preserve">every promise is a new head of liability</w:t>
      </w:r>
      <w:r>
        <w:t xml:space="preserve">. Define a period, define a remedy (repair/replace/refund at your option), define exclusions for misuse, modification, water damage and third-party chargers, and</w:t>
      </w:r>
      <w:r>
        <w:t xml:space="preserve"> </w:t>
      </w:r>
      <w:r>
        <w:rPr>
          <w:b/>
          <w:bCs/>
        </w:rPr>
        <w:t xml:space="preserve">make no performance claims about runtime, cycle life or safety that are not lab-substantiated</w:t>
      </w:r>
      <w:r>
        <w:t xml:space="preserve">.</w:t>
      </w:r>
      <w:r>
        <w:t xml:space="preserve"> </w:t>
      </w:r>
      <w:r>
        <w:rPr>
          <w:b/>
          <w:bCs/>
        </w:rPr>
        <w:t xml:space="preserve">You cannot contract out of personal-injury liability.</w:t>
      </w:r>
      <w:r>
        <w:t xml:space="preserve"> </w:t>
      </w:r>
      <w:r>
        <w:t xml:space="preserve">Section 2(46) makes terms causing a significant change in consumer rights an</w:t>
      </w:r>
      <w:r>
        <w:t xml:space="preserve"> </w:t>
      </w:r>
      <w:r>
        <w:t xml:space="preserve">“unfair contract”</w:t>
      </w:r>
      <w:r>
        <w:t xml:space="preserve"> </w:t>
      </w:r>
      <w:r>
        <w:t xml:space="preserve">that State and National Commissions can declare void (</w:t>
      </w:r>
      <w:hyperlink r:id="rId199">
        <w:r>
          <w:rPr>
            <w:rStyle w:val="Hyperlink"/>
          </w:rPr>
          <w:t xml:space="preserve">Indian Kanoon s.2(46)</w:t>
        </w:r>
      </w:hyperlink>
      <w:r>
        <w:t xml:space="preserve">), and Indian courts already treat exclusion of liability for negligence in standard-form consumer contracts as substantively unfair (</w:t>
      </w:r>
      <w:hyperlink r:id="rId200">
        <w:r>
          <w:rPr>
            <w:rStyle w:val="Hyperlink"/>
          </w:rPr>
          <w:t xml:space="preserve">Argus Partners</w:t>
        </w:r>
      </w:hyperlink>
      <w:r>
        <w:t xml:space="preserve">). A</w:t>
      </w:r>
      <w:r>
        <w:t xml:space="preserve"> </w:t>
      </w:r>
      <w:r>
        <w:t xml:space="preserve">“liability limited to purchase price”</w:t>
      </w:r>
      <w:r>
        <w:t xml:space="preserve"> </w:t>
      </w:r>
      <w:r>
        <w:t xml:space="preserve">clause will be read down in a personal-injury claim; it buys almost nothing (economic loss is already excluded from</w:t>
      </w:r>
      <w:r>
        <w:t xml:space="preserve"> </w:t>
      </w:r>
      <w:r>
        <w:t xml:space="preserve">“harm”</w:t>
      </w:r>
      <w:r>
        <w:t xml:space="preserve">) and hands the complainant an unfair-contract argument for free.</w:t>
      </w:r>
      <w:r>
        <w:t xml:space="preserve"> </w:t>
      </w:r>
      <w:r>
        <w:rPr>
          <w:i/>
          <w:iCs/>
        </w:rPr>
        <w:t xml:space="preserve">(No Indian decision squarely voiding a limitation clause against a CPA 2019 Chapter VI claim was located.)</w:t>
      </w:r>
    </w:p>
    <w:p>
      <w:pPr>
        <w:pStyle w:val="BodyText"/>
      </w:pPr>
      <w:r>
        <w:rPr>
          <w:b/>
          <w:bCs/>
        </w:rPr>
        <w:t xml:space="preserve">On returns:</w:t>
      </w:r>
      <w:r>
        <w:t xml:space="preserve"> </w:t>
      </w:r>
      <w:r>
        <w:t xml:space="preserve">there is</w:t>
      </w:r>
      <w:r>
        <w:t xml:space="preserve"> </w:t>
      </w:r>
      <w:r>
        <w:rPr>
          <w:b/>
          <w:bCs/>
        </w:rPr>
        <w:t xml:space="preserve">no general statutory cooling-off right for offline retail sales in India</w:t>
      </w:r>
      <w:r>
        <w:t xml:space="preserve"> </w:t>
      </w:r>
      <w:r>
        <w:t xml:space="preserve">that this research could identify — the rights that exist are contractual, the CPA’s defect/deficiency remedies, and, for online sales, the</w:t>
      </w:r>
      <w:r>
        <w:t xml:space="preserve"> </w:t>
      </w:r>
      <w:r>
        <w:rPr>
          <w:b/>
          <w:bCs/>
        </w:rPr>
        <w:t xml:space="preserve">Consumer Protection (E-Commerce) Rules 2020 obligation to take back goods and refund where they are defective, deficient, delivered late, different from advertised features, or spurious</w:t>
      </w:r>
      <w:r>
        <w:t xml:space="preserve"> </w:t>
      </w:r>
      <w:r>
        <w:t xml:space="preserve">(</w:t>
      </w:r>
      <w:hyperlink r:id="rId201">
        <w:r>
          <w:rPr>
            <w:rStyle w:val="Hyperlink"/>
          </w:rPr>
          <w:t xml:space="preserve">Khaitan &amp; Co</w:t>
        </w:r>
      </w:hyperlink>
      <w:r>
        <w:t xml:space="preserve">). Your D2C site must display total price with breakup, country of origin, warranty terms, return/refund/exchange terms, delivery terms, payment terms and grievance officer details —</w:t>
      </w:r>
      <w:r>
        <w:t xml:space="preserve"> </w:t>
      </w:r>
      <w:r>
        <w:rPr>
          <w:b/>
          <w:bCs/>
        </w:rPr>
        <w:t xml:space="preserve">and your stated return policy must not be narrower than that statutory take-back obligation.</w:t>
      </w:r>
    </w:p>
    <w:bookmarkStart w:id="208" w:name="X81e22a60a0879af87214c279e647a73a8cfbb1f"/>
    <w:p>
      <w:pPr>
        <w:pStyle w:val="Heading3"/>
      </w:pPr>
      <w:r>
        <w:t xml:space="preserve">Two advertising claims to change before launch</w:t>
      </w:r>
    </w:p>
    <w:p>
      <w:pPr>
        <w:pStyle w:val="FirstParagraph"/>
      </w:pPr>
      <w:r>
        <w:rPr>
          <w:b/>
          <w:bCs/>
        </w:rPr>
        <w:t xml:space="preserve">“Never produces an image”</w:t>
      </w:r>
      <w:r>
        <w:rPr>
          <w:b/>
          <w:bCs/>
        </w:rPr>
        <w:t xml:space="preserve"> </w:t>
      </w:r>
      <w:r>
        <w:rPr>
          <w:b/>
          <w:bCs/>
        </w:rPr>
        <w:t xml:space="preserve">is the highest-risk phrasing available to you. Do not use it.</w:t>
      </w:r>
      <w:r>
        <w:t xml:space="preserve"> </w:t>
      </w:r>
      <w:r>
        <w:t xml:space="preserve">Section 2(28) CPA defines a misleading advertisement to include one that falsely describes a product</w:t>
      </w:r>
      <w:r>
        <w:t xml:space="preserve"> </w:t>
      </w:r>
      <w:r>
        <w:rPr>
          <w:b/>
          <w:bCs/>
        </w:rPr>
        <w:t xml:space="preserve">or is</w:t>
      </w:r>
      <w:r>
        <w:rPr>
          <w:b/>
          <w:bCs/>
        </w:rPr>
        <w:t xml:space="preserve"> </w:t>
      </w:r>
      <w:r>
        <w:rPr>
          <w:b/>
          <w:bCs/>
        </w:rPr>
        <w:t xml:space="preserve">“likely to mislead the consumers as to the nature, substance, quantity or quality”</w:t>
      </w:r>
      <w:r>
        <w:t xml:space="preserve"> </w:t>
      </w:r>
      <w:r>
        <w:t xml:space="preserve">— no proof of actual deception or intent needed —</w:t>
      </w:r>
      <w:r>
        <w:t xml:space="preserve"> </w:t>
      </w:r>
      <w:r>
        <w:rPr>
          <w:b/>
          <w:bCs/>
        </w:rPr>
        <w:t xml:space="preserve">or</w:t>
      </w:r>
      <w:r>
        <w:rPr>
          <w:b/>
          <w:bCs/>
        </w:rPr>
        <w:t xml:space="preserve"> </w:t>
      </w:r>
      <w:r>
        <w:rPr>
          <w:b/>
          <w:bCs/>
        </w:rPr>
        <w:t xml:space="preserve">“deliberately conceals important information”</w:t>
      </w:r>
      <w:r>
        <w:t xml:space="preserve"> </w:t>
      </w:r>
      <w:r>
        <w:t xml:space="preserve">(</w:t>
      </w:r>
      <w:hyperlink r:id="rId202">
        <w:r>
          <w:rPr>
            <w:rStyle w:val="Hyperlink"/>
          </w:rPr>
          <w:t xml:space="preserve">Indian Kanoon</w:t>
        </w:r>
      </w:hyperlink>
      <w:r>
        <w:t xml:space="preserve">). The CCPA Guidelines of</w:t>
      </w:r>
      <w:r>
        <w:t xml:space="preserve"> </w:t>
      </w:r>
      <w:r>
        <w:rPr>
          <w:b/>
          <w:bCs/>
        </w:rPr>
        <w:t xml:space="preserve">9 June 2022</w:t>
      </w:r>
      <w:r>
        <w:t xml:space="preserve"> </w:t>
      </w:r>
      <w:r>
        <w:t xml:space="preserve">require that claims relating to</w:t>
      </w:r>
      <w:r>
        <w:t xml:space="preserve"> </w:t>
      </w:r>
      <w:r>
        <w:rPr>
          <w:b/>
          <w:bCs/>
        </w:rPr>
        <w:t xml:space="preserve">“objectively ascertainable facts”</w:t>
      </w:r>
      <w:r>
        <w:rPr>
          <w:b/>
          <w:bCs/>
        </w:rPr>
        <w:t xml:space="preserve"> </w:t>
      </w:r>
      <w:r>
        <w:rPr>
          <w:b/>
          <w:bCs/>
        </w:rPr>
        <w:t xml:space="preserve">be capable of substantiation, producible on demand</w:t>
      </w:r>
      <w:r>
        <w:t xml:space="preserve"> </w:t>
      </w:r>
      <w:r>
        <w:t xml:space="preserve">(</w:t>
      </w:r>
      <w:hyperlink r:id="rId20">
        <w:r>
          <w:rPr>
            <w:rStyle w:val="Hyperlink"/>
          </w:rPr>
          <w:t xml:space="preserve">Khaitan &amp; Co</w:t>
        </w:r>
      </w:hyperlink>
      <w:r>
        <w:t xml:space="preserve">;</w:t>
      </w:r>
      <w:r>
        <w:t xml:space="preserve"> </w:t>
      </w:r>
      <w:hyperlink r:id="rId203">
        <w:r>
          <w:rPr>
            <w:rStyle w:val="Hyperlink"/>
          </w:rPr>
          <w:t xml:space="preserve">LKS</w:t>
        </w:r>
      </w:hyperlink>
      <w:r>
        <w:t xml:space="preserve">), as does</w:t>
      </w:r>
      <w:r>
        <w:t xml:space="preserve"> </w:t>
      </w:r>
      <w:r>
        <w:rPr>
          <w:b/>
          <w:bCs/>
        </w:rPr>
        <w:t xml:space="preserve">ASCI Code Chapter I</w:t>
      </w:r>
      <w:r>
        <w:t xml:space="preserve"> </w:t>
      </w:r>
      <w:r>
        <w:t xml:space="preserve">(</w:t>
      </w:r>
      <w:hyperlink r:id="rId204">
        <w:r>
          <w:rPr>
            <w:rStyle w:val="Hyperlink"/>
          </w:rPr>
          <w:t xml:space="preserve">ASCI</w:t>
        </w:r>
      </w:hyperlink>
      <w:r>
        <w:t xml:space="preserve">).</w:t>
      </w:r>
    </w:p>
    <w:p>
      <w:pPr>
        <w:pStyle w:val="BodyText"/>
      </w:pPr>
      <w:r>
        <w:t xml:space="preserve">“Image”</w:t>
      </w:r>
      <w:r>
        <w:t xml:space="preserve"> </w:t>
      </w:r>
      <w:r>
        <w:t xml:space="preserve">has no statutory definition, so a tribunal takes ordinary and technical meanings. The ordinary meaning favours you.</w:t>
      </w:r>
      <w:r>
        <w:t xml:space="preserve"> </w:t>
      </w:r>
      <w:r>
        <w:rPr>
          <w:b/>
          <w:bCs/>
        </w:rPr>
        <w:t xml:space="preserve">The technical meaning does not: an N-zone photodiode array read out as a grid is, in signal-processing terms, an image of N pixels</w:t>
      </w:r>
      <w:r>
        <w:t xml:space="preserve"> </w:t>
      </w:r>
      <w:r>
        <w:t xml:space="preserve">— an 8×8 thermopile is universally called a</w:t>
      </w:r>
      <w:r>
        <w:t xml:space="preserve"> </w:t>
      </w:r>
      <w:r>
        <w:t xml:space="preserve">“thermal image sensor.”</w:t>
      </w:r>
      <w:r>
        <w:t xml:space="preserve"> </w:t>
      </w:r>
      <w:r>
        <w:t xml:space="preserve">You would be arguing about</w:t>
      </w:r>
      <w:r>
        <w:t xml:space="preserve"> </w:t>
      </w:r>
      <w:r>
        <w:rPr>
          <w:i/>
          <w:iCs/>
        </w:rPr>
        <w:t xml:space="preserve">degree</w:t>
      </w:r>
      <w:r>
        <w:t xml:space="preserve"> </w:t>
      </w:r>
      <w:r>
        <w:t xml:space="preserve">while your advertisement asserts an</w:t>
      </w:r>
      <w:r>
        <w:t xml:space="preserve"> </w:t>
      </w:r>
      <w:r>
        <w:rPr>
          <w:i/>
          <w:iCs/>
        </w:rPr>
        <w:t xml:space="preserve">absolute</w:t>
      </w:r>
      <w:r>
        <w:t xml:space="preserve">. A negative absolute invites a single counter-example to destroy it, and one is easy to produce: a debug dump of the zone array rendered as a PNG, or a reviewer reconstructing a recognisable shadow outline.</w:t>
      </w:r>
      <w:r>
        <w:t xml:space="preserve"> </w:t>
      </w:r>
      <w:r>
        <w:rPr>
          <w:b/>
          <w:bCs/>
        </w:rPr>
        <w:t xml:space="preserve">And the disclaimer route is closed</w:t>
      </w:r>
      <w:r>
        <w:t xml:space="preserve"> </w:t>
      </w:r>
      <w:r>
        <w:t xml:space="preserve">— the Guidelines expressly bar disclaimers that contradict the material claim or attempt to correct a misleading one, and require same language, matching font and prominent placement (</w:t>
      </w:r>
      <w:hyperlink r:id="rId205">
        <w:r>
          <w:rPr>
            <w:rStyle w:val="Hyperlink"/>
          </w:rPr>
          <w:t xml:space="preserve">Obhan &amp; Associates</w:t>
        </w:r>
      </w:hyperlink>
      <w:r>
        <w:t xml:space="preserve">). An asterisk explaining that it does produce a 64-zone array would be worse than useless.</w:t>
      </w:r>
    </w:p>
    <w:p>
      <w:pPr>
        <w:pStyle w:val="BodyText"/>
      </w:pPr>
      <w:r>
        <w:rPr>
          <w:b/>
          <w:bCs/>
        </w:rPr>
        <w:t xml:space="preserve">Say this instead, ranked safest first:</w:t>
      </w:r>
      <w:r>
        <w:t xml:space="preserve"> </w:t>
      </w:r>
      <w:r>
        <w:t xml:space="preserve">1.</w:t>
      </w:r>
      <w:r>
        <w:t xml:space="preserve"> </w:t>
      </w:r>
      <w:r>
        <w:rPr>
          <w:b/>
          <w:bCs/>
        </w:rPr>
        <w:t xml:space="preserve">“The sensor measures light in N zones. At that resolution it cannot resolve faces, bodies, text or objects.”</w:t>
      </w:r>
      <w:r>
        <w:t xml:space="preserve"> </w:t>
      </w:r>
      <w:r>
        <w:t xml:space="preserve">— affirmative, discloses the spatial capability rather than hiding it, states a number a tester can check, and</w:t>
      </w:r>
      <w:r>
        <w:t xml:space="preserve"> </w:t>
      </w:r>
      <w:r>
        <w:t xml:space="preserve">“cannot resolve”</w:t>
      </w:r>
      <w:r>
        <w:t xml:space="preserve"> </w:t>
      </w:r>
      <w:r>
        <w:t xml:space="preserve">is substantiable by a resolution calculation plus a lab demonstration.</w:t>
      </w:r>
      <w:r>
        <w:t xml:space="preserve"> </w:t>
      </w:r>
      <w:r>
        <w:t xml:space="preserve">2.</w:t>
      </w:r>
      <w:r>
        <w:t xml:space="preserve"> </w:t>
      </w:r>
      <w:r>
        <w:rPr>
          <w:b/>
          <w:bCs/>
        </w:rPr>
        <w:t xml:space="preserve">“This product contains no camera, no microphone and no image sensor. It uses an N-zone photodiode array that measures illuminance and colour temperature.”</w:t>
      </w:r>
      <w:r>
        <w:t xml:space="preserve"> </w:t>
      </w:r>
      <w:r>
        <w:t xml:space="preserve">3.</w:t>
      </w:r>
      <w:r>
        <w:t xml:space="preserve"> </w:t>
      </w:r>
      <w:r>
        <w:rPr>
          <w:b/>
          <w:bCs/>
        </w:rPr>
        <w:t xml:space="preserve">“No photographs or video are captured or stored at any time.”</w:t>
      </w:r>
      <w:r>
        <w:t xml:space="preserve"> </w:t>
      </w:r>
      <w:r>
        <w:t xml:space="preserve">4.</w:t>
      </w:r>
      <w:r>
        <w:t xml:space="preserve"> </w:t>
      </w:r>
      <w:r>
        <w:rPr>
          <w:b/>
          <w:bCs/>
        </w:rPr>
        <w:t xml:space="preserve">“No data of any kind leaves the device.”</w:t>
      </w:r>
      <w:r>
        <w:t xml:space="preserve"> </w:t>
      </w:r>
      <w:r>
        <w:t xml:space="preserve">—</w:t>
      </w:r>
      <w:r>
        <w:t xml:space="preserve"> </w:t>
      </w:r>
      <w:r>
        <w:rPr>
          <w:b/>
          <w:bCs/>
        </w:rPr>
        <w:t xml:space="preserve">this is the claim that actually sells the product, and it is the easiest one to prove</w:t>
      </w:r>
      <w:r>
        <w:t xml:space="preserve">, by packet capture and RF scan.</w:t>
      </w:r>
    </w:p>
    <w:p>
      <w:pPr>
        <w:pStyle w:val="BodyText"/>
      </w:pPr>
      <w:r>
        <w:t xml:space="preserve">Avoid</w:t>
      </w:r>
      <w:r>
        <w:t xml:space="preserve"> </w:t>
      </w:r>
      <w:r>
        <w:rPr>
          <w:b/>
          <w:bCs/>
        </w:rPr>
        <w:t xml:space="preserve">“No image data leaves the device”</w:t>
      </w:r>
      <w:r>
        <w:t xml:space="preserve"> </w:t>
      </w:r>
      <w:r>
        <w:t xml:space="preserve">— it logically concedes image data exists and implies other data might leave. Avoid</w:t>
      </w:r>
      <w:r>
        <w:t xml:space="preserve"> </w:t>
      </w:r>
      <w:r>
        <w:rPr>
          <w:b/>
          <w:bCs/>
        </w:rPr>
        <w:t xml:space="preserve">“literally cannot see you”</w:t>
      </w:r>
      <w:r>
        <w:t xml:space="preserve"> </w:t>
      </w:r>
      <w:r>
        <w:t xml:space="preserve">and</w:t>
      </w:r>
      <w:r>
        <w:t xml:space="preserve"> </w:t>
      </w:r>
      <w:r>
        <w:rPr>
          <w:b/>
          <w:bCs/>
        </w:rPr>
        <w:t xml:space="preserve">“blind by design”</w:t>
      </w:r>
      <w:r>
        <w:t xml:space="preserve"> </w:t>
      </w:r>
      <w:r>
        <w:t xml:space="preserve">— if the zone array can distinguish a person crossing the room from an empty room (and it will, because occupancy inference is a feature), the claim is false on its face.</w:t>
      </w:r>
    </w:p>
    <w:p>
      <w:pPr>
        <w:pStyle w:val="BodyText"/>
      </w:pPr>
      <w:r>
        <w:rPr>
          <w:b/>
          <w:bCs/>
        </w:rPr>
        <w:t xml:space="preserve">“CRI 95”</w:t>
      </w:r>
      <w:r>
        <w:rPr>
          <w:b/>
          <w:bCs/>
        </w:rPr>
        <w:t xml:space="preserve"> </w:t>
      </w:r>
      <w:r>
        <w:rPr>
          <w:b/>
          <w:bCs/>
        </w:rPr>
        <w:t xml:space="preserve">unqualified on a tunable, dimmable product is very likely misleading.</w:t>
      </w:r>
      <w:r>
        <w:t xml:space="preserve"> </w:t>
      </w:r>
      <w:r>
        <w:t xml:space="preserve">CRI (Ra) is defined by</w:t>
      </w:r>
      <w:r>
        <w:t xml:space="preserve"> </w:t>
      </w:r>
      <w:r>
        <w:rPr>
          <w:b/>
          <w:bCs/>
        </w:rPr>
        <w:t xml:space="preserve">CIE 13.3-1995</w:t>
      </w:r>
      <w:r>
        <w:t xml:space="preserve"> </w:t>
      </w:r>
      <w:r>
        <w:t xml:space="preserve">as the mean of the first eight test colour samples R1–R8, with extended indices covering saturated colours R9–R12, skin R13, leaf green R14 and Asian skin tone R15 (</w:t>
      </w:r>
      <w:hyperlink r:id="rId206">
        <w:r>
          <w:rPr>
            <w:rStyle w:val="Hyperlink"/>
          </w:rPr>
          <w:t xml:space="preserve">XAL</w:t>
        </w:r>
      </w:hyperlink>
      <w:r>
        <w:t xml:space="preserve">); the test method for LED products is</w:t>
      </w:r>
      <w:r>
        <w:t xml:space="preserve"> </w:t>
      </w:r>
      <w:r>
        <w:rPr>
          <w:b/>
          <w:bCs/>
        </w:rPr>
        <w:t xml:space="preserve">CIE S 025/E:2015</w:t>
      </w:r>
      <w:r>
        <w:t xml:space="preserve"> </w:t>
      </w:r>
      <w:r>
        <w:t xml:space="preserve">(</w:t>
      </w:r>
      <w:hyperlink r:id="rId207">
        <w:r>
          <w:rPr>
            <w:rStyle w:val="Hyperlink"/>
          </w:rPr>
          <w:t xml:space="preserve">LISUN</w:t>
        </w:r>
      </w:hyperlink>
      <w:r>
        <w:t xml:space="preserve">).</w:t>
      </w:r>
      <w:r>
        <w:t xml:space="preserve"> </w:t>
      </w:r>
      <w:r>
        <w:rPr>
          <w:b/>
          <w:bCs/>
        </w:rPr>
        <w:t xml:space="preserve">It is a point measurement at one CCT and one output level.</w:t>
      </w:r>
      <w:r>
        <w:t xml:space="preserve"> </w:t>
      </w:r>
      <w:r>
        <w:t xml:space="preserve">Your product deliberately varies both, which changes the spectral power distribution and therefore Ra — and in multi-channel tunable luminaires CRI commonly falls at the ends of the CCT range.</w:t>
      </w:r>
      <w:r>
        <w:t xml:space="preserve"> </w:t>
      </w:r>
      <w:r>
        <w:rPr>
          <w:b/>
          <w:bCs/>
        </w:rPr>
        <w:t xml:space="preserve">So</w:t>
      </w:r>
      <w:r>
        <w:rPr>
          <w:b/>
          <w:bCs/>
        </w:rPr>
        <w:t xml:space="preserve"> </w:t>
      </w:r>
      <w:r>
        <w:rPr>
          <w:b/>
          <w:bCs/>
        </w:rPr>
        <w:t xml:space="preserve">“CRI 95”</w:t>
      </w:r>
      <w:r>
        <w:rPr>
          <w:b/>
          <w:bCs/>
        </w:rPr>
        <w:t xml:space="preserve"> </w:t>
      </w:r>
      <w:r>
        <w:rPr>
          <w:b/>
          <w:bCs/>
        </w:rPr>
        <w:t xml:space="preserve">is a claim that is true at one setpoint and false at others</w:t>
      </w:r>
      <w:r>
        <w:t xml:space="preserve">, engaging s.2(28)(ii) and arguably s.2(28)(iv).</w:t>
      </w:r>
    </w:p>
    <w:p>
      <w:pPr>
        <w:pStyle w:val="BodyText"/>
      </w:pPr>
      <w:r>
        <w:t xml:space="preserve">The industry norm is to print a single figure quoted at nominal CCT and full output with the conditions buried in a datasheet.</w:t>
      </w:r>
      <w:r>
        <w:t xml:space="preserve"> </w:t>
      </w:r>
      <w:r>
        <w:rPr>
          <w:b/>
          <w:bCs/>
        </w:rPr>
        <w:t xml:space="preserve">That norm is widespread but it is not a defence</w:t>
      </w:r>
      <w:r>
        <w:t xml:space="preserve"> </w:t>
      </w:r>
      <w:r>
        <w:t xml:space="preserve">— the Guidelines make you responsible for substantiating the claim as a consumer would understand it, and a consumer reading</w:t>
      </w:r>
      <w:r>
        <w:t xml:space="preserve"> </w:t>
      </w:r>
      <w:r>
        <w:t xml:space="preserve">“CRI 95”</w:t>
      </w:r>
      <w:r>
        <w:t xml:space="preserve"> </w:t>
      </w:r>
      <w:r>
        <w:t xml:space="preserve">understands</w:t>
      </w:r>
      <w:r>
        <w:t xml:space="preserve"> </w:t>
      </w:r>
      <w:r>
        <w:t xml:space="preserve">“when I use it,”</w:t>
      </w:r>
      <w:r>
        <w:t xml:space="preserve"> </w:t>
      </w:r>
      <w:r>
        <w:t xml:space="preserve">not</w:t>
      </w:r>
      <w:r>
        <w:t xml:space="preserve"> </w:t>
      </w:r>
      <w:r>
        <w:t xml:space="preserve">“at 4000 K at 100% only.”</w:t>
      </w:r>
    </w:p>
    <w:p>
      <w:pPr>
        <w:pStyle w:val="BodyText"/>
      </w:pPr>
      <w:r>
        <w:rPr>
          <w:b/>
          <w:bCs/>
        </w:rPr>
        <w:t xml:space="preserve">Say instead:</w:t>
      </w:r>
      <w:r>
        <w:rPr>
          <w:b/>
          <w:bCs/>
        </w:rPr>
        <w:t xml:space="preserve"> </w:t>
      </w:r>
      <w:r>
        <w:rPr>
          <w:b/>
          <w:bCs/>
        </w:rPr>
        <w:t xml:space="preserve">“CRI (Ra) ≥ 90 across the full 2700–6500 K tuning range and from 10% to 100% output; Ra 95 at 4000 K, 100% output.”</w:t>
      </w:r>
      <w:r>
        <w:t xml:space="preserve"> </w:t>
      </w:r>
      <w:r>
        <w:t xml:space="preserve">Two claims, each separately substantiable, each with stated conditions, and the guaranteed floor is the one that carries the range.</w:t>
      </w:r>
      <w:r>
        <w:t xml:space="preserve"> </w:t>
      </w:r>
      <w:r>
        <w:rPr>
          <w:b/>
          <w:bCs/>
        </w:rPr>
        <w:t xml:space="preserve">Better still, publish the CRI-vs-CCT and CRI-vs-dim-level curves</w:t>
      </w:r>
      <w:r>
        <w:t xml:space="preserve"> </w:t>
      </w:r>
      <w:r>
        <w:t xml:space="preserve">— it converts a contestable headline into a disclosed dataset, satisfies the no-concealment limb, and is a genuine differentiator a competitor printing a bare number cannot match.</w:t>
      </w:r>
      <w:r>
        <w:t xml:space="preserve"> </w:t>
      </w:r>
      <w:r>
        <w:rPr>
          <w:b/>
          <w:bCs/>
        </w:rPr>
        <w:t xml:space="preserve">And claim R9 separately if it is good</w:t>
      </w:r>
      <w:r>
        <w:t xml:space="preserve"> </w:t>
      </w:r>
      <w:r>
        <w:t xml:space="preserve">(</w:t>
      </w:r>
      <w:r>
        <w:t xml:space="preserve">“Ra 95, R9 &gt; 90”</w:t>
      </w:r>
      <w:r>
        <w:t xml:space="preserve">), because Ra excludes saturated red and that is where cheap high-CRI LEDs fail; a reviewer who measures a low R9 will publicly frame</w:t>
      </w:r>
      <w:r>
        <w:t xml:space="preserve"> </w:t>
      </w:r>
      <w:r>
        <w:t xml:space="preserve">“CRI 95”</w:t>
      </w:r>
      <w:r>
        <w:t xml:space="preserve"> </w:t>
      </w:r>
      <w:r>
        <w:t xml:space="preserve">as misleading even though Ra is technically correct.</w:t>
      </w:r>
    </w:p>
    <w:p>
      <w:pPr>
        <w:pStyle w:val="BodyText"/>
      </w:pPr>
      <w:r>
        <w:rPr>
          <w:b/>
          <w:bCs/>
        </w:rPr>
        <w:t xml:space="preserve">Measurement uncertainty is routinely ignored and is a classic substantiation failure.</w:t>
      </w:r>
      <w:r>
        <w:t xml:space="preserve"> </w:t>
      </w:r>
      <w:r>
        <w:t xml:space="preserve">A product that measures 95 is honestly stated as</w:t>
      </w:r>
      <w:r>
        <w:t xml:space="preserve"> </w:t>
      </w:r>
      <w:r>
        <w:t xml:space="preserve">“Ra ≥ 93”</w:t>
      </w:r>
      <w:r>
        <w:t xml:space="preserve"> </w:t>
      </w:r>
      <w:r>
        <w:t xml:space="preserve">or</w:t>
      </w:r>
      <w:r>
        <w:t xml:space="preserve"> </w:t>
      </w:r>
      <w:r>
        <w:t xml:space="preserve">“Ra 95 ± [uncertainty]”</w:t>
      </w:r>
      <w:r>
        <w:t xml:space="preserve">.</w:t>
      </w:r>
      <w:r>
        <w:t xml:space="preserve"> </w:t>
      </w:r>
      <w:r>
        <w:rPr>
          <w:i/>
          <w:iCs/>
        </w:rPr>
        <w:t xml:space="preserve">(Typical laboratory uncertainty on Ra was not sourced and no figure is stated here. The often-quoted IEC 62717 tolerance of</w:t>
      </w:r>
      <w:r>
        <w:rPr>
          <w:i/>
          <w:iCs/>
        </w:rPr>
        <w:t xml:space="preserve"> </w:t>
      </w:r>
      <w:r>
        <w:rPr>
          <w:i/>
          <w:iCs/>
        </w:rPr>
        <w:t xml:space="preserve">“rated Ra minus 3”</w:t>
      </w:r>
      <w:r>
        <w:rPr>
          <w:i/>
          <w:iCs/>
        </w:rPr>
        <w:t xml:space="preserve"> </w:t>
      </w:r>
      <w:r>
        <w:rPr>
          <w:i/>
          <w:iCs/>
        </w:rPr>
        <w:t xml:space="preserve">could not be verified and must not be published.)</w:t>
      </w:r>
      <w:r>
        <w:t xml:space="preserve"> </w:t>
      </w:r>
      <w:r>
        <w:t xml:space="preserve">Note also the trap in declaring a value:</w:t>
      </w:r>
      <w:r>
        <w:t xml:space="preserve"> </w:t>
      </w:r>
      <w:r>
        <w:rPr>
          <w:b/>
          <w:bCs/>
        </w:rPr>
        <w:t xml:space="preserve">where a manufacturer declares a performance value, that becomes the value the product must meet on test.</w:t>
      </w:r>
      <w:r>
        <w:t xml:space="preserve"> </w:t>
      </w:r>
      <w:r>
        <w:t xml:space="preserve">Printing</w:t>
      </w:r>
      <w:r>
        <w:t xml:space="preserve"> </w:t>
      </w:r>
      <w:r>
        <w:t xml:space="preserve">“95”</w:t>
      </w:r>
      <w:r>
        <w:t xml:space="preserve"> </w:t>
      </w:r>
      <w:r>
        <w:t xml:space="preserve">on the box converts a marketing number into a BIS conformity obligation.</w:t>
      </w:r>
    </w:p>
    <w:p>
      <w:pPr>
        <w:pStyle w:val="BodyText"/>
      </w:pPr>
      <w:r>
        <w:rPr>
          <w:b/>
          <w:bCs/>
        </w:rPr>
        <w:t xml:space="preserve">Your substantiation file must exist before the advertisement runs</w:t>
      </w:r>
      <w:r>
        <w:t xml:space="preserve">, not be assembled after a notice arrives. Contents: the BOM with sensor part number and datasheet showing device class; a resolution statement with zone count, per-zone field of view and ground sample distance at room distances, plus the arithmetic showing it exceeds facial-feature scale; a demonstration report with raw zone output rendered beside the scene, ideally witnessed by an independent consultant with source and date; a signed firmware architecture statement recording no frame buffer, no image encoder, no persistent storage of the zone array, no egress path, plus the build-time test that enforces it;</w:t>
      </w:r>
      <w:r>
        <w:t xml:space="preserve"> </w:t>
      </w:r>
      <w:r>
        <w:rPr>
          <w:b/>
          <w:bCs/>
        </w:rPr>
        <w:t xml:space="preserve">a packet-capture report repeated for each firmware release</w:t>
      </w:r>
      <w:r>
        <w:t xml:space="preserve"> </w:t>
      </w:r>
      <w:r>
        <w:t xml:space="preserve">— the claim must be true of the shipped build, not the prototype; and a claims register listing every claim, its exact wording, the supporting evidence, the approval date and the approver.</w:t>
      </w:r>
      <w:r>
        <w:t xml:space="preserve"> </w:t>
      </w:r>
      <w:r>
        <w:rPr>
          <w:b/>
          <w:bCs/>
        </w:rPr>
        <w:t xml:space="preserve">A claim true of v1.0 and false of v1.3 is a misleading advertisement for every unit sold after v1.3.</w:t>
      </w:r>
    </w:p>
    <w:p>
      <w:r>
        <w:pict>
          <v:rect style="width:0;height:1.5pt" o:hralign="center" o:hrstd="t" o:hr="t"/>
        </w:pict>
      </w:r>
    </w:p>
    <w:bookmarkEnd w:id="208"/>
    <w:bookmarkEnd w:id="209"/>
    <w:bookmarkStart w:id="247" w:name="X95f0a4b9145882d369c7285853feacebbdbb8f9"/>
    <w:p>
      <w:pPr>
        <w:pStyle w:val="Heading2"/>
      </w:pPr>
      <w:r>
        <w:t xml:space="preserve">Two entities, sequenced — and the hardware company is the patent applicant</w:t>
      </w:r>
    </w:p>
    <w:p>
      <w:pPr>
        <w:pStyle w:val="FirstParagraph"/>
      </w:pPr>
      <w:r>
        <w:rPr>
          <w:b/>
          <w:bCs/>
        </w:rPr>
        <w:t xml:space="preserve">Recommendation: two entities. Amend the existing company’s objects clause now, incorporate the hardware company now, run early R&amp;D inside the existing company to capture loss set-off, and move all customer-facing hardware activity into the new company before the first unit ships. File lighting hardware patents in the new company from the first filing.</w:t>
      </w:r>
    </w:p>
    <w:bookmarkStart w:id="218" w:name="X47ab91241bc33f22aa7e4253e1d10c60a7e90d4"/>
    <w:p>
      <w:pPr>
        <w:pStyle w:val="Heading3"/>
      </w:pPr>
      <w:r>
        <w:t xml:space="preserve">The MOA almost certainly needs amending, and possibly already did</w:t>
      </w:r>
    </w:p>
    <w:p>
      <w:pPr>
        <w:pStyle w:val="FirstParagraph"/>
      </w:pPr>
      <w:r>
        <w:rPr>
          <w:b/>
          <w:bCs/>
        </w:rPr>
        <w:t xml:space="preserve">Correct a widespread misconception first: the 2017 Amendment did NOT make objects clauses irrelevant.</w:t>
      </w:r>
      <w:r>
        <w:t xml:space="preserve"> </w:t>
      </w:r>
      <w:r>
        <w:t xml:space="preserve">The Companies (Amendment) Bill 2017 originally proposed a universal objects clause permitting a company to</w:t>
      </w:r>
      <w:r>
        <w:t xml:space="preserve"> </w:t>
      </w:r>
      <w:r>
        <w:t xml:space="preserve">“engage in any lawful act or activity or business,”</w:t>
      </w:r>
      <w:r>
        <w:t xml:space="preserve"> </w:t>
      </w:r>
      <w:r>
        <w:t xml:space="preserve">but</w:t>
      </w:r>
      <w:r>
        <w:t xml:space="preserve"> </w:t>
      </w:r>
      <w:r>
        <w:rPr>
          <w:b/>
          <w:bCs/>
        </w:rPr>
        <w:t xml:space="preserve">the Standing Committee on Finance objected that it</w:t>
      </w:r>
      <w:r>
        <w:rPr>
          <w:b/>
          <w:bCs/>
        </w:rPr>
        <w:t xml:space="preserve"> </w:t>
      </w:r>
      <w:r>
        <w:rPr>
          <w:b/>
          <w:bCs/>
        </w:rPr>
        <w:t xml:space="preserve">“may lead to creation of bogus entities”</w:t>
      </w:r>
      <w:r>
        <w:rPr>
          <w:b/>
          <w:bCs/>
        </w:rPr>
        <w:t xml:space="preserve"> </w:t>
      </w:r>
      <w:r>
        <w:rPr>
          <w:b/>
          <w:bCs/>
        </w:rPr>
        <w:t xml:space="preserve">and the proposal was removed before enactment</w:t>
      </w:r>
      <w:r>
        <w:t xml:space="preserve">; status quo was restored in the Bill as passed on 27 July 2017 (</w:t>
      </w:r>
      <w:hyperlink r:id="rId210">
        <w:r>
          <w:rPr>
            <w:rStyle w:val="Hyperlink"/>
          </w:rPr>
          <w:t xml:space="preserve">IndiaCorpLaw</w:t>
        </w:r>
      </w:hyperlink>
      <w:r>
        <w:t xml:space="preserve">;</w:t>
      </w:r>
      <w:r>
        <w:t xml:space="preserve"> </w:t>
      </w:r>
      <w:hyperlink r:id="rId211">
        <w:r>
          <w:rPr>
            <w:rStyle w:val="Hyperlink"/>
          </w:rPr>
          <w:t xml:space="preserve">Lexology</w:t>
        </w:r>
      </w:hyperlink>
      <w:r>
        <w:t xml:space="preserve">).</w:t>
      </w:r>
      <w:r>
        <w:t xml:space="preserve"> </w:t>
      </w:r>
      <w:r>
        <w:rPr>
          <w:b/>
          <w:bCs/>
        </w:rPr>
        <w:t xml:space="preserve">Section 4(1)(c) stands. A software-worded MOA does not confer power to manufacture hardware.</w:t>
      </w:r>
    </w:p>
    <w:p>
      <w:pPr>
        <w:pStyle w:val="BodyText"/>
      </w:pPr>
      <w:r>
        <w:t xml:space="preserve">The doctrine of ultra vires survives in India and is stronger here than in the UK.</w:t>
      </w:r>
      <w:r>
        <w:t xml:space="preserve"> </w:t>
      </w:r>
      <w:r>
        <w:rPr>
          <w:i/>
          <w:iCs/>
        </w:rPr>
        <w:t xml:space="preserve">Ashbury Railway Carriage v Riche</w:t>
      </w:r>
      <w:r>
        <w:t xml:space="preserve"> </w:t>
      </w:r>
      <w:r>
        <w:t xml:space="preserve">makes an ultra vires act</w:t>
      </w:r>
      <w:r>
        <w:t xml:space="preserve"> </w:t>
      </w:r>
      <w:r>
        <w:rPr>
          <w:b/>
          <w:bCs/>
        </w:rPr>
        <w:t xml:space="preserve">void ab initio and incapable of ratification even by unanimous shareholder consent</w:t>
      </w:r>
      <w:r>
        <w:t xml:space="preserve">, and</w:t>
      </w:r>
      <w:r>
        <w:t xml:space="preserve"> </w:t>
      </w:r>
      <w:r>
        <w:rPr>
          <w:b/>
          <w:bCs/>
          <w:i/>
          <w:iCs/>
        </w:rPr>
        <w:t xml:space="preserve">A. Lakshmanaswami Mudaliar v Life Insurance Corporation of India</w:t>
      </w:r>
      <w:r>
        <w:rPr>
          <w:b/>
          <w:bCs/>
        </w:rPr>
        <w:t xml:space="preserve">, AIR 1963 SC 1185</w:t>
      </w:r>
      <w:r>
        <w:t xml:space="preserve">, held directors who authorise an ultra vires application of funds</w:t>
      </w:r>
      <w:r>
        <w:t xml:space="preserve"> </w:t>
      </w:r>
      <w:r>
        <w:rPr>
          <w:b/>
          <w:bCs/>
        </w:rPr>
        <w:t xml:space="preserve">personally liable to make good the money</w:t>
      </w:r>
      <w:r>
        <w:t xml:space="preserve">.</w:t>
      </w:r>
    </w:p>
    <w:p>
      <w:pPr>
        <w:pStyle w:val="BodyText"/>
      </w:pPr>
      <w:r>
        <w:rPr>
          <w:b/>
          <w:bCs/>
        </w:rPr>
        <w:t xml:space="preserve">Be honest about where the risk actually sits.</w:t>
      </w:r>
      <w:r>
        <w:t xml:space="preserve"> </w:t>
      </w:r>
      <w:r>
        <w:t xml:space="preserve">ROC enforcement is close to nil — there is no penal section headed</w:t>
      </w:r>
      <w:r>
        <w:t xml:space="preserve"> </w:t>
      </w:r>
      <w:r>
        <w:t xml:space="preserve">“carrying on business outside objects”</w:t>
      </w:r>
      <w:r>
        <w:t xml:space="preserve"> </w:t>
      </w:r>
      <w:r>
        <w:t xml:space="preserve">and registrars do not audit small private companies.</w:t>
      </w:r>
      <w:r>
        <w:t xml:space="preserve"> </w:t>
      </w:r>
      <w:r>
        <w:rPr>
          <w:b/>
          <w:bCs/>
        </w:rPr>
        <w:t xml:space="preserve">The realistic triggers are diligence and insurance:</w:t>
      </w:r>
      <w:r>
        <w:t xml:space="preserve"> </w:t>
      </w:r>
      <w:r>
        <w:t xml:space="preserve">a seed/Series A investor’s legal DD will flag</w:t>
      </w:r>
      <w:r>
        <w:t xml:space="preserve"> </w:t>
      </w:r>
      <w:r>
        <w:t xml:space="preserve">“the company carries on a manufacturing business not covered by its objects”</w:t>
      </w:r>
      <w:r>
        <w:t xml:space="preserve"> </w:t>
      </w:r>
      <w:r>
        <w:t xml:space="preserve">as a condition precedent; a product liability insurer can resist a claim on the ground the insured activity was not one the company was empowered to carry on; an acquirer’s DD; and</w:t>
      </w:r>
      <w:r>
        <w:t xml:space="preserve"> </w:t>
      </w:r>
      <w:r>
        <w:rPr>
          <w:b/>
          <w:bCs/>
        </w:rPr>
        <w:t xml:space="preserve">a lending partner’s constitutional-document check on the borrower-facing entity</w:t>
      </w:r>
      <w:r>
        <w:t xml:space="preserve"> </w:t>
      </w:r>
      <w:r>
        <w:t xml:space="preserve">— which, given Modulus and a lending partner, is not hypothetical.</w:t>
      </w:r>
      <w:r>
        <w:t xml:space="preserve"> </w:t>
      </w:r>
      <w:r>
        <w:rPr>
          <w:b/>
          <w:bCs/>
        </w:rPr>
        <w:t xml:space="preserve">Plus the director-liability edge: if the hardware line fails and a creditor or an investor-controlled board looks for recovery,</w:t>
      </w:r>
      <w:r>
        <w:rPr>
          <w:b/>
          <w:bCs/>
        </w:rPr>
        <w:t xml:space="preserve"> </w:t>
      </w:r>
      <w:r>
        <w:rPr>
          <w:b/>
          <w:bCs/>
        </w:rPr>
        <w:t xml:space="preserve">“the directors spent ₹X on a business the company had no power to carry on”</w:t>
      </w:r>
      <w:r>
        <w:rPr>
          <w:b/>
          <w:bCs/>
        </w:rPr>
        <w:t xml:space="preserve"> </w:t>
      </w:r>
      <w:r>
        <w:rPr>
          <w:b/>
          <w:bCs/>
        </w:rPr>
        <w:t xml:space="preserve">is a coherent claim.</w:t>
      </w:r>
    </w:p>
    <w:p>
      <w:pPr>
        <w:pStyle w:val="BodyText"/>
      </w:pPr>
      <w:r>
        <w:rPr>
          <w:b/>
          <w:bCs/>
        </w:rPr>
        <w:t xml:space="preserve">Your first action is to read your own filed MOA.</w:t>
      </w:r>
      <w:r>
        <w:t xml:space="preserve"> </w:t>
      </w:r>
      <w:r>
        <w:t xml:space="preserve">Retrieve it from MCA21 → MCA Services →</w:t>
      </w:r>
      <w:r>
        <w:t xml:space="preserve"> </w:t>
      </w:r>
      <w:r>
        <w:rPr>
          <w:b/>
          <w:bCs/>
        </w:rPr>
        <w:t xml:space="preserve">View Public Documents</w:t>
      </w:r>
      <w:r>
        <w:t xml:space="preserve">, search</w:t>
      </w:r>
      <w:r>
        <w:t xml:space="preserve"> </w:t>
      </w:r>
      <w:r>
        <w:t xml:space="preserve">“MODULARK TECH LABS PRIVATE LIMITED”</w:t>
      </w:r>
      <w:r>
        <w:t xml:space="preserve">, open Incorporation Documents, download the</w:t>
      </w:r>
      <w:r>
        <w:t xml:space="preserve"> </w:t>
      </w:r>
      <w:r>
        <w:rPr>
          <w:b/>
          <w:bCs/>
        </w:rPr>
        <w:t xml:space="preserve">e-MOA (INC-33)</w:t>
      </w:r>
      <w:r>
        <w:t xml:space="preserve"> </w:t>
      </w:r>
      <w:r>
        <w:t xml:space="preserve">— or find it in the incorporation kit from the CS who incorporated the company, which is faster and free.</w:t>
      </w:r>
      <w:r>
        <w:t xml:space="preserve"> </w:t>
      </w:r>
      <w:r>
        <w:rPr>
          <w:i/>
          <w:iCs/>
        </w:rPr>
        <w:t xml:space="preserve">(The VPD fee was historically ₹100 for three hours’ access; the portal has been revised under MCA21 V3, so check at point of use.)</w:t>
      </w:r>
    </w:p>
    <w:p>
      <w:pPr>
        <w:pStyle w:val="BodyText"/>
      </w:pPr>
      <w:r>
        <w:rPr>
          <w:b/>
          <w:bCs/>
        </w:rPr>
        <w:t xml:space="preserve">The test — hunt for these verbs: manufacture, assemble, fabricate, produce, process. And these nouns: electrical, electronic, electro-mechanical, apparatus, appliances, goods, hardware, lighting, luminaires, LED.</w:t>
      </w:r>
      <w:r>
        <w:t xml:space="preserve"> </w:t>
      </w:r>
      <w:r>
        <w:t xml:space="preserve">A clause permitting the company</w:t>
      </w:r>
      <w:r>
        <w:t xml:space="preserve"> </w:t>
      </w:r>
      <w:r>
        <w:t xml:space="preserve">“to deal in”</w:t>
      </w:r>
      <w:r>
        <w:t xml:space="preserve"> </w:t>
      </w:r>
      <w:r>
        <w:t xml:space="preserve">or</w:t>
      </w:r>
      <w:r>
        <w:t xml:space="preserve"> </w:t>
      </w:r>
      <w:r>
        <w:t xml:space="preserve">“to trade in”</w:t>
      </w:r>
      <w:r>
        <w:t xml:space="preserve"> </w:t>
      </w:r>
      <w:r>
        <w:t xml:space="preserve">goods covers buying and reselling, arguably not manufacture. And the residual</w:t>
      </w:r>
      <w:r>
        <w:t xml:space="preserve"> </w:t>
      </w:r>
      <w:r>
        <w:t xml:space="preserve">“any matter considered necessary in furtherance thereof”</w:t>
      </w:r>
      <w:r>
        <w:t xml:space="preserve"> </w:t>
      </w:r>
      <w:r>
        <w:t xml:space="preserve">reaches only matters genuinely incidental to a stated object —</w:t>
      </w:r>
      <w:r>
        <w:t xml:space="preserve"> </w:t>
      </w:r>
      <w:r>
        <w:rPr>
          <w:b/>
          <w:bCs/>
        </w:rPr>
        <w:t xml:space="preserve">manufacturing physical goods is not incidental to developing software.</w:t>
      </w:r>
      <w:r>
        <w:t xml:space="preserve"> </w:t>
      </w:r>
      <w:r>
        <w:t xml:space="preserve">Note a trap: some SPICe+ MOAs are</w:t>
      </w:r>
      <w:r>
        <w:t xml:space="preserve"> </w:t>
      </w:r>
      <w:r>
        <w:rPr>
          <w:i/>
          <w:iCs/>
        </w:rPr>
        <w:t xml:space="preserve">narrower</w:t>
      </w:r>
      <w:r>
        <w:t xml:space="preserve"> </w:t>
      </w:r>
      <w:r>
        <w:t xml:space="preserve">than founders expect, because the incorporating CS tailored the objects to the declared NIC code to avoid ROC queries.</w:t>
      </w:r>
    </w:p>
    <w:p>
      <w:pPr>
        <w:pStyle w:val="BodyText"/>
      </w:pPr>
      <w:r>
        <w:rPr>
          <w:b/>
          <w:bCs/>
        </w:rPr>
        <w:t xml:space="preserve">If the MOA is software-only, your drone line (Modulark Aero) is already ultra vires too</w:t>
      </w:r>
      <w:r>
        <w:t xml:space="preserve"> </w:t>
      </w:r>
      <w:r>
        <w:t xml:space="preserve">— meaning the company is already exposed and the amendment is overdue rather than anticipatory.</w:t>
      </w:r>
      <w:r>
        <w:t xml:space="preserve"> </w:t>
      </w:r>
      <w:r>
        <w:rPr>
          <w:b/>
          <w:bCs/>
        </w:rPr>
        <w:t xml:space="preserve">Draft it broadly in one pass: software and SaaS; design, development and manufacture of electrical, electronic and electro-mechanical goods including lighting products and luminaires; unmanned aerial systems; trading, import and export; and R&amp;D.</w:t>
      </w:r>
      <w:r>
        <w:t xml:space="preserve"> </w:t>
      </w:r>
      <w:r>
        <w:t xml:space="preserve">Amending twice is wasteful.</w:t>
      </w:r>
    </w:p>
    <w:p>
      <w:pPr>
        <w:pStyle w:val="BodyText"/>
      </w:pPr>
      <w:r>
        <w:t xml:space="preserve">The procedure is easy: board meeting (7 days’ notice), general meeting on</w:t>
      </w:r>
      <w:r>
        <w:t xml:space="preserve"> </w:t>
      </w:r>
      <w:r>
        <w:rPr>
          <w:b/>
          <w:bCs/>
        </w:rPr>
        <w:t xml:space="preserve">21 clear days’ notice or compressed with 95% shorter-notice consent</w:t>
      </w:r>
      <w:r>
        <w:t xml:space="preserve">,</w:t>
      </w:r>
      <w:r>
        <w:t xml:space="preserve"> </w:t>
      </w:r>
      <w:r>
        <w:rPr>
          <w:b/>
          <w:bCs/>
        </w:rPr>
        <w:t xml:space="preserve">special resolution (75%)</w:t>
      </w:r>
      <w:r>
        <w:t xml:space="preserve">, then</w:t>
      </w:r>
      <w:r>
        <w:t xml:space="preserve"> </w:t>
      </w:r>
      <w:r>
        <w:rPr>
          <w:b/>
          <w:bCs/>
        </w:rPr>
        <w:t xml:space="preserve">Form MGT-14 within 30 days</w:t>
      </w:r>
      <w:r>
        <w:t xml:space="preserve"> </w:t>
      </w:r>
      <w:r>
        <w:t xml:space="preserve">(</w:t>
      </w:r>
      <w:hyperlink r:id="rId212">
        <w:r>
          <w:rPr>
            <w:rStyle w:val="Hyperlink"/>
          </w:rPr>
          <w:t xml:space="preserve">SCC Online</w:t>
        </w:r>
      </w:hyperlink>
      <w:r>
        <w:t xml:space="preserve">;</w:t>
      </w:r>
      <w:r>
        <w:t xml:space="preserve"> </w:t>
      </w:r>
      <w:hyperlink r:id="rId213">
        <w:r>
          <w:rPr>
            <w:rStyle w:val="Hyperlink"/>
          </w:rPr>
          <w:t xml:space="preserve">LegalWiz</w:t>
        </w:r>
      </w:hyperlink>
      <w:r>
        <w:t xml:space="preserve">).</w:t>
      </w:r>
      <w:r>
        <w:t xml:space="preserve"> </w:t>
      </w:r>
      <w:r>
        <w:rPr>
          <w:b/>
          <w:bCs/>
        </w:rPr>
        <w:t xml:space="preserve">No Central Government or Regional Director approval is required for an objects alteration</w:t>
      </w:r>
      <w:r>
        <w:t xml:space="preserve"> </w:t>
      </w:r>
      <w:r>
        <w:t xml:space="preserve">— CG approval attaches to shifting the registered office between states, not to objects.</w:t>
      </w:r>
      <w:r>
        <w:t xml:space="preserve"> </w:t>
      </w:r>
      <w:r>
        <w:rPr>
          <w:b/>
          <w:bCs/>
        </w:rPr>
        <w:t xml:space="preserve">Section 13(8) does not apply</w:t>
      </w:r>
      <w:r>
        <w:t xml:space="preserve"> </w:t>
      </w:r>
      <w:r>
        <w:t xml:space="preserve">to a company that has never issued a prospectus. Also update the principal business activity NIC code at the next</w:t>
      </w:r>
      <w:r>
        <w:t xml:space="preserve"> </w:t>
      </w:r>
      <w:r>
        <w:rPr>
          <w:b/>
          <w:bCs/>
        </w:rPr>
        <w:t xml:space="preserve">MGT-7/MGT-7A</w:t>
      </w:r>
      <w:r>
        <w:t xml:space="preserve"> </w:t>
      </w:r>
      <w:r>
        <w:t xml:space="preserve">(Division 27 electrical equipment; Group 274 electric lighting equipment).</w:t>
      </w:r>
    </w:p>
    <w:p>
      <w:pPr>
        <w:pStyle w:val="BodyText"/>
      </w:pPr>
      <w:r>
        <w:rPr>
          <w:b/>
          <w:bCs/>
        </w:rPr>
        <w:t xml:space="preserve">Adding a manufacturing line is cheaper than you expect, with one very good piece of news.</w:t>
      </w:r>
      <w:r>
        <w:t xml:space="preserve"> </w:t>
      </w:r>
      <w:r>
        <w:t xml:space="preserve">The CPCB</w:t>
      </w:r>
      <w:r>
        <w:t xml:space="preserve"> </w:t>
      </w:r>
      <w:r>
        <w:rPr>
          <w:b/>
          <w:bCs/>
        </w:rPr>
        <w:t xml:space="preserve">White Category</w:t>
      </w:r>
      <w:r>
        <w:t xml:space="preserve"> </w:t>
      </w:r>
      <w:r>
        <w:t xml:space="preserve">includes</w:t>
      </w:r>
      <w:r>
        <w:t xml:space="preserve"> </w:t>
      </w:r>
      <w:r>
        <w:rPr>
          <w:b/>
          <w:bCs/>
        </w:rPr>
        <w:t xml:space="preserve">“electrical and electronic item assembling (completely dry process)”</w:t>
      </w:r>
      <w:r>
        <w:t xml:space="preserve">, and</w:t>
      </w:r>
      <w:r>
        <w:t xml:space="preserve"> </w:t>
      </w:r>
      <w:r>
        <w:rPr>
          <w:b/>
          <w:bCs/>
        </w:rPr>
        <w:t xml:space="preserve">White Category industries are now exempt from both Consent to Establish and Consent to Operate</w:t>
      </w:r>
      <w:r>
        <w:t xml:space="preserve"> </w:t>
      </w:r>
      <w:r>
        <w:t xml:space="preserve">(</w:t>
      </w:r>
      <w:hyperlink r:id="rId214">
        <w:r>
          <w:rPr>
            <w:rStyle w:val="Hyperlink"/>
          </w:rPr>
          <w:t xml:space="preserve">Business Standard, Nov 2024</w:t>
        </w:r>
      </w:hyperlink>
      <w:r>
        <w:t xml:space="preserve">;</w:t>
      </w:r>
      <w:r>
        <w:t xml:space="preserve"> </w:t>
      </w:r>
      <w:hyperlink r:id="rId215">
        <w:r>
          <w:rPr>
            <w:rStyle w:val="Hyperlink"/>
          </w:rPr>
          <w:t xml:space="preserve">Spans Envirotech</w:t>
        </w:r>
      </w:hyperlink>
      <w:r>
        <w:t xml:space="preserve">) — reduced to an</w:t>
      </w:r>
      <w:r>
        <w:t xml:space="preserve"> </w:t>
      </w:r>
      <w:r>
        <w:rPr>
          <w:b/>
          <w:bCs/>
        </w:rPr>
        <w:t xml:space="preserve">intimation to the State Board plus a self-declaration of compliance</w:t>
      </w:r>
      <w:r>
        <w:t xml:space="preserve"> </w:t>
      </w:r>
      <w:r>
        <w:t xml:space="preserve">(</w:t>
      </w:r>
      <w:hyperlink r:id="rId216">
        <w:r>
          <w:rPr>
            <w:rStyle w:val="Hyperlink"/>
          </w:rPr>
          <w:t xml:space="preserve">TeamLease RegTech</w:t>
        </w:r>
      </w:hyperlink>
      <w:r>
        <w:t xml:space="preserve">); Gujarat PCB formally implemented this in June 2025 (</w:t>
      </w:r>
      <w:hyperlink r:id="rId217">
        <w:r>
          <w:rPr>
            <w:rStyle w:val="Hyperlink"/>
          </w:rPr>
          <w:t xml:space="preserve">GPCB circular</w:t>
        </w:r>
      </w:hyperlink>
      <w:r>
        <w:t xml:space="preserve">).</w:t>
      </w:r>
      <w:r>
        <w:t xml:space="preserve"> </w:t>
      </w:r>
      <w:r>
        <w:rPr>
          <w:b/>
          <w:bCs/>
        </w:rPr>
        <w:t xml:space="preserve">Two caveats: the exemption depends on the process genuinely being dry assembly</w:t>
      </w:r>
      <w:r>
        <w:t xml:space="preserve"> </w:t>
      </w:r>
      <w:r>
        <w:t xml:space="preserve">— introduce electroplating, anodising, painting, powder-coating, PCB etching or solvent cleaning and you move to Green/Orange/Red and full consents return —</w:t>
      </w:r>
      <w:r>
        <w:t xml:space="preserve"> </w:t>
      </w:r>
      <w:r>
        <w:rPr>
          <w:b/>
          <w:bCs/>
        </w:rPr>
        <w:t xml:space="preserve">and it does not waive E-Waste or Battery Waste EPR, which are separate.</w:t>
      </w:r>
    </w:p>
    <w:p>
      <w:pPr>
        <w:pStyle w:val="BodyText"/>
      </w:pPr>
      <w:r>
        <w:rPr>
          <w:b/>
          <w:bCs/>
        </w:rPr>
        <w:t xml:space="preserve">The Factories Act 1948 almost certainly does not apply.</w:t>
      </w:r>
      <w:r>
        <w:t xml:space="preserve"> </w:t>
      </w:r>
      <w:r>
        <w:t xml:space="preserve">Section 2(m) needs</w:t>
      </w:r>
      <w:r>
        <w:t xml:space="preserve"> </w:t>
      </w:r>
      <w:r>
        <w:rPr>
          <w:b/>
          <w:bCs/>
        </w:rPr>
        <w:t xml:space="preserve">10 or more workers with power</w:t>
      </w:r>
      <w:r>
        <w:t xml:space="preserve"> </w:t>
      </w:r>
      <w:r>
        <w:t xml:space="preserve">or</w:t>
      </w:r>
      <w:r>
        <w:t xml:space="preserve"> </w:t>
      </w:r>
      <w:r>
        <w:rPr>
          <w:b/>
          <w:bCs/>
        </w:rPr>
        <w:t xml:space="preserve">20 or more without</w:t>
      </w:r>
      <w:r>
        <w:t xml:space="preserve">; a small assembly workshop is not a factory.</w:t>
      </w:r>
      <w:r>
        <w:t xml:space="preserve"> </w:t>
      </w:r>
      <w:r>
        <w:rPr>
          <w:b/>
          <w:bCs/>
        </w:rPr>
        <w:t xml:space="preserve">But the count includes contract and casual workers, not just payroll</w:t>
      </w:r>
      <w:r>
        <w:t xml:space="preserve"> </w:t>
      </w:r>
      <w:r>
        <w:t xml:space="preserve">— a contract assembly crew counts — and several states have varied the thresholds under s.85, so check your state’s notification.</w:t>
      </w:r>
      <w:r>
        <w:t xml:space="preserve"> </w:t>
      </w:r>
      <w:r>
        <w:rPr>
          <w:i/>
          <w:iCs/>
        </w:rPr>
        <w:t xml:space="preserve">(The commencement status of the four Labour Codes / OSH Code 2020, which would raise the thresholds to 20/40, could not be verified and must be checked at the time of setup.)</w:t>
      </w:r>
      <w:r>
        <w:t xml:space="preserve"> </w:t>
      </w:r>
      <w:r>
        <w:t xml:space="preserve">You will need: the workshop added to your GST registration as an</w:t>
      </w:r>
      <w:r>
        <w:t xml:space="preserve"> </w:t>
      </w:r>
      <w:r>
        <w:rPr>
          <w:b/>
          <w:bCs/>
        </w:rPr>
        <w:t xml:space="preserve">additional place of business via Form GST REG-14</w:t>
      </w:r>
      <w:r>
        <w:t xml:space="preserve"> </w:t>
      </w:r>
      <w:r>
        <w:t xml:space="preserve">if in the same state (or a</w:t>
      </w:r>
      <w:r>
        <w:t xml:space="preserve"> </w:t>
      </w:r>
      <w:r>
        <w:rPr>
          <w:b/>
          <w:bCs/>
        </w:rPr>
        <w:t xml:space="preserve">separate GST registration if in a different state</w:t>
      </w:r>
      <w:r>
        <w:t xml:space="preserve"> </w:t>
      </w:r>
      <w:r>
        <w:t xml:space="preserve">— GST is state-wise); a</w:t>
      </w:r>
      <w:r>
        <w:t xml:space="preserve"> </w:t>
      </w:r>
      <w:r>
        <w:rPr>
          <w:b/>
          <w:bCs/>
        </w:rPr>
        <w:t xml:space="preserve">municipal trade licence</w:t>
      </w:r>
      <w:r>
        <w:t xml:space="preserve"> </w:t>
      </w:r>
      <w:r>
        <w:t xml:space="preserve">(cheap, commonly missed, and the licence an inspector actually asks for);</w:t>
      </w:r>
      <w:r>
        <w:t xml:space="preserve"> </w:t>
      </w:r>
      <w:r>
        <w:rPr>
          <w:b/>
          <w:bCs/>
        </w:rPr>
        <w:t xml:space="preserve">Shops &amp; Establishments or equivalent state registration</w:t>
      </w:r>
      <w:r>
        <w:t xml:space="preserve">; and an</w:t>
      </w:r>
      <w:r>
        <w:t xml:space="preserve"> </w:t>
      </w:r>
      <w:r>
        <w:rPr>
          <w:b/>
          <w:bCs/>
        </w:rPr>
        <w:t xml:space="preserve">updated Udyam/MSME registration</w:t>
      </w:r>
      <w:r>
        <w:t xml:space="preserve"> </w:t>
      </w:r>
      <w:r>
        <w:t xml:space="preserve">adding the manufacturing activity and new NIC codes rather than a second registration — worth doing for the MSMED Act s.15/16 delayed-payment protection and because s.43B(h) of the Income-tax Act now gives MSME suppliers real leverage.</w:t>
      </w:r>
    </w:p>
    <w:bookmarkEnd w:id="218"/>
    <w:bookmarkStart w:id="229" w:name="Xbe2837191852add20adcc99bf023e5056ac52b6"/>
    <w:p>
      <w:pPr>
        <w:pStyle w:val="Heading3"/>
      </w:pPr>
      <w:r>
        <w:t xml:space="preserve">The payments question is architectural, not structural — and answer it this week</w:t>
      </w:r>
    </w:p>
    <w:p>
      <w:pPr>
        <w:pStyle w:val="FirstParagraph"/>
      </w:pPr>
      <w:r>
        <w:rPr>
          <w:b/>
          <w:bCs/>
        </w:rPr>
        <w:t xml:space="preserve">One question determines everything: do school fee payments ever settle into a Modulark Tech Labs bank account, even for an hour?</w:t>
      </w:r>
    </w:p>
    <w:p>
      <w:pPr>
        <w:pStyle w:val="BodyText"/>
      </w:pPr>
      <w:r>
        <w:t xml:space="preserve">If</w:t>
      </w:r>
      <w:r>
        <w:t xml:space="preserve"> </w:t>
      </w:r>
      <w:r>
        <w:rPr>
          <w:b/>
          <w:bCs/>
        </w:rPr>
        <w:t xml:space="preserve">yes</w:t>
      </w:r>
      <w:r>
        <w:t xml:space="preserve">, Modulark is prima facie operating as a</w:t>
      </w:r>
      <w:r>
        <w:t xml:space="preserve"> </w:t>
      </w:r>
      <w:r>
        <w:rPr>
          <w:b/>
          <w:bCs/>
        </w:rPr>
        <w:t xml:space="preserve">Payment Aggregator</w:t>
      </w:r>
      <w:r>
        <w:t xml:space="preserve"> </w:t>
      </w:r>
      <w:r>
        <w:t xml:space="preserve">requiring authorisation under the PSS Act 2007. The</w:t>
      </w:r>
      <w:r>
        <w:t xml:space="preserve"> </w:t>
      </w:r>
      <w:r>
        <w:rPr>
          <w:b/>
          <w:bCs/>
        </w:rPr>
        <w:t xml:space="preserve">RBI (Regulation of Payment Aggregators) Directions, 2025 were issued on 15 September 2025</w:t>
      </w:r>
      <w:r>
        <w:t xml:space="preserve"> </w:t>
      </w:r>
      <w:r>
        <w:t xml:space="preserve">(RBI/DPSS/2025-26/141), replacing the March 2020 guidelines (</w:t>
      </w:r>
      <w:hyperlink r:id="rId219">
        <w:r>
          <w:rPr>
            <w:rStyle w:val="Hyperlink"/>
          </w:rPr>
          <w:t xml:space="preserve">Saraf Partners</w:t>
        </w:r>
      </w:hyperlink>
      <w:r>
        <w:t xml:space="preserve">;</w:t>
      </w:r>
      <w:r>
        <w:t xml:space="preserve"> </w:t>
      </w:r>
      <w:hyperlink r:id="rId220">
        <w:r>
          <w:rPr>
            <w:rStyle w:val="Hyperlink"/>
          </w:rPr>
          <w:t xml:space="preserve">TaxGuru</w:t>
        </w:r>
      </w:hyperlink>
      <w:r>
        <w:t xml:space="preserve">).</w:t>
      </w:r>
      <w:r>
        <w:t xml:space="preserve"> </w:t>
      </w:r>
      <w:r>
        <w:rPr>
          <w:b/>
          <w:bCs/>
        </w:rPr>
        <w:t xml:space="preserve">Minimum net worth is ₹15 crore at the time of application, rising to ₹25 crore by the end of the third financial year of authorisation, maintained on an ongoing basis</w:t>
      </w:r>
      <w:r>
        <w:t xml:space="preserve"> </w:t>
      </w:r>
      <w:r>
        <w:t xml:space="preserve">(</w:t>
      </w:r>
      <w:hyperlink r:id="rId221">
        <w:r>
          <w:rPr>
            <w:rStyle w:val="Hyperlink"/>
          </w:rPr>
          <w:t xml:space="preserve">AuthBridge</w:t>
        </w:r>
      </w:hyperlink>
      <w:r>
        <w:t xml:space="preserve">;</w:t>
      </w:r>
      <w:r>
        <w:t xml:space="preserve"> </w:t>
      </w:r>
      <w:hyperlink r:id="rId222">
        <w:r>
          <w:rPr>
            <w:rStyle w:val="Hyperlink"/>
          </w:rPr>
          <w:t xml:space="preserve">Enterslice</w:t>
        </w:r>
      </w:hyperlink>
      <w:r>
        <w:t xml:space="preserve">).</w:t>
      </w:r>
      <w:r>
        <w:t xml:space="preserve"> </w:t>
      </w:r>
      <w:r>
        <w:rPr>
          <w:b/>
          <w:bCs/>
        </w:rPr>
        <w:t xml:space="preserve">That is unattainable. Stop and fix the fund flow.</w:t>
      </w:r>
    </w:p>
    <w:p>
      <w:pPr>
        <w:pStyle w:val="BodyText"/>
      </w:pPr>
      <w:r>
        <w:t xml:space="preserve">If</w:t>
      </w:r>
      <w:r>
        <w:t xml:space="preserve"> </w:t>
      </w:r>
      <w:r>
        <w:rPr>
          <w:b/>
          <w:bCs/>
        </w:rPr>
        <w:t xml:space="preserve">no</w:t>
      </w:r>
      <w:r>
        <w:t xml:space="preserve"> </w:t>
      </w:r>
      <w:r>
        <w:t xml:space="preserve">— if each school is the merchant of record with a licensed PA, Modulus initiates payment via API, and funds go parent → PA escrow → school’s account while Modulark invoices a SaaS fee separately — then</w:t>
      </w:r>
      <w:r>
        <w:t xml:space="preserve"> </w:t>
      </w:r>
      <w:r>
        <w:rPr>
          <w:b/>
          <w:bCs/>
        </w:rPr>
        <w:t xml:space="preserve">Modulark is a payment gateway / technology service provider and</w:t>
      </w:r>
      <w:r>
        <w:rPr>
          <w:b/>
          <w:bCs/>
        </w:rPr>
        <w:t xml:space="preserve"> </w:t>
      </w:r>
      <w:r>
        <w:rPr>
          <w:b/>
          <w:bCs/>
        </w:rPr>
        <w:t xml:space="preserve">“entities that propose to function as gateways do not require any RBI authorisation”</w:t>
      </w:r>
      <w:r>
        <w:t xml:space="preserve"> </w:t>
      </w:r>
      <w:r>
        <w:t xml:space="preserve">(</w:t>
      </w:r>
      <w:hyperlink r:id="rId223">
        <w:r>
          <w:rPr>
            <w:rStyle w:val="Hyperlink"/>
          </w:rPr>
          <w:t xml:space="preserve">AZB &amp; Partners</w:t>
        </w:r>
      </w:hyperlink>
      <w:r>
        <w:t xml:space="preserve">;</w:t>
      </w:r>
      <w:r>
        <w:t xml:space="preserve"> </w:t>
      </w:r>
      <w:hyperlink r:id="rId224">
        <w:r>
          <w:rPr>
            <w:rStyle w:val="Hyperlink"/>
          </w:rPr>
          <w:t xml:space="preserve">IncorpX</w:t>
        </w:r>
      </w:hyperlink>
      <w:r>
        <w:t xml:space="preserve">).</w:t>
      </w:r>
      <w:r>
        <w:t xml:space="preserve"> </w:t>
      </w:r>
      <w:r>
        <w:rPr>
          <w:b/>
          <w:bCs/>
        </w:rPr>
        <w:t xml:space="preserve">The defining control is the escrow account: funds collected from customers must never sit in the merchant’s or an intermediary’s own operating account.</w:t>
      </w:r>
      <w:r>
        <w:t xml:space="preserve"> </w:t>
      </w:r>
      <w:r>
        <w:t xml:space="preserve">A</w:t>
      </w:r>
      <w:r>
        <w:t xml:space="preserve"> </w:t>
      </w:r>
      <w:r>
        <w:t xml:space="preserve">“float”</w:t>
      </w:r>
      <w:r>
        <w:t xml:space="preserve"> </w:t>
      </w:r>
      <w:r>
        <w:t xml:space="preserve">held for T+n days</w:t>
      </w:r>
      <w:r>
        <w:t xml:space="preserve"> </w:t>
      </w:r>
      <w:r>
        <w:t xml:space="preserve">“just for reconciliation”</w:t>
      </w:r>
      <w:r>
        <w:t xml:space="preserve"> </w:t>
      </w:r>
      <w:r>
        <w:t xml:space="preserve">is exactly what the framework exists to prevent.</w:t>
      </w:r>
    </w:p>
    <w:p>
      <w:pPr>
        <w:pStyle w:val="BodyText"/>
      </w:pPr>
      <w:r>
        <w:rPr>
          <w:b/>
          <w:bCs/>
        </w:rPr>
        <w:t xml:space="preserve">Splitting the company does not make an unlawful float lawful, and keeping it whole does not break a lawful integration.</w:t>
      </w:r>
      <w:r>
        <w:t xml:space="preserve"> </w:t>
      </w:r>
      <w:r>
        <w:t xml:space="preserve">Do not let the entity question distract from the architecture question. Two adjacent traps: performing merchant KYC and onboarding for schools makes you an outsourced agent of the PA, manageable through the PA contract but needing to be papered; and if you need control over disbursement timing, the compliant route is a</w:t>
      </w:r>
      <w:r>
        <w:t xml:space="preserve"> </w:t>
      </w:r>
      <w:r>
        <w:rPr>
          <w:b/>
          <w:bCs/>
        </w:rPr>
        <w:t xml:space="preserve">PA’s split-settlement/route API or a bank-operated escrow with the school as beneficiary</w:t>
      </w:r>
      <w:r>
        <w:t xml:space="preserve">, never your current account.</w:t>
      </w:r>
    </w:p>
    <w:p>
      <w:pPr>
        <w:pStyle w:val="BodyText"/>
      </w:pPr>
      <w:r>
        <w:rPr>
          <w:b/>
          <w:bCs/>
        </w:rPr>
        <w:t xml:space="preserve">On lending:</w:t>
      </w:r>
      <w:r>
        <w:t xml:space="preserve"> </w:t>
      </w:r>
      <w:r>
        <w:t xml:space="preserve">the</w:t>
      </w:r>
      <w:r>
        <w:t xml:space="preserve"> </w:t>
      </w:r>
      <w:r>
        <w:rPr>
          <w:b/>
          <w:bCs/>
        </w:rPr>
        <w:t xml:space="preserve">RBI (Digital Lending) Directions, 2025 took effect 8 May 2025</w:t>
      </w:r>
      <w:r>
        <w:t xml:space="preserve">, with multi-lender provisions from 1 November 2025 and DLA reporting from 15 June 2025 (</w:t>
      </w:r>
      <w:hyperlink r:id="rId225">
        <w:r>
          <w:rPr>
            <w:rStyle w:val="Hyperlink"/>
          </w:rPr>
          <w:t xml:space="preserve">Argus Partners</w:t>
        </w:r>
      </w:hyperlink>
      <w:r>
        <w:t xml:space="preserve">;</w:t>
      </w:r>
      <w:r>
        <w:t xml:space="preserve"> </w:t>
      </w:r>
      <w:hyperlink r:id="rId226">
        <w:r>
          <w:rPr>
            <w:rStyle w:val="Hyperlink"/>
          </w:rPr>
          <w:t xml:space="preserve">AZB update</w:t>
        </w:r>
      </w:hyperlink>
      <w:r>
        <w:t xml:space="preserve">). If Modulus surfaces a fee-financing offer,</w:t>
      </w:r>
      <w:r>
        <w:t xml:space="preserve"> </w:t>
      </w:r>
      <w:r>
        <w:rPr>
          <w:b/>
          <w:bCs/>
        </w:rPr>
        <w:t xml:space="preserve">Modulark is a Lending Service Provider — an</w:t>
      </w:r>
      <w:r>
        <w:rPr>
          <w:b/>
          <w:bCs/>
        </w:rPr>
        <w:t xml:space="preserve"> </w:t>
      </w:r>
      <w:r>
        <w:rPr>
          <w:b/>
          <w:bCs/>
        </w:rPr>
        <w:t xml:space="preserve">“agent of an RE who carries out one or more of the RE’s digital lending functions.”</w:t>
      </w:r>
      <w:r>
        <w:t xml:space="preserve"> </w:t>
      </w:r>
      <w:r>
        <w:t xml:space="preserve">You need no licence of your own, but</w:t>
      </w:r>
      <w:r>
        <w:t xml:space="preserve"> </w:t>
      </w:r>
      <w:r>
        <w:rPr>
          <w:b/>
          <w:bCs/>
        </w:rPr>
        <w:t xml:space="preserve">the RE remains fully responsible and liable for all acts and omissions of its LSPs regardless of delegation</w:t>
      </w:r>
      <w:r>
        <w:t xml:space="preserve"> </w:t>
      </w:r>
      <w:r>
        <w:t xml:space="preserve">(</w:t>
      </w:r>
      <w:hyperlink r:id="rId227">
        <w:r>
          <w:rPr>
            <w:rStyle w:val="Hyperlink"/>
          </w:rPr>
          <w:t xml:space="preserve">Lexology</w:t>
        </w:r>
      </w:hyperlink>
      <w:r>
        <w:t xml:space="preserve">), must contract with you and periodically review you, and</w:t>
      </w:r>
      <w:r>
        <w:t xml:space="preserve"> </w:t>
      </w:r>
      <w:r>
        <w:rPr>
          <w:b/>
          <w:bCs/>
        </w:rPr>
        <w:t xml:space="preserve">must report your app as a Digital Lending App to the RBI via the CIMS portal</w:t>
      </w:r>
      <w:r>
        <w:t xml:space="preserve"> </w:t>
      </w:r>
      <w:r>
        <w:t xml:space="preserve">(</w:t>
      </w:r>
      <w:hyperlink r:id="rId228">
        <w:r>
          <w:rPr>
            <w:rStyle w:val="Hyperlink"/>
          </w:rPr>
          <w:t xml:space="preserve">Lawrbit</w:t>
        </w:r>
      </w:hyperlink>
      <w:r>
        <w:t xml:space="preserve">).</w:t>
      </w:r>
      <w:r>
        <w:t xml:space="preserve"> </w:t>
      </w:r>
      <w:r>
        <w:rPr>
          <w:b/>
          <w:bCs/>
        </w:rPr>
        <w:t xml:space="preserve">The practical effect is that you get diligenced like a regulated outsourcing vendor</w:t>
      </w:r>
      <w:r>
        <w:t xml:space="preserve">, and a loss-making manufacturing operation on that balance sheet adds financial noise, widens the audit perimeter and introduces tail risk a bank’s vendor risk committee will price in as weeks of delay and reduced leverage.</w:t>
      </w:r>
      <w:r>
        <w:t xml:space="preserve"> </w:t>
      </w:r>
      <w:r>
        <w:rPr>
          <w:i/>
          <w:iCs/>
        </w:rPr>
        <w:t xml:space="preserve">(That three-part mechanism is inference from how RE vendor-risk frameworks work; no source addresses whether an LSP’s unrelated business lines are a formal diligence criterion.)</w:t>
      </w:r>
    </w:p>
    <w:bookmarkEnd w:id="229"/>
    <w:bookmarkStart w:id="234" w:name="why-two-entities-wins"/>
    <w:p>
      <w:pPr>
        <w:pStyle w:val="Heading3"/>
      </w:pPr>
      <w:r>
        <w:t xml:space="preserve">Why two entities wins</w:t>
      </w:r>
    </w:p>
    <w:p>
      <w:pPr>
        <w:pStyle w:val="FirstParagraph"/>
      </w:pPr>
      <w:r>
        <w:rPr>
          <w:b/>
          <w:bCs/>
        </w:rPr>
        <w:t xml:space="preserve">The decisive argument is product liability contagion, and it is decisive because of what it puts at risk, not what it costs.</w:t>
      </w:r>
      <w:r>
        <w:t xml:space="preserve"> </w:t>
      </w:r>
      <w:r>
        <w:t xml:space="preserve">A private limited company is one pool of assets. A judgment against Modulark Tech Labs arising from a lighting product reaches</w:t>
      </w:r>
      <w:r>
        <w:t xml:space="preserve"> </w:t>
      </w:r>
      <w:r>
        <w:rPr>
          <w:b/>
          <w:bCs/>
        </w:rPr>
        <w:t xml:space="preserve">every asset</w:t>
      </w:r>
      <w:r>
        <w:t xml:space="preserve"> </w:t>
      </w:r>
      <w:r>
        <w:t xml:space="preserve">— the SaaS receivables, the cash, the IP, the bank accounts the schools depend on.</w:t>
      </w:r>
      <w:r>
        <w:t xml:space="preserve"> </w:t>
      </w:r>
      <w:r>
        <w:t xml:space="preserve">“Division,”</w:t>
      </w:r>
      <w:r>
        <w:t xml:space="preserve"> </w:t>
      </w:r>
      <w:r>
        <w:t xml:space="preserve">“business unit”</w:t>
      </w:r>
      <w:r>
        <w:t xml:space="preserve"> </w:t>
      </w:r>
      <w:r>
        <w:t xml:space="preserve">and</w:t>
      </w:r>
      <w:r>
        <w:t xml:space="preserve"> </w:t>
      </w:r>
      <w:r>
        <w:t xml:space="preserve">“cost centre”</w:t>
      </w:r>
      <w:r>
        <w:t xml:space="preserve"> </w:t>
      </w:r>
      <w:r>
        <w:t xml:space="preserve">have</w:t>
      </w:r>
      <w:r>
        <w:t xml:space="preserve"> </w:t>
      </w:r>
      <w:r>
        <w:rPr>
          <w:b/>
          <w:bCs/>
        </w:rPr>
        <w:t xml:space="preserve">no</w:t>
      </w:r>
      <w:r>
        <w:t xml:space="preserve"> </w:t>
      </w:r>
      <w:r>
        <w:t xml:space="preserve">legal significance for creditors.</w:t>
      </w:r>
      <w:r>
        <w:t xml:space="preserve"> </w:t>
      </w:r>
      <w:r>
        <w:rPr>
          <w:b/>
          <w:bCs/>
        </w:rPr>
        <w:t xml:space="preserve">Operational ring-fencing — separate cost centres, a separate current account, separate P&amp;L — provides zero protection against the risk that matters.</w:t>
      </w:r>
      <w:r>
        <w:t xml:space="preserve"> </w:t>
      </w:r>
      <w:r>
        <w:t xml:space="preserve">Do it for management reasons; never sell it as risk mitigation.</w:t>
      </w:r>
    </w:p>
    <w:p>
      <w:pPr>
        <w:pStyle w:val="BodyText"/>
      </w:pPr>
      <w:r>
        <w:t xml:space="preserve">Worse, it reaches the</w:t>
      </w:r>
      <w:r>
        <w:t xml:space="preserve"> </w:t>
      </w:r>
      <w:r>
        <w:rPr>
          <w:i/>
          <w:iCs/>
        </w:rPr>
        <w:t xml:space="preserve">contracts</w:t>
      </w:r>
      <w:r>
        <w:t xml:space="preserve">. School agreements and any RE/LSP agreement will contain material-adverse-change, insolvency and reputational-harm termination rights.</w:t>
      </w:r>
      <w:r>
        <w:t xml:space="preserve"> </w:t>
      </w:r>
      <w:r>
        <w:rPr>
          <w:b/>
          <w:bCs/>
        </w:rPr>
        <w:t xml:space="preserve">A serious hardware event can destroy the SaaS business without a rupee of judgment ever being enforced.</w:t>
      </w:r>
    </w:p>
    <w:p>
      <w:pPr>
        <w:pStyle w:val="BodyText"/>
      </w:pPr>
      <w:r>
        <w:rPr>
          <w:b/>
          <w:bCs/>
        </w:rPr>
        <w:t xml:space="preserve">The counter-argument — loss set-off — is real but bounded and mostly solvable by sequencing.</w:t>
      </w:r>
      <w:r>
        <w:t xml:space="preserve"> </w:t>
      </w:r>
      <w:r>
        <w:t xml:space="preserve">India has</w:t>
      </w:r>
      <w:r>
        <w:t xml:space="preserve"> </w:t>
      </w:r>
      <w:r>
        <w:rPr>
          <w:b/>
          <w:bCs/>
        </w:rPr>
        <w:t xml:space="preserve">no group taxation or consolidated-return regime</w:t>
      </w:r>
      <w:r>
        <w:t xml:space="preserve">; hardware losses in a subsidiary cannot shelter SaaS profits. On plausible numbers (₹1.4 crore cumulative hardware losses over three years), one entity saves roughly</w:t>
      </w:r>
      <w:r>
        <w:t xml:space="preserve"> </w:t>
      </w:r>
      <w:r>
        <w:rPr>
          <w:b/>
          <w:bCs/>
        </w:rPr>
        <w:t xml:space="preserve">₹35 lakh</w:t>
      </w:r>
      <w:r>
        <w:t xml:space="preserve"> </w:t>
      </w:r>
      <w:r>
        <w:t xml:space="preserve">of cash tax at ~25% effective; two entities defer that shelter until the hardware company profits, an NPV cost of roughly</w:t>
      </w:r>
      <w:r>
        <w:t xml:space="preserve"> </w:t>
      </w:r>
      <w:r>
        <w:rPr>
          <w:b/>
          <w:bCs/>
        </w:rPr>
        <w:t xml:space="preserve">₹10–15 lakh</w:t>
      </w:r>
      <w:r>
        <w:t xml:space="preserve"> </w:t>
      </w:r>
      <w:r>
        <w:t xml:space="preserve">if that happens in year 5–6, or the full ₹35 lakh if it never does.</w:t>
      </w:r>
      <w:r>
        <w:t xml:space="preserve"> </w:t>
      </w:r>
      <w:r>
        <w:rPr>
          <w:i/>
          <w:iCs/>
        </w:rPr>
        <w:t xml:space="preserve">(The ~25.17% s.115BAA effective rate is from general knowledge, not verified against a 2026 source; Finance Act 2026 changes were not checked.)</w:t>
      </w:r>
      <w:r>
        <w:t xml:space="preserve"> </w:t>
      </w:r>
      <w:r>
        <w:rPr>
          <w:b/>
          <w:bCs/>
        </w:rPr>
        <w:t xml:space="preserve">But the losses that are largest and earliest are R&amp;D and prototyping losses, which can legitimately sit in the existing company</w:t>
      </w:r>
      <w:r>
        <w:t xml:space="preserve"> </w:t>
      </w:r>
      <w:r>
        <w:t xml:space="preserve">— which needs an R&amp;D function anyway —</w:t>
      </w:r>
      <w:r>
        <w:t xml:space="preserve"> </w:t>
      </w:r>
      <w:r>
        <w:rPr>
          <w:b/>
          <w:bCs/>
        </w:rPr>
        <w:t xml:space="preserve">while the liability arises only when product reaches customers.</w:t>
      </w:r>
      <w:r>
        <w:t xml:space="preserve"> </w:t>
      </w:r>
      <w:r>
        <w:t xml:space="preserve">Sequencing captures most of the tax benefit and all of the liability protection. Note also</w:t>
      </w:r>
      <w:r>
        <w:t xml:space="preserve"> </w:t>
      </w:r>
      <w:r>
        <w:rPr>
          <w:b/>
          <w:bCs/>
        </w:rPr>
        <w:t xml:space="preserve">Section 79</w:t>
      </w:r>
      <w:r>
        <w:t xml:space="preserve">: a closely-held company that dilutes 51% or more of voting power can</w:t>
      </w:r>
      <w:r>
        <w:t xml:space="preserve"> </w:t>
      </w:r>
      <w:r>
        <w:rPr>
          <w:b/>
          <w:bCs/>
        </w:rPr>
        <w:t xml:space="preserve">lose its accumulated losses entirely</w:t>
      </w:r>
      <w:r>
        <w:t xml:space="preserve"> </w:t>
      </w:r>
      <w:r>
        <w:t xml:space="preserve">(subject to the DPIIT eligible-startup relaxation in s.79(2)), which weakens the</w:t>
      </w:r>
      <w:r>
        <w:t xml:space="preserve"> </w:t>
      </w:r>
      <w:r>
        <w:t xml:space="preserve">“the losses will be used later”</w:t>
      </w:r>
      <w:r>
        <w:t xml:space="preserve"> </w:t>
      </w:r>
      <w:r>
        <w:t xml:space="preserve">reassurance.</w:t>
      </w:r>
    </w:p>
    <w:p>
      <w:pPr>
        <w:pStyle w:val="BodyText"/>
      </w:pPr>
      <w:r>
        <w:rPr>
          <w:b/>
          <w:bCs/>
        </w:rPr>
        <w:t xml:space="preserve">And the cheapest time to split is now, because there is nothing to split.</w:t>
      </w:r>
      <w:r>
        <w:t xml:space="preserve"> </w:t>
      </w:r>
      <w:r>
        <w:t xml:space="preserve">Today the hardware business is an idea, prototypes and drawings: an incorporation fee. In three years the same split is a</w:t>
      </w:r>
      <w:r>
        <w:t xml:space="preserve"> </w:t>
      </w:r>
      <w:r>
        <w:rPr>
          <w:b/>
          <w:bCs/>
        </w:rPr>
        <w:t xml:space="preserve">slump sale under s.50B at deemed fair market value</w:t>
      </w:r>
      <w:r>
        <w:t xml:space="preserve"> </w:t>
      </w:r>
      <w:r>
        <w:t xml:space="preserve">— since the Finance Act 2021, consideration is deemed to be FMV computed under</w:t>
      </w:r>
      <w:r>
        <w:t xml:space="preserve"> </w:t>
      </w:r>
      <w:r>
        <w:rPr>
          <w:b/>
          <w:bCs/>
        </w:rPr>
        <w:t xml:space="preserve">Rule 11UAE</w:t>
      </w:r>
      <w:r>
        <w:t xml:space="preserve"> </w:t>
      </w:r>
      <w:r>
        <w:t xml:space="preserve">(compute FMV1 and FMV2, take the higher), so</w:t>
      </w:r>
      <w:r>
        <w:t xml:space="preserve"> </w:t>
      </w:r>
      <w:r>
        <w:rPr>
          <w:b/>
          <w:bCs/>
        </w:rPr>
        <w:t xml:space="preserve">“even if the actual consideration is below FMV, the tax is computed on the FMV”</w:t>
      </w:r>
      <w:r>
        <w:t xml:space="preserve"> </w:t>
      </w:r>
      <w:r>
        <w:t xml:space="preserve">(</w:t>
      </w:r>
      <w:hyperlink r:id="rId230">
        <w:r>
          <w:rPr>
            <w:rStyle w:val="Hyperlink"/>
          </w:rPr>
          <w:t xml:space="preserve">ClearTax</w:t>
        </w:r>
      </w:hyperlink>
      <w:r>
        <w:t xml:space="preserve">;</w:t>
      </w:r>
      <w:r>
        <w:t xml:space="preserve"> </w:t>
      </w:r>
      <w:hyperlink r:id="rId231">
        <w:r>
          <w:rPr>
            <w:rStyle w:val="Hyperlink"/>
          </w:rPr>
          <w:t xml:space="preserve">Patron Accounting</w:t>
        </w:r>
      </w:hyperlink>
      <w:r>
        <w:t xml:space="preserve">;</w:t>
      </w:r>
      <w:r>
        <w:t xml:space="preserve"> </w:t>
      </w:r>
      <w:hyperlink r:id="rId232">
        <w:r>
          <w:rPr>
            <w:rStyle w:val="Hyperlink"/>
          </w:rPr>
          <w:t xml:space="preserve">BCAS</w:t>
        </w:r>
      </w:hyperlink>
      <w:r>
        <w:t xml:space="preserve">) —</w:t>
      </w:r>
      <w:r>
        <w:t xml:space="preserve"> </w:t>
      </w:r>
      <w:r>
        <w:rPr>
          <w:b/>
          <w:bCs/>
        </w:rPr>
        <w:t xml:space="preserve">a real cash tax charge on a transaction that moves no cash.</w:t>
      </w:r>
      <w:r>
        <w:t xml:space="preserve"> </w:t>
      </w:r>
      <w:r>
        <w:t xml:space="preserve">GST is manageable: transfer of a going concern as a whole or an independent part is</w:t>
      </w:r>
      <w:r>
        <w:t xml:space="preserve"> </w:t>
      </w:r>
      <w:r>
        <w:rPr>
          <w:b/>
          <w:bCs/>
        </w:rPr>
        <w:t xml:space="preserve">exempt under Entry 2 of Notification 12/2017-CT(R)</w:t>
      </w:r>
      <w:r>
        <w:t xml:space="preserve"> </w:t>
      </w:r>
      <w:r>
        <w:t xml:space="preserve">(</w:t>
      </w:r>
      <w:hyperlink r:id="rId233">
        <w:r>
          <w:rPr>
            <w:rStyle w:val="Hyperlink"/>
          </w:rPr>
          <w:t xml:space="preserve">CAclubindia</w:t>
        </w:r>
      </w:hyperlink>
      <w:r>
        <w:t xml:space="preserve">), subject to ITC reversal and Form ITC-02 mechanics. Stamp duty on a Business Transfer Agreement is state-specific and can be significant.</w:t>
      </w:r>
      <w:r>
        <w:t xml:space="preserve"> </w:t>
      </w:r>
      <w:r>
        <w:rPr>
          <w:b/>
          <w:bCs/>
        </w:rPr>
        <w:t xml:space="preserve">But the cost people underestimate is IP and contract assignment friction</w:t>
      </w:r>
      <w:r>
        <w:t xml:space="preserve"> </w:t>
      </w:r>
      <w:r>
        <w:t xml:space="preserve">— patent assignment deeds with stamp duty and recordal in every jurisdiction, TM-P recordals, written copyright assignments, novation of every customer, supplier and lease agreement requiring counterparty consent, employment novation with PF/ESI continuity — and, the one that really hurts a lighting business,</w:t>
      </w:r>
      <w:r>
        <w:t xml:space="preserve"> </w:t>
      </w:r>
      <w:r>
        <w:rPr>
          <w:b/>
          <w:bCs/>
        </w:rPr>
        <w:t xml:space="preserve">BIS/CRS registrations, e-waste EPR and Legal Metrology registrations are entity-specific and generally have to be re-obtained, not transferred, which alone can cost two to four months of lost selling time and a repeat of testing fees.</w:t>
      </w:r>
      <w:r>
        <w:t xml:space="preserve"> </w:t>
      </w:r>
      <w:r>
        <w:t xml:space="preserve">The clean alternative, an NCLT demerger under ss.230–232 preserving tax neutrality and carrying losses under s.72A(4), is</w:t>
      </w:r>
      <w:r>
        <w:t xml:space="preserve"> </w:t>
      </w:r>
      <w:r>
        <w:rPr>
          <w:b/>
          <w:bCs/>
        </w:rPr>
        <w:t xml:space="preserve">₹10–30 lakh and 9–18 months</w:t>
      </w:r>
      <w:r>
        <w:t xml:space="preserve">. Not a seed-stage tool.</w:t>
      </w:r>
    </w:p>
    <w:bookmarkEnd w:id="234"/>
    <w:bookmarkStart w:id="240" w:name="X8c3f2a6cf8b589f5dcd69a599b284a84e7dee00"/>
    <w:p>
      <w:pPr>
        <w:pStyle w:val="Heading3"/>
      </w:pPr>
      <w:r>
        <w:t xml:space="preserve">Which entity is the patent applicant? The new one, from the first filing.</w:t>
      </w:r>
    </w:p>
    <w:p>
      <w:pPr>
        <w:pStyle w:val="FirstParagraph"/>
      </w:pPr>
      <w:r>
        <w:rPr>
          <w:b/>
          <w:bCs/>
        </w:rPr>
        <w:t xml:space="preserve">Naming the right applicant today costs ₹0. Fixing it later costs money, time and tax.</w:t>
      </w:r>
    </w:p>
    <w:p>
      <w:pPr>
        <w:pStyle w:val="BodyText"/>
      </w:pPr>
      <w:r>
        <w:rPr>
          <w:b/>
          <w:bCs/>
        </w:rPr>
        <w:t xml:space="preserve">Recordal of a patent assignment is mandatory under Section 69(2)</w:t>
      </w:r>
      <w:r>
        <w:t xml:space="preserve"> </w:t>
      </w:r>
      <w:r>
        <w:t xml:space="preserve">and is effected by filing</w:t>
      </w:r>
      <w:r>
        <w:t xml:space="preserve"> </w:t>
      </w:r>
      <w:r>
        <w:rPr>
          <w:b/>
          <w:bCs/>
        </w:rPr>
        <w:t xml:space="preserve">Form 16</w:t>
      </w:r>
      <w:r>
        <w:t xml:space="preserve"> </w:t>
      </w:r>
      <w:r>
        <w:t xml:space="preserve">with two certified true copies of the instrument under</w:t>
      </w:r>
      <w:r>
        <w:t xml:space="preserve"> </w:t>
      </w:r>
      <w:r>
        <w:rPr>
          <w:b/>
          <w:bCs/>
        </w:rPr>
        <w:t xml:space="preserve">Rule 91</w:t>
      </w:r>
      <w:r>
        <w:t xml:space="preserve"> </w:t>
      </w:r>
      <w:r>
        <w:t xml:space="preserve">(</w:t>
      </w:r>
      <w:hyperlink r:id="rId235">
        <w:r>
          <w:rPr>
            <w:rStyle w:val="Hyperlink"/>
          </w:rPr>
          <w:t xml:space="preserve">JSA</w:t>
        </w:r>
      </w:hyperlink>
      <w:r>
        <w:t xml:space="preserve">). Any post-filing assignment requires a</w:t>
      </w:r>
      <w:r>
        <w:t xml:space="preserve"> </w:t>
      </w:r>
      <w:r>
        <w:rPr>
          <w:b/>
          <w:bCs/>
        </w:rPr>
        <w:t xml:space="preserve">notarised original deed with stamp duty paid</w:t>
      </w:r>
      <w:r>
        <w:t xml:space="preserve"> </w:t>
      </w:r>
      <w:r>
        <w:t xml:space="preserve">(</w:t>
      </w:r>
      <w:hyperlink r:id="rId236">
        <w:r>
          <w:rPr>
            <w:rStyle w:val="Hyperlink"/>
          </w:rPr>
          <w:t xml:space="preserve">C&amp;C IP</w:t>
        </w:r>
      </w:hyperlink>
      <w:r>
        <w:t xml:space="preserve">), and</w:t>
      </w:r>
      <w:r>
        <w:t xml:space="preserve"> </w:t>
      </w:r>
      <w:r>
        <w:rPr>
          <w:b/>
          <w:bCs/>
        </w:rPr>
        <w:t xml:space="preserve">stamp duty is levied per the state schedule, typically 0.5%–5% of consideration</w:t>
      </w:r>
      <w:r>
        <w:t xml:space="preserve"> </w:t>
      </w:r>
      <w:r>
        <w:t xml:space="preserve">(</w:t>
      </w:r>
      <w:hyperlink r:id="rId237">
        <w:r>
          <w:rPr>
            <w:rStyle w:val="Hyperlink"/>
          </w:rPr>
          <w:t xml:space="preserve">S.S. Rana</w:t>
        </w:r>
      </w:hyperlink>
      <w:r>
        <w:t xml:space="preserve">;</w:t>
      </w:r>
      <w:r>
        <w:t xml:space="preserve"> </w:t>
      </w:r>
      <w:hyperlink r:id="rId238">
        <w:r>
          <w:rPr>
            <w:rStyle w:val="Hyperlink"/>
          </w:rPr>
          <w:t xml:space="preserve">Stratjuris</w:t>
        </w:r>
      </w:hyperlink>
      <w:r>
        <w:t xml:space="preserve">).</w:t>
      </w:r>
      <w:r>
        <w:t xml:space="preserve"> </w:t>
      </w:r>
      <w:r>
        <w:rPr>
          <w:b/>
          <w:bCs/>
        </w:rPr>
        <w:t xml:space="preserve">Form 16 official fee: ₹1,600 (natural person/startup/MSME) / ₹4,000 (small entity) / ₹8,000 (large entity)</w:t>
      </w:r>
      <w:r>
        <w:t xml:space="preserve"> </w:t>
      </w:r>
      <w:r>
        <w:t xml:space="preserve">(</w:t>
      </w:r>
      <w:hyperlink r:id="rId239">
        <w:r>
          <w:rPr>
            <w:rStyle w:val="Hyperlink"/>
          </w:rPr>
          <w:t xml:space="preserve">Intepat</w:t>
        </w:r>
      </w:hyperlink>
      <w:r>
        <w:t xml:space="preserve">).</w:t>
      </w:r>
    </w:p>
    <w:p>
      <w:pPr>
        <w:pStyle w:val="BodyText"/>
      </w:pPr>
      <w:r>
        <w:rPr>
          <w:b/>
          <w:bCs/>
        </w:rPr>
        <w:t xml:space="preserve">The non-monetary costs are worse.</w:t>
      </w:r>
      <w:r>
        <w:t xml:space="preserve"> </w:t>
      </w:r>
      <w:r>
        <w:t xml:space="preserve">A change of applicant mid-prosecution must be replicated in every jurisdiction with a national phase —</w:t>
      </w:r>
      <w:r>
        <w:t xml:space="preserve"> </w:t>
      </w:r>
      <w:r>
        <w:rPr>
          <w:b/>
          <w:bCs/>
        </w:rPr>
        <w:t xml:space="preserve">a single Indian patent with a PCT and three national phases turns a ₹20,000 problem into a ₹2–4 lakh problem.</w:t>
      </w:r>
      <w:r>
        <w:t xml:space="preserve"> </w:t>
      </w:r>
      <w:r>
        <w:t xml:space="preserve">And</w:t>
      </w:r>
      <w:r>
        <w:t xml:space="preserve"> </w:t>
      </w:r>
      <w:r>
        <w:rPr>
          <w:b/>
          <w:bCs/>
        </w:rPr>
        <w:t xml:space="preserve">chain-of-title defects kill deals</w:t>
      </w:r>
      <w:r>
        <w:t xml:space="preserve">: an unrecorded or defectively stamped assignment is the most common IP finding in Indian startup diligence and becomes a condition precedent. Under s.69(5), an unregistered document is generally not admissible as proof of title.</w:t>
      </w:r>
    </w:p>
    <w:p>
      <w:pPr>
        <w:pStyle w:val="BodyText"/>
      </w:pPr>
      <w:r>
        <w:rPr>
          <w:b/>
          <w:bCs/>
        </w:rPr>
        <w:t xml:space="preserve">The split, by subject matter: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Subject matter</w:t>
            </w:r>
          </w:p>
        </w:tc>
        <w:tc>
          <w:tcPr/>
          <w:p>
            <w:pPr>
              <w:pStyle w:val="Compact"/>
            </w:pPr>
            <w:r>
              <w:t xml:space="preserve">Applicant</w:t>
            </w:r>
          </w:p>
        </w:tc>
      </w:tr>
      <w:tr>
        <w:tc>
          <w:tcPr/>
          <w:p>
            <w:pPr>
              <w:pStyle w:val="Compact"/>
            </w:pPr>
            <w:r>
              <w:t xml:space="preserve">Lighting hardware: luminaire mechanics, thermal, driver topology, optics, battery/charging, sensor integration</w:t>
            </w:r>
          </w:p>
        </w:tc>
        <w:tc>
          <w:tcPr/>
          <w:p>
            <w:pPr>
              <w:pStyle w:val="Compact"/>
            </w:pPr>
            <w:r>
              <w:rPr>
                <w:b/>
                <w:bCs/>
              </w:rPr>
              <w:t xml:space="preserve">New hardware company — incorporate now precisely so it can be on the first filing</w:t>
            </w:r>
          </w:p>
        </w:tc>
      </w:tr>
      <w:tr>
        <w:tc>
          <w:tcPr/>
          <w:p>
            <w:pPr>
              <w:pStyle w:val="Compact"/>
            </w:pPr>
            <w:r>
              <w:t xml:space="preserve">Lighting control firmware/algorithms (where patentable notwithstanding s.3(k))</w:t>
            </w:r>
          </w:p>
        </w:tc>
        <w:tc>
          <w:tcPr/>
          <w:p>
            <w:pPr>
              <w:pStyle w:val="Compact"/>
            </w:pPr>
            <w:r>
              <w:rPr>
                <w:b/>
                <w:bCs/>
              </w:rPr>
              <w:t xml:space="preserve">Hardware company</w:t>
            </w:r>
            <w:r>
              <w:t xml:space="preserve"> </w:t>
            </w:r>
            <w:r>
              <w:t xml:space="preserve">by default, if claimed as a device or device-implemented method. Keeping the lighting family in one entity avoids a split family that cannot be licensed or sold cleanly. Licence back if needed.</w:t>
            </w:r>
          </w:p>
        </w:tc>
      </w:tr>
      <w:tr>
        <w:tc>
          <w:tcPr/>
          <w:p>
            <w:pPr>
              <w:pStyle w:val="Compact"/>
            </w:pPr>
            <w:r>
              <w:t xml:space="preserve">Modulus SaaS / school management / payments-adjacent inventions</w:t>
            </w:r>
          </w:p>
        </w:tc>
        <w:tc>
          <w:tcPr/>
          <w:p>
            <w:pPr>
              <w:pStyle w:val="Compact"/>
            </w:pPr>
            <w:r>
              <w:rPr>
                <w:b/>
                <w:bCs/>
              </w:rPr>
              <w:t xml:space="preserve">Modulark Tech Labs (existing)</w:t>
            </w:r>
          </w:p>
        </w:tc>
      </w:tr>
      <w:tr>
        <w:tc>
          <w:tcPr/>
          <w:p>
            <w:pPr>
              <w:pStyle w:val="Compact"/>
            </w:pPr>
            <w:r>
              <w:t xml:space="preserve">Drone (Modulark Aero)</w:t>
            </w:r>
          </w:p>
        </w:tc>
        <w:tc>
          <w:tcPr/>
          <w:p>
            <w:pPr>
              <w:pStyle w:val="Compact"/>
            </w:pPr>
            <w:r>
              <w:t xml:space="preserve">File in whichever entity will own it long-term.</w:t>
            </w:r>
            <w:r>
              <w:t xml:space="preserve"> </w:t>
            </w:r>
            <w:r>
              <w:rPr>
                <w:b/>
                <w:bCs/>
              </w:rPr>
              <w:t xml:space="preserve">Never</w:t>
            </w:r>
            <w:r>
              <w:rPr>
                <w:b/>
                <w:bCs/>
              </w:rPr>
              <w:t xml:space="preserve"> </w:t>
            </w:r>
            <w:r>
              <w:rPr>
                <w:b/>
                <w:bCs/>
              </w:rPr>
              <w:t xml:space="preserve">“in the parent for now, sort it out later.”</w:t>
            </w:r>
          </w:p>
        </w:tc>
      </w:tr>
      <w:tr>
        <w:tc>
          <w:tcPr/>
          <w:p>
            <w:pPr>
              <w:pStyle w:val="Compact"/>
            </w:pPr>
            <w:r>
              <w:t xml:space="preserve">Trade marks</w:t>
            </w:r>
          </w:p>
        </w:tc>
        <w:tc>
          <w:tcPr/>
          <w:p>
            <w:pPr>
              <w:pStyle w:val="Compact"/>
            </w:pPr>
            <w:r>
              <w:t xml:space="preserve">File the</w:t>
            </w:r>
            <w:r>
              <w:t xml:space="preserve"> </w:t>
            </w:r>
            <w:r>
              <w:rPr>
                <w:b/>
                <w:bCs/>
              </w:rPr>
              <w:t xml:space="preserve">MODULARK house mark in the parent</w:t>
            </w:r>
            <w:r>
              <w:t xml:space="preserve"> </w:t>
            </w:r>
            <w:r>
              <w:t xml:space="preserve">and licence it down under a registered-user/permitted-use agreement (ss.48–49 Trade Marks Act). A brand is the one asset that should stay centralised. Product-specific marks go in the owning entity.</w:t>
            </w:r>
          </w:p>
        </w:tc>
      </w:tr>
    </w:tbl>
    <w:p>
      <w:pPr>
        <w:pStyle w:val="BodyText"/>
      </w:pPr>
      <w:r>
        <w:rPr>
          <w:b/>
          <w:bCs/>
        </w:rPr>
        <w:t xml:space="preserve">If a deadline forces a filing before the new company exists:</w:t>
      </w:r>
      <w:r>
        <w:t xml:space="preserve"> </w:t>
      </w:r>
      <w:r>
        <w:t xml:space="preserve">file in the existing company, record in the board minutes that the filing is made on behalf of a to-be-incorporated hardware entity, incorporate within weeks, and execute a</w:t>
      </w:r>
      <w:r>
        <w:t xml:space="preserve"> </w:t>
      </w:r>
      <w:r>
        <w:rPr>
          <w:b/>
          <w:bCs/>
        </w:rPr>
        <w:t xml:space="preserve">Form 6 change of applicant pre-grant</w:t>
      </w:r>
      <w:r>
        <w:t xml:space="preserve"> </w:t>
      </w:r>
      <w:r>
        <w:t xml:space="preserve">immediately. Form 6 pre-grant is far cheaper and cleaner than a post-grant Form 16 recordal.</w:t>
      </w:r>
      <w:r>
        <w:t xml:space="preserve"> </w:t>
      </w:r>
      <w:r>
        <w:rPr>
          <w:b/>
          <w:bCs/>
        </w:rPr>
        <w:t xml:space="preserve">Do not let a filing sit in the wrong entity through to grant.</w:t>
      </w:r>
      <w:r>
        <w:t xml:space="preserve"> </w:t>
      </w:r>
      <w:r>
        <w:rPr>
          <w:i/>
          <w:iCs/>
        </w:rPr>
        <w:t xml:space="preserve">(The Form 6 official fee could not be found in any source. Check the First Schedule to the Patents Rules as amended in 2024.)</w:t>
      </w:r>
    </w:p>
    <w:bookmarkEnd w:id="240"/>
    <w:bookmarkStart w:id="246" w:name="X89351b110e99fb82e60c602d9ac9b32313b7746"/>
    <w:p>
      <w:pPr>
        <w:pStyle w:val="Heading3"/>
      </w:pPr>
      <w:r>
        <w:t xml:space="preserve">The ownership hygiene that must be right before you file</w:t>
      </w:r>
    </w:p>
    <w:p>
      <w:pPr>
        <w:pStyle w:val="FirstParagraph"/>
      </w:pPr>
      <w:r>
        <w:rPr>
          <w:b/>
          <w:bCs/>
        </w:rPr>
        <w:t xml:space="preserve">The single most important asymmetry in Indian IP law for you: copyright in works made in the course of employment vests in the employer automatically under Section 17 of the Copyright Act 1957, but patent rights do NOT — the Patents Act 1970 contains no equivalent provision, so patent ownership requires express assignment</w:t>
      </w:r>
      <w:r>
        <w:t xml:space="preserve"> </w:t>
      </w:r>
      <w:r>
        <w:t xml:space="preserve">(</w:t>
      </w:r>
      <w:hyperlink r:id="rId241">
        <w:r>
          <w:rPr>
            <w:rStyle w:val="Hyperlink"/>
          </w:rPr>
          <w:t xml:space="preserve">SpicyIP</w:t>
        </w:r>
      </w:hyperlink>
      <w:r>
        <w:t xml:space="preserve">;</w:t>
      </w:r>
      <w:r>
        <w:t xml:space="preserve"> </w:t>
      </w:r>
      <w:hyperlink r:id="rId242">
        <w:r>
          <w:rPr>
            <w:rStyle w:val="Hyperlink"/>
          </w:rPr>
          <w:t xml:space="preserve">Khaitan &amp; Co</w:t>
        </w:r>
      </w:hyperlink>
      <w:r>
        <w:t xml:space="preserve">). You hire an engineer, you get the firmware —</w:t>
      </w:r>
      <w:r>
        <w:t xml:space="preserve"> </w:t>
      </w:r>
      <w:r>
        <w:rPr>
          <w:b/>
          <w:bCs/>
        </w:rPr>
        <w:t xml:space="preserve">you do not get the inventions unless the contract says so.</w:t>
      </w:r>
      <w:r>
        <w:t xml:space="preserve"> </w:t>
      </w:r>
      <w:r>
        <w:t xml:space="preserve">And</w:t>
      </w:r>
      <w:r>
        <w:t xml:space="preserve"> </w:t>
      </w:r>
      <w:r>
        <w:rPr>
          <w:b/>
          <w:bCs/>
        </w:rPr>
        <w:t xml:space="preserve">Section 17 does not apply to a contract</w:t>
      </w:r>
      <w:r>
        <w:rPr>
          <w:b/>
          <w:bCs/>
        </w:rPr>
        <w:t xml:space="preserve"> </w:t>
      </w:r>
      <w:r>
        <w:rPr>
          <w:b/>
          <w:bCs/>
          <w:i/>
          <w:iCs/>
        </w:rPr>
        <w:t xml:space="preserve">for</w:t>
      </w:r>
      <w:r>
        <w:rPr>
          <w:b/>
          <w:bCs/>
        </w:rPr>
        <w:t xml:space="preserve"> </w:t>
      </w:r>
      <w:r>
        <w:rPr>
          <w:b/>
          <w:bCs/>
        </w:rPr>
        <w:t xml:space="preserve">services at all</w:t>
      </w:r>
      <w:r>
        <w:t xml:space="preserve">, so a</w:t>
      </w:r>
      <w:r>
        <w:t xml:space="preserve"> </w:t>
      </w:r>
      <w:r>
        <w:rPr>
          <w:b/>
          <w:bCs/>
        </w:rPr>
        <w:t xml:space="preserve">freelance industrial designer owns the copyright in their drawings, CAD files and renders by default</w:t>
      </w:r>
      <w:r>
        <w:t xml:space="preserve">. There is no work-for-hire doctrine in India to rescue you.</w:t>
      </w:r>
    </w:p>
    <w:p>
      <w:pPr>
        <w:pStyle w:val="BodyText"/>
      </w:pPr>
      <w:r>
        <w:rPr>
          <w:b/>
          <w:bCs/>
        </w:rPr>
        <w:t xml:space="preserve">Proof of right must be on file within six months.</w:t>
      </w:r>
      <w:r>
        <w:t xml:space="preserve"> </w:t>
      </w:r>
      <w:r>
        <w:t xml:space="preserve">Section 7(2) read with Rule 10 requires proof of right with the application or</w:t>
      </w:r>
      <w:r>
        <w:t xml:space="preserve"> </w:t>
      </w:r>
      <w:r>
        <w:rPr>
          <w:b/>
          <w:bCs/>
        </w:rPr>
        <w:t xml:space="preserve">within six months of filing</w:t>
      </w:r>
      <w:r>
        <w:t xml:space="preserve">, with a</w:t>
      </w:r>
      <w:r>
        <w:t xml:space="preserve"> </w:t>
      </w:r>
      <w:r>
        <w:rPr>
          <w:b/>
          <w:bCs/>
        </w:rPr>
        <w:t xml:space="preserve">maximum one-month extension under Rule 138 if requested within the six months</w:t>
      </w:r>
      <w:r>
        <w:t xml:space="preserve"> </w:t>
      </w:r>
      <w:r>
        <w:t xml:space="preserve">(</w:t>
      </w:r>
      <w:hyperlink r:id="rId243">
        <w:r>
          <w:rPr>
            <w:rStyle w:val="Hyperlink"/>
          </w:rPr>
          <w:t xml:space="preserve">Obhan Mason</w:t>
        </w:r>
      </w:hyperlink>
      <w:r>
        <w:t xml:space="preserve">;</w:t>
      </w:r>
      <w:r>
        <w:t xml:space="preserve"> </w:t>
      </w:r>
      <w:hyperlink r:id="rId244">
        <w:r>
          <w:rPr>
            <w:rStyle w:val="Hyperlink"/>
          </w:rPr>
          <w:t xml:space="preserve">Selvam &amp; Selvam</w:t>
        </w:r>
      </w:hyperlink>
      <w:r>
        <w:t xml:space="preserve">). Two acceptable forms: the</w:t>
      </w:r>
      <w:r>
        <w:t xml:space="preserve"> </w:t>
      </w:r>
      <w:r>
        <w:rPr>
          <w:b/>
          <w:bCs/>
        </w:rPr>
        <w:t xml:space="preserve">Form 1 declaration signed by the inventor(s)</w:t>
      </w:r>
      <w:r>
        <w:t xml:space="preserve">, or the</w:t>
      </w:r>
      <w:r>
        <w:t xml:space="preserve"> </w:t>
      </w:r>
      <w:r>
        <w:rPr>
          <w:b/>
          <w:bCs/>
        </w:rPr>
        <w:t xml:space="preserve">original assignment deed</w:t>
      </w:r>
      <w:r>
        <w:t xml:space="preserve">. A company can never be the true and first inventor — it applies as assignee under</w:t>
      </w:r>
      <w:r>
        <w:t xml:space="preserve"> </w:t>
      </w:r>
      <w:r>
        <w:rPr>
          <w:b/>
          <w:bCs/>
        </w:rPr>
        <w:t xml:space="preserve">Section 6(b)</w:t>
      </w:r>
      <w:r>
        <w:t xml:space="preserve">, which is exactly why the assignment must exist.</w:t>
      </w:r>
      <w:r>
        <w:t xml:space="preserve"> </w:t>
      </w:r>
      <w:r>
        <w:rPr>
          <w:i/>
          <w:iCs/>
        </w:rPr>
        <w:t xml:space="preserve">(A Madras High Court decision reportedly provides clarity on proof of right —</w:t>
      </w:r>
      <w:r>
        <w:rPr>
          <w:i/>
          <w:iCs/>
        </w:rPr>
        <w:t xml:space="preserve"> </w:t>
      </w:r>
      <w:hyperlink r:id="rId245">
        <w:r>
          <w:rPr>
            <w:rStyle w:val="Hyperlink"/>
            <w:i/>
            <w:iCs/>
          </w:rPr>
          <w:t xml:space="preserve">Lexology</w:t>
        </w:r>
      </w:hyperlink>
      <w:r>
        <w:rPr>
          <w:i/>
          <w:iCs/>
        </w:rPr>
        <w:t xml:space="preserve"> </w:t>
      </w:r>
      <w:r>
        <w:rPr>
          <w:i/>
          <w:iCs/>
        </w:rPr>
        <w:t xml:space="preserve">— but the holding could not be read.</w:t>
      </w:r>
      <w:r>
        <w:rPr>
          <w:i/>
          <w:iCs/>
        </w:rPr>
        <w:t xml:space="preserve"> </w:t>
      </w:r>
      <w:r>
        <w:rPr>
          <w:b/>
          <w:bCs/>
          <w:i/>
          <w:iCs/>
        </w:rPr>
        <w:t xml:space="preserve">Whether a late or defective proof of right is curable is therefore unknown. Do not be relaxed about it.</w:t>
      </w:r>
      <w:r>
        <w:rPr>
          <w:i/>
          <w:iCs/>
        </w:rPr>
        <w:t xml:space="preserve">)</w:t>
      </w:r>
    </w:p>
    <w:p>
      <w:pPr>
        <w:pStyle w:val="BodyText"/>
      </w:pPr>
      <w:r>
        <w:rPr>
          <w:b/>
          <w:bCs/>
        </w:rPr>
        <w:t xml:space="preserve">Contract clauses that must exist, and the wording matters.</w:t>
      </w:r>
      <w:r>
        <w:t xml:space="preserve"> </w:t>
      </w:r>
      <w:r>
        <w:t xml:space="preserve">Use</w:t>
      </w:r>
      <w:r>
        <w:t xml:space="preserve"> </w:t>
      </w:r>
      <w:r>
        <w:rPr>
          <w:b/>
          <w:bCs/>
        </w:rPr>
        <w:t xml:space="preserve">present-tense assignment —</w:t>
      </w:r>
      <w:r>
        <w:rPr>
          <w:b/>
          <w:bCs/>
        </w:rPr>
        <w:t xml:space="preserve"> </w:t>
      </w:r>
      <w:r>
        <w:rPr>
          <w:b/>
          <w:bCs/>
        </w:rPr>
        <w:t xml:space="preserve">“Employee hereby assigns”</w:t>
      </w:r>
      <w:r>
        <w:t xml:space="preserve"> </w:t>
      </w:r>
      <w:r>
        <w:t xml:space="preserve">— not</w:t>
      </w:r>
      <w:r>
        <w:t xml:space="preserve"> </w:t>
      </w:r>
      <w:r>
        <w:t xml:space="preserve">“agrees to assign,”</w:t>
      </w:r>
      <w:r>
        <w:t xml:space="preserve"> </w:t>
      </w:r>
      <w:r>
        <w:t xml:space="preserve">which is a promise leaving you suing for specific performance. Add a</w:t>
      </w:r>
      <w:r>
        <w:t xml:space="preserve"> </w:t>
      </w:r>
      <w:r>
        <w:rPr>
          <w:b/>
          <w:bCs/>
        </w:rPr>
        <w:t xml:space="preserve">further-assurances clause plus an irrevocable power of attorney</w:t>
      </w:r>
      <w:r>
        <w:t xml:space="preserve"> </w:t>
      </w:r>
      <w:r>
        <w:t xml:space="preserve">to execute IP documents if the person will not; this is the clause that saves you when an ex-employee is uncooperative six months into prosecution. Make the confidentiality clause</w:t>
      </w:r>
      <w:r>
        <w:t xml:space="preserve"> </w:t>
      </w:r>
      <w:r>
        <w:rPr>
          <w:b/>
          <w:bCs/>
        </w:rPr>
        <w:t xml:space="preserve">specifically enumerate</w:t>
      </w:r>
      <w:r>
        <w:t xml:space="preserve"> </w:t>
      </w:r>
      <w:r>
        <w:t xml:space="preserve">the tuned curves, the calibration methodology, the firmware source, the BOM and supplier pricing — per</w:t>
      </w:r>
      <w:r>
        <w:t xml:space="preserve"> </w:t>
      </w:r>
      <w:r>
        <w:rPr>
          <w:i/>
          <w:iCs/>
        </w:rPr>
        <w:t xml:space="preserve">Ambiance India</w:t>
      </w:r>
      <w:r>
        <w:t xml:space="preserve">, a clause that claims everything protects nothing. Include non-solicitation and during-employment exclusivity (safe under</w:t>
      </w:r>
      <w:r>
        <w:t xml:space="preserve"> </w:t>
      </w:r>
      <w:r>
        <w:rPr>
          <w:i/>
          <w:iCs/>
        </w:rPr>
        <w:t xml:space="preserve">Golikari</w:t>
      </w:r>
      <w:r>
        <w:t xml:space="preserve">).</w:t>
      </w:r>
      <w:r>
        <w:t xml:space="preserve"> </w:t>
      </w:r>
      <w:r>
        <w:rPr>
          <w:b/>
          <w:bCs/>
        </w:rPr>
        <w:t xml:space="preserve">Do not rely on a post-employment non-compete;</w:t>
      </w:r>
      <w:r>
        <w:t xml:space="preserve"> </w:t>
      </w:r>
      <w:r>
        <w:t xml:space="preserve">include it as a deterrent if you like, but an aggressive one invites a court to look sceptically at the whole agreement.</w:t>
      </w:r>
    </w:p>
    <w:p>
      <w:pPr>
        <w:pStyle w:val="BodyText"/>
      </w:pPr>
      <w:r>
        <w:rPr>
          <w:b/>
          <w:bCs/>
        </w:rPr>
        <w:t xml:space="preserve">For the freelance designer, add:</w:t>
      </w:r>
      <w:r>
        <w:t xml:space="preserve"> </w:t>
      </w:r>
      <w:r>
        <w:t xml:space="preserve">express written assignment of copyright (</w:t>
      </w:r>
      <w:r>
        <w:rPr>
          <w:b/>
          <w:bCs/>
        </w:rPr>
        <w:t xml:space="preserve">s.19 requires writing, signature, specification of work, rights, duration and territory</w:t>
      </w:r>
      <w:r>
        <w:t xml:space="preserve"> </w:t>
      </w:r>
      <w:r>
        <w:t xml:space="preserve">— and note the reported rules that an unexercised assignment may lapse after five years and that territory defaults to India if unspecified, both</w:t>
      </w:r>
      <w:r>
        <w:t xml:space="preserve"> </w:t>
      </w:r>
      <w:r>
        <w:rPr>
          <w:b/>
          <w:bCs/>
        </w:rPr>
        <w:t xml:space="preserve">unverified</w:t>
      </w:r>
      <w:r>
        <w:t xml:space="preserve">); assignment of design rights and an obligation not to file any design application; assignment of inventions plus further assurances; a covenant not to assert moral rights (Indian moral rights under s.57 are</w:t>
      </w:r>
      <w:r>
        <w:t xml:space="preserve"> </w:t>
      </w:r>
      <w:r>
        <w:rPr>
          <w:b/>
          <w:bCs/>
        </w:rPr>
        <w:t xml:space="preserve">not fully waivable</w:t>
      </w:r>
      <w:r>
        <w:t xml:space="preserve">); confidentiality; a warranty of originality and non-infringement with indemnity; and —</w:t>
      </w:r>
      <w:r>
        <w:t xml:space="preserve"> </w:t>
      </w:r>
      <w:r>
        <w:rPr>
          <w:b/>
          <w:bCs/>
        </w:rPr>
        <w:t xml:space="preserve">the clause founders forget — an express prohibition on portfolio publication without written consent, and in any event not before your design registration is filed. A designer’s Behance post destroys your design novelty.</w:t>
      </w:r>
    </w:p>
    <w:p>
      <w:pPr>
        <w:pStyle w:val="BodyText"/>
      </w:pPr>
      <w:r>
        <w:rPr>
          <w:b/>
          <w:bCs/>
        </w:rPr>
        <w:t xml:space="preserve">For the overseas PCB assembly house</w:t>
      </w:r>
      <w:r>
        <w:t xml:space="preserve">, the contract must cover: NDA executed</w:t>
      </w:r>
      <w:r>
        <w:t xml:space="preserve"> </w:t>
      </w:r>
      <w:r>
        <w:rPr>
          <w:b/>
          <w:bCs/>
        </w:rPr>
        <w:t xml:space="preserve">before</w:t>
      </w:r>
      <w:r>
        <w:t xml:space="preserve"> </w:t>
      </w:r>
      <w:r>
        <w:t xml:space="preserve">any file transfer; express statement that all IP in designs, files, firmware and tooling remains yours and any CM improvements are assigned to you;</w:t>
      </w:r>
      <w:r>
        <w:t xml:space="preserve"> </w:t>
      </w:r>
      <w:r>
        <w:rPr>
          <w:b/>
          <w:bCs/>
        </w:rPr>
        <w:t xml:space="preserve">explicit prohibition on overbuild</w:t>
      </w:r>
      <w:r>
        <w:t xml:space="preserve"> </w:t>
      </w:r>
      <w:r>
        <w:t xml:space="preserve">with reporting, destruction of rejects and surplus, and audit rights; prohibition on using your files for other customers; serialisation and unit accounting; tooling ownership with a right to take possession on termination; no subcontracting without consent.</w:t>
      </w:r>
      <w:r>
        <w:t xml:space="preserve"> </w:t>
      </w:r>
      <w:r>
        <w:rPr>
          <w:b/>
          <w:bCs/>
        </w:rPr>
        <w:t xml:space="preserve">Prefer Singapore-seated arbitration (SIAC) over Indian courts</w:t>
      </w:r>
      <w:r>
        <w:t xml:space="preserve"> </w:t>
      </w:r>
      <w:r>
        <w:t xml:space="preserve">— an arbitral award is enforceable across borders under the New York Convention where an Indian decree effectively is not.</w:t>
      </w:r>
      <w:r>
        <w:t xml:space="preserve"> </w:t>
      </w:r>
      <w:r>
        <w:rPr>
          <w:b/>
          <w:bCs/>
        </w:rPr>
        <w:t xml:space="preserve">But be honest: suing a Chinese or Southeast Asian CM from India is slow and expensive and you probably will not do it. Use structural measures instead</w:t>
      </w:r>
      <w:r>
        <w:t xml:space="preserve"> </w:t>
      </w:r>
      <w:r>
        <w:t xml:space="preserve">— above all, do not send production firmware to the CM at all.</w:t>
      </w:r>
    </w:p>
    <w:p>
      <w:r>
        <w:pict>
          <v:rect style="width:0;height:1.5pt" o:hralign="center" o:hrstd="t" o:hr="t"/>
        </w:pict>
      </w:r>
    </w:p>
    <w:bookmarkEnd w:id="246"/>
    <w:bookmarkEnd w:id="247"/>
    <w:bookmarkStart w:id="252" w:name="a-priority-ordered-action-list"/>
    <w:p>
      <w:pPr>
        <w:pStyle w:val="Heading2"/>
      </w:pPr>
      <w:r>
        <w:t xml:space="preserve">(a) PRIORITY-ORDERED ACTION LIST</w:t>
      </w:r>
    </w:p>
    <w:p>
      <w:pPr>
        <w:pStyle w:val="FirstParagraph"/>
      </w:pPr>
      <w:r>
        <w:rPr>
          <w:b/>
          <w:bCs/>
        </w:rPr>
        <w:t xml:space="preserve">Sequencing matters more than speed. Items in Phase 0 destroy rights permanently if done out of order.</w:t>
      </w:r>
    </w:p>
    <w:bookmarkStart w:id="248" w:name="X9769cc963ad8e5bb496ba4ae43b258ba1089e21"/>
    <w:p>
      <w:pPr>
        <w:pStyle w:val="Heading3"/>
      </w:pPr>
      <w:r>
        <w:t xml:space="preserve">PHASE 0 — BEFORE ANYTHING LEAVES THE BUILDING (do these first, in this order)</w:t>
      </w:r>
    </w:p>
    <w:p>
      <w:pPr>
        <w:pStyle w:val="Compact"/>
        <w:numPr>
          <w:ilvl w:val="0"/>
          <w:numId w:val="1002"/>
        </w:numPr>
      </w:pPr>
      <w:r>
        <w:rPr>
          <w:b/>
          <w:bCs/>
        </w:rPr>
        <w:t xml:space="preserve">Stop all external disclosure now.</w:t>
      </w:r>
      <w:r>
        <w:t xml:space="preserve"> </w:t>
      </w:r>
      <w:r>
        <w:t xml:space="preserve">No photos, no renders, no demos, no decks with product imagery, no repo made public, no press, no crowdfunding, no trade show. See the DO-NOT-DISCLOSE RULE below.</w:t>
      </w:r>
      <w:r>
        <w:t xml:space="preserve"> </w:t>
      </w:r>
      <w:r>
        <w:rPr>
          <w:b/>
          <w:bCs/>
        </w:rPr>
        <w:t xml:space="preserve">Every day of exposure is irreversible.</w:t>
      </w:r>
    </w:p>
    <w:p>
      <w:pPr>
        <w:pStyle w:val="Compact"/>
        <w:numPr>
          <w:ilvl w:val="0"/>
          <w:numId w:val="1002"/>
        </w:numPr>
      </w:pPr>
      <w:r>
        <w:rPr>
          <w:b/>
          <w:bCs/>
        </w:rPr>
        <w:t xml:space="preserve">Get DPIIT Startup recognition and/or Udyam/MSME registration.</w:t>
      </w:r>
      <w:r>
        <w:t xml:space="preserve"> </w:t>
      </w:r>
      <w:r>
        <w:t xml:space="preserve">Free. Roughly halves every patent, design and trademark official fee.</w:t>
      </w:r>
      <w:r>
        <w:t xml:space="preserve"> </w:t>
      </w:r>
      <w:r>
        <w:rPr>
          <w:b/>
          <w:bCs/>
        </w:rPr>
        <w:t xml:space="preserve">Must be in hand at the time of filing</w:t>
      </w:r>
      <w:r>
        <w:t xml:space="preserve"> </w:t>
      </w:r>
      <w:r>
        <w:t xml:space="preserve">— design Form 24 and patent Form 28 require the certificate at filing, not later.</w:t>
      </w:r>
    </w:p>
    <w:p>
      <w:pPr>
        <w:pStyle w:val="Compact"/>
        <w:numPr>
          <w:ilvl w:val="0"/>
          <w:numId w:val="1002"/>
        </w:numPr>
      </w:pPr>
      <w:r>
        <w:rPr>
          <w:b/>
          <w:bCs/>
        </w:rPr>
        <w:t xml:space="preserve">Read your filed MOA from MCA21.</w:t>
      </w:r>
      <w:r>
        <w:t xml:space="preserve"> </w:t>
      </w:r>
      <w:r>
        <w:t xml:space="preserve">Answer: does it authorise manufacture? (Also answer the payments-flow question in the same week — see item 5.)</w:t>
      </w:r>
    </w:p>
    <w:p>
      <w:pPr>
        <w:pStyle w:val="Compact"/>
        <w:numPr>
          <w:ilvl w:val="0"/>
          <w:numId w:val="1002"/>
        </w:numPr>
      </w:pPr>
      <w:r>
        <w:rPr>
          <w:b/>
          <w:bCs/>
        </w:rPr>
        <w:t xml:space="preserve">Commission the professional prior art / FTO search</w:t>
      </w:r>
      <w:r>
        <w:t xml:space="preserve"> </w:t>
      </w:r>
      <w:r>
        <w:t xml:space="preserve">on CPC H05B47/105, /11, /115, /155, /165, /19 and G05B13/*, plus a targeted search on battery contact geometry and dead-until-mated.</w:t>
      </w:r>
      <w:r>
        <w:t xml:space="preserve"> </w:t>
      </w:r>
      <w:r>
        <w:rPr>
          <w:b/>
          <w:bCs/>
        </w:rPr>
        <w:t xml:space="preserve">This gates both the Asset 1 filing scope and the Asset 4 go/no-go.</w:t>
      </w:r>
      <w:r>
        <w:t xml:space="preserve"> </w:t>
      </w:r>
      <w:r>
        <w:t xml:space="preserve">Do it before paying for a complete specification.</w:t>
      </w:r>
    </w:p>
    <w:p>
      <w:pPr>
        <w:pStyle w:val="Compact"/>
        <w:numPr>
          <w:ilvl w:val="0"/>
          <w:numId w:val="1002"/>
        </w:numPr>
      </w:pPr>
      <w:r>
        <w:rPr>
          <w:b/>
          <w:bCs/>
        </w:rPr>
        <w:t xml:space="preserve">Answer the payments question: do school fee payments ever settle into a Modulark Tech Labs account, even briefly?</w:t>
      </w:r>
      <w:r>
        <w:t xml:space="preserve"> </w:t>
      </w:r>
      <w:r>
        <w:t xml:space="preserve">If yes, fix the fund flow immediately — it is unauthorised payment aggregation and the authorisation threshold is ₹15 crore net worth.</w:t>
      </w:r>
    </w:p>
    <w:p>
      <w:pPr>
        <w:pStyle w:val="Compact"/>
        <w:numPr>
          <w:ilvl w:val="0"/>
          <w:numId w:val="1002"/>
        </w:numPr>
      </w:pPr>
      <w:r>
        <w:rPr>
          <w:b/>
          <w:bCs/>
        </w:rPr>
        <w:t xml:space="preserve">Incorporate the hardware company</w:t>
      </w:r>
      <w:r>
        <w:t xml:space="preserve"> </w:t>
      </w:r>
      <w:r>
        <w:t xml:space="preserve">via SPICe+ with a manufacturing-appropriate objects clause and NIC code from the start.</w:t>
      </w:r>
    </w:p>
    <w:p>
      <w:pPr>
        <w:pStyle w:val="Compact"/>
        <w:numPr>
          <w:ilvl w:val="0"/>
          <w:numId w:val="1002"/>
        </w:numPr>
      </w:pPr>
      <w:r>
        <w:rPr>
          <w:b/>
          <w:bCs/>
        </w:rPr>
        <w:t xml:space="preserve">Put the employment/contractor/CM IP clauses in place</w:t>
      </w:r>
      <w:r>
        <w:t xml:space="preserve"> </w:t>
      </w:r>
      <w:r>
        <w:t xml:space="preserve">— present-tense assignment, further assurances, POA, specifically enumerated confidentiality, designer portfolio prohibition —</w:t>
      </w:r>
      <w:r>
        <w:t xml:space="preserve"> </w:t>
      </w:r>
      <w:r>
        <w:rPr>
          <w:b/>
          <w:bCs/>
        </w:rPr>
        <w:t xml:space="preserve">before the next person touches the design.</w:t>
      </w:r>
    </w:p>
    <w:bookmarkEnd w:id="248"/>
    <w:bookmarkStart w:id="249" w:name="Xe82181c492dc24b90bc3f63652c044d3b4f07a5"/>
    <w:p>
      <w:pPr>
        <w:pStyle w:val="Heading3"/>
      </w:pPr>
      <w:r>
        <w:t xml:space="preserve">PHASE 1 — FILE (this is the gate; nothing public before it closes)</w:t>
      </w:r>
    </w:p>
    <w:p>
      <w:pPr>
        <w:pStyle w:val="Compact"/>
        <w:numPr>
          <w:ilvl w:val="0"/>
          <w:numId w:val="1003"/>
        </w:numPr>
      </w:pPr>
      <w:r>
        <w:rPr>
          <w:b/>
          <w:bCs/>
        </w:rPr>
        <w:t xml:space="preserve">Freeze the industrial design.</w:t>
      </w:r>
    </w:p>
    <w:p>
      <w:pPr>
        <w:pStyle w:val="Compact"/>
        <w:numPr>
          <w:ilvl w:val="0"/>
          <w:numId w:val="1003"/>
        </w:numPr>
      </w:pPr>
      <w:r>
        <w:rPr>
          <w:b/>
          <w:bCs/>
        </w:rPr>
        <w:t xml:space="preserve">File the Indian design application(s) in Locarno 26-05</w:t>
      </w:r>
      <w:r>
        <w:t xml:space="preserve"> </w:t>
      </w:r>
      <w:r>
        <w:t xml:space="preserve">— assembled module, light head, wall disc as separate designs — with a</w:t>
      </w:r>
      <w:r>
        <w:t xml:space="preserve"> </w:t>
      </w:r>
      <w:r>
        <w:rPr>
          <w:b/>
          <w:bCs/>
        </w:rPr>
        <w:t xml:space="preserve">detail-specific statement of novelty</w:t>
      </w:r>
      <w:r>
        <w:t xml:space="preserve">, Form 24 plus DPIIT/Udyam certificate attached.</w:t>
      </w:r>
      <w:r>
        <w:t xml:space="preserve"> </w:t>
      </w:r>
      <w:r>
        <w:rPr>
          <w:b/>
          <w:bCs/>
        </w:rPr>
        <w:t xml:space="preserve">File India first. Do not file abroad first (</w:t>
      </w:r>
      <w:r>
        <w:rPr>
          <w:b/>
          <w:bCs/>
          <w:i/>
          <w:iCs/>
        </w:rPr>
        <w:t xml:space="preserve">Reckitt Benckiser</w:t>
      </w:r>
      <w:r>
        <w:rPr>
          <w:b/>
          <w:bCs/>
        </w:rPr>
        <w:t xml:space="preserve">).</w:t>
      </w:r>
    </w:p>
    <w:p>
      <w:pPr>
        <w:pStyle w:val="Compact"/>
        <w:numPr>
          <w:ilvl w:val="0"/>
          <w:numId w:val="1003"/>
        </w:numPr>
      </w:pPr>
      <w:r>
        <w:rPr>
          <w:b/>
          <w:bCs/>
        </w:rPr>
        <w:t xml:space="preserve">File the patent provisional on the same day or immediately after</w:t>
      </w:r>
      <w:r>
        <w:t xml:space="preserve">, with the applicant being the</w:t>
      </w:r>
      <w:r>
        <w:t xml:space="preserve"> </w:t>
      </w:r>
      <w:r>
        <w:rPr>
          <w:b/>
          <w:bCs/>
        </w:rPr>
        <w:t xml:space="preserve">hardware company</w:t>
      </w:r>
      <w:r>
        <w:t xml:space="preserve">, proof of right via Form 1 declaration or a pre-dated assignment deed. Make it thick: sensing node construction, sweep procedure with settling times, daylight estimation, constraint set, wireless path,</w:t>
      </w:r>
      <w:r>
        <w:t xml:space="preserve"> </w:t>
      </w:r>
      <w:r>
        <w:rPr>
          <w:b/>
          <w:bCs/>
        </w:rPr>
        <w:t xml:space="preserve">real numbers</w:t>
      </w:r>
      <w:r>
        <w:t xml:space="preserve">, and every variant you may ever claim.</w:t>
      </w:r>
    </w:p>
    <w:p>
      <w:pPr>
        <w:pStyle w:val="Compact"/>
        <w:numPr>
          <w:ilvl w:val="0"/>
          <w:numId w:val="1003"/>
        </w:numPr>
      </w:pPr>
      <w:r>
        <w:rPr>
          <w:b/>
          <w:bCs/>
        </w:rPr>
        <w:t xml:space="preserve">Get the application numbers in hand. Only now does Phase 2 open.</w:t>
      </w:r>
    </w:p>
    <w:bookmarkEnd w:id="249"/>
    <w:bookmarkStart w:id="250" w:name="X1f2655317bb49ae738fac5ebb090bc9ffb31ffb"/>
    <w:p>
      <w:pPr>
        <w:pStyle w:val="Heading3"/>
      </w:pPr>
      <w:r>
        <w:t xml:space="preserve">PHASE 2 — HARD DEADLINES THAT MUST NOT BE MISSED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Deadline</w:t>
            </w:r>
          </w:p>
        </w:tc>
        <w:tc>
          <w:tcPr/>
          <w:p>
            <w:pPr>
              <w:pStyle w:val="Compact"/>
            </w:pPr>
            <w:r>
              <w:t xml:space="preserve">What</w:t>
            </w:r>
          </w:p>
        </w:tc>
        <w:tc>
          <w:tcPr/>
          <w:p>
            <w:pPr>
              <w:pStyle w:val="Compact"/>
            </w:pPr>
            <w:r>
              <w:t xml:space="preserve">Consequence of missing</w:t>
            </w:r>
          </w:p>
        </w:tc>
      </w:tr>
      <w:tr>
        <w:tc>
          <w:tcPr/>
          <w:p>
            <w:pPr>
              <w:pStyle w:val="Compact"/>
            </w:pPr>
            <w:r>
              <w:rPr>
                <w:b/>
                <w:bCs/>
              </w:rPr>
              <w:t xml:space="preserve">Provisional + 6 weeks</w:t>
            </w:r>
            <w:r>
              <w:t xml:space="preserve"> </w:t>
            </w:r>
            <w:r>
              <w:t xml:space="preserve">(or Form 25 FFL)</w:t>
            </w:r>
          </w:p>
        </w:tc>
        <w:tc>
          <w:tcPr/>
          <w:p>
            <w:pPr>
              <w:pStyle w:val="Compact"/>
            </w:pPr>
            <w:r>
              <w:t xml:space="preserve">Section 39 clearance before</w:t>
            </w:r>
            <w:r>
              <w:t xml:space="preserve"> </w:t>
            </w:r>
            <w:r>
              <w:rPr>
                <w:b/>
                <w:bCs/>
              </w:rPr>
              <w:t xml:space="preserve">any</w:t>
            </w:r>
            <w:r>
              <w:t xml:space="preserve"> </w:t>
            </w:r>
            <w:r>
              <w:t xml:space="preserve">foreign filing</w:t>
            </w:r>
          </w:p>
        </w:tc>
        <w:tc>
          <w:tcPr/>
          <w:p>
            <w:pPr>
              <w:pStyle w:val="Compact"/>
            </w:pPr>
            <w:r>
              <w:rPr>
                <w:b/>
                <w:bCs/>
              </w:rPr>
              <w:t xml:space="preserve">Criminal offence, s.118: up to 2 years’ imprisonment. Application deemed abandoned, s.40. Patent revocable, s.64.</w:t>
            </w:r>
          </w:p>
        </w:tc>
      </w:tr>
      <w:tr>
        <w:tc>
          <w:tcPr/>
          <w:p>
            <w:pPr>
              <w:pStyle w:val="Compact"/>
            </w:pPr>
            <w:r>
              <w:rPr>
                <w:b/>
                <w:bCs/>
              </w:rPr>
              <w:t xml:space="preserve">Provisional + 6 months</w:t>
            </w:r>
          </w:p>
        </w:tc>
        <w:tc>
          <w:tcPr/>
          <w:p>
            <w:pPr>
              <w:pStyle w:val="Compact"/>
            </w:pPr>
            <w:r>
              <w:t xml:space="preserve">Proof of right on file (Rule 138: max 1 month extension, requested within the six)</w:t>
            </w:r>
          </w:p>
        </w:tc>
        <w:tc>
          <w:tcPr/>
          <w:p>
            <w:pPr>
              <w:pStyle w:val="Compact"/>
            </w:pPr>
            <w:r>
              <w:t xml:space="preserve">Objection; curability unknown</w:t>
            </w:r>
          </w:p>
        </w:tc>
      </w:tr>
      <w:tr>
        <w:tc>
          <w:tcPr/>
          <w:p>
            <w:pPr>
              <w:pStyle w:val="Compact"/>
            </w:pPr>
            <w:r>
              <w:rPr>
                <w:b/>
                <w:bCs/>
              </w:rPr>
              <w:t xml:space="preserve">Provisional + 6 months</w:t>
            </w:r>
          </w:p>
        </w:tc>
        <w:tc>
          <w:tcPr/>
          <w:p>
            <w:pPr>
              <w:pStyle w:val="Compact"/>
            </w:pPr>
            <w:r>
              <w:t xml:space="preserve">Paris Convention</w:t>
            </w:r>
            <w:r>
              <w:t xml:space="preserve"> </w:t>
            </w:r>
            <w:r>
              <w:rPr>
                <w:b/>
                <w:bCs/>
              </w:rPr>
              <w:t xml:space="preserve">design</w:t>
            </w:r>
            <w:r>
              <w:t xml:space="preserve"> </w:t>
            </w:r>
            <w:r>
              <w:t xml:space="preserve">priority window if filing abroad</w:t>
            </w:r>
          </w:p>
        </w:tc>
        <w:tc>
          <w:tcPr/>
          <w:p>
            <w:pPr>
              <w:pStyle w:val="Compact"/>
            </w:pPr>
            <w:r>
              <w:t xml:space="preserve">Foreign design rights lost</w:t>
            </w:r>
          </w:p>
        </w:tc>
      </w:tr>
      <w:tr>
        <w:tc>
          <w:tcPr/>
          <w:p>
            <w:pPr>
              <w:pStyle w:val="Compact"/>
            </w:pPr>
            <w:r>
              <w:rPr>
                <w:b/>
                <w:bCs/>
              </w:rPr>
              <w:t xml:space="preserve">Provisional + 12 months</w:t>
            </w:r>
          </w:p>
        </w:tc>
        <w:tc>
          <w:tcPr/>
          <w:p>
            <w:pPr>
              <w:pStyle w:val="Compact"/>
            </w:pPr>
            <w:r>
              <w:rPr>
                <w:b/>
                <w:bCs/>
              </w:rPr>
              <w:t xml:space="preserve">Complete specification. ABSOLUTE.</w:t>
            </w:r>
          </w:p>
        </w:tc>
        <w:tc>
          <w:tcPr/>
          <w:p>
            <w:pPr>
              <w:pStyle w:val="Compact"/>
            </w:pPr>
            <w:r>
              <w:rPr>
                <w:b/>
                <w:bCs/>
              </w:rPr>
              <w:t xml:space="preserve">No extension, no condonation, no post-dating. Application abandoned, priority lost.</w:t>
            </w:r>
          </w:p>
        </w:tc>
      </w:tr>
      <w:tr>
        <w:tc>
          <w:tcPr/>
          <w:p>
            <w:pPr>
              <w:pStyle w:val="Compact"/>
            </w:pPr>
            <w:r>
              <w:rPr>
                <w:b/>
                <w:bCs/>
              </w:rPr>
              <w:t xml:space="preserve">Provisional + 12 months</w:t>
            </w:r>
          </w:p>
        </w:tc>
        <w:tc>
          <w:tcPr/>
          <w:p>
            <w:pPr>
              <w:pStyle w:val="Compact"/>
            </w:pPr>
            <w:r>
              <w:t xml:space="preserve">PCT / Paris Convention patent filings</w:t>
            </w:r>
          </w:p>
        </w:tc>
        <w:tc>
          <w:tcPr/>
          <w:p>
            <w:pPr>
              <w:pStyle w:val="Compact"/>
            </w:pPr>
            <w:r>
              <w:t xml:space="preserve">Foreign patent rights lost</w:t>
            </w:r>
          </w:p>
        </w:tc>
      </w:tr>
      <w:tr>
        <w:tc>
          <w:tcPr/>
          <w:p>
            <w:pPr>
              <w:pStyle w:val="Compact"/>
            </w:pPr>
            <w:r>
              <w:rPr>
                <w:b/>
                <w:bCs/>
              </w:rPr>
              <w:t xml:space="preserve">Before unit no. 51 exists</w:t>
            </w:r>
          </w:p>
        </w:tc>
        <w:tc>
          <w:tcPr/>
          <w:p>
            <w:pPr>
              <w:pStyle w:val="Compact"/>
            </w:pPr>
            <w:r>
              <w:t xml:space="preserve">Design registration on file</w:t>
            </w:r>
          </w:p>
        </w:tc>
        <w:tc>
          <w:tcPr/>
          <w:p>
            <w:pPr>
              <w:pStyle w:val="Compact"/>
            </w:pPr>
            <w:r>
              <w:rPr>
                <w:b/>
                <w:bCs/>
              </w:rPr>
              <w:t xml:space="preserve">Copyright Act s.15(2) extinguishes your fallback copyright</w:t>
            </w:r>
          </w:p>
        </w:tc>
      </w:tr>
      <w:tr>
        <w:tc>
          <w:tcPr/>
          <w:p>
            <w:pPr>
              <w:pStyle w:val="Compact"/>
            </w:pPr>
            <w:r>
              <w:rPr>
                <w:b/>
                <w:bCs/>
              </w:rPr>
              <w:t xml:space="preserve">Earliest priority + 31 months</w:t>
            </w:r>
          </w:p>
        </w:tc>
        <w:tc>
          <w:tcPr/>
          <w:p>
            <w:pPr>
              <w:pStyle w:val="Compact"/>
            </w:pPr>
            <w:r>
              <w:rPr>
                <w:b/>
                <w:bCs/>
              </w:rPr>
              <w:t xml:space="preserve">RFE (Form 18) AND PCT national phase — same date now</w:t>
            </w:r>
          </w:p>
        </w:tc>
        <w:tc>
          <w:tcPr/>
          <w:p>
            <w:pPr>
              <w:pStyle w:val="Compact"/>
            </w:pPr>
            <w:r>
              <w:t xml:space="preserve">Application deemed withdrawn</w:t>
            </w:r>
          </w:p>
        </w:tc>
      </w:tr>
      <w:tr>
        <w:tc>
          <w:tcPr/>
          <w:p>
            <w:pPr>
              <w:pStyle w:val="Compact"/>
            </w:pPr>
            <w:r>
              <w:rPr>
                <w:b/>
                <w:bCs/>
              </w:rPr>
              <w:t xml:space="preserve">Within 30 days of the resolution</w:t>
            </w:r>
          </w:p>
        </w:tc>
        <w:tc>
          <w:tcPr/>
          <w:p>
            <w:pPr>
              <w:pStyle w:val="Compact"/>
            </w:pPr>
            <w:r>
              <w:t xml:space="preserve">MGT-14 for the objects alteration</w:t>
            </w:r>
          </w:p>
        </w:tc>
        <w:tc>
          <w:tcPr/>
          <w:p>
            <w:pPr>
              <w:pStyle w:val="Compact"/>
            </w:pPr>
            <w:r>
              <w:t xml:space="preserve">Doubled fee up to 30 days, escalating thereafter</w:t>
            </w:r>
          </w:p>
        </w:tc>
      </w:tr>
      <w:tr>
        <w:tc>
          <w:tcPr/>
          <w:p>
            <w:pPr>
              <w:pStyle w:val="Compact"/>
            </w:pPr>
            <w:r>
              <w:rPr>
                <w:b/>
                <w:bCs/>
              </w:rPr>
              <w:t xml:space="preserve">Within 90 days of commencing pre-packing</w:t>
            </w:r>
          </w:p>
        </w:tc>
        <w:tc>
          <w:tcPr/>
          <w:p>
            <w:pPr>
              <w:pStyle w:val="Compact"/>
            </w:pPr>
            <w:r>
              <w:t xml:space="preserve">Legal Metrology Rule 27 registration</w:t>
            </w:r>
          </w:p>
        </w:tc>
        <w:tc>
          <w:tcPr/>
          <w:p>
            <w:pPr>
              <w:pStyle w:val="Compact"/>
            </w:pPr>
            <w:r>
              <w:t xml:space="preserve">₹4,000 fine (trivial), but non-standard packages are ₹25,000–₹1,00,000 per offence</w:t>
            </w:r>
          </w:p>
        </w:tc>
      </w:tr>
      <w:tr>
        <w:tc>
          <w:tcPr/>
          <w:p>
            <w:pPr>
              <w:pStyle w:val="Compact"/>
            </w:pPr>
            <w:r>
              <w:rPr>
                <w:b/>
                <w:bCs/>
              </w:rPr>
              <w:t xml:space="preserve">~May 2027</w:t>
            </w:r>
            <w:r>
              <w:t xml:space="preserve"> </w:t>
            </w:r>
            <w:r>
              <w:t xml:space="preserve">(13 or 14 — verify)</w:t>
            </w:r>
          </w:p>
        </w:tc>
        <w:tc>
          <w:tcPr/>
          <w:p>
            <w:pPr>
              <w:pStyle w:val="Compact"/>
            </w:pPr>
            <w:r>
              <w:t xml:space="preserve">DPDP substantive obligations commence</w:t>
            </w:r>
          </w:p>
        </w:tc>
        <w:tc>
          <w:tcPr/>
          <w:p>
            <w:pPr>
              <w:pStyle w:val="Compact"/>
            </w:pPr>
            <w:r>
              <w:t xml:space="preserve">Book one day of counsel in Q1 2027</w:t>
            </w:r>
          </w:p>
        </w:tc>
      </w:tr>
      <w:tr>
        <w:tc>
          <w:tcPr/>
          <w:p>
            <w:pPr>
              <w:pStyle w:val="Compact"/>
            </w:pPr>
            <w:r>
              <w:rPr>
                <w:b/>
                <w:bCs/>
              </w:rPr>
              <w:t xml:space="preserve">30 April 2027</w:t>
            </w:r>
          </w:p>
        </w:tc>
        <w:tc>
          <w:tcPr/>
          <w:p>
            <w:pPr>
              <w:pStyle w:val="Compact"/>
            </w:pPr>
            <w:r>
              <w:t xml:space="preserve">Battery rated-capacity verification per IS 16047 Pt 3 for existing licensees</w:t>
            </w:r>
          </w:p>
        </w:tc>
        <w:tc>
          <w:tcPr/>
          <w:p>
            <w:pPr>
              <w:pStyle w:val="Compact"/>
            </w:pPr>
            <w:r>
              <w:t xml:space="preserve">Licence validity</w:t>
            </w:r>
          </w:p>
        </w:tc>
      </w:tr>
      <w:tr>
        <w:tc>
          <w:tcPr/>
          <w:p>
            <w:pPr>
              <w:pStyle w:val="Compact"/>
            </w:pPr>
            <w:r>
              <w:rPr>
                <w:b/>
                <w:bCs/>
              </w:rPr>
              <w:t xml:space="preserve">2 February 2027</w:t>
            </w:r>
          </w:p>
        </w:tc>
        <w:tc>
          <w:tcPr/>
          <w:p>
            <w:pPr>
              <w:pStyle w:val="Compact"/>
            </w:pPr>
            <w:r>
              <w:t xml:space="preserve">End of IS 10322:2026 concurrent-run period</w:t>
            </w:r>
          </w:p>
        </w:tc>
        <w:tc>
          <w:tcPr/>
          <w:p>
            <w:pPr>
              <w:pStyle w:val="Compact"/>
            </w:pPr>
            <w:r>
              <w:t xml:space="preserve">Registrations not updated to 2026 versions</w:t>
            </w:r>
            <w:r>
              <w:t xml:space="preserve"> </w:t>
            </w:r>
            <w:r>
              <w:t xml:space="preserve">“can be removed”</w:t>
            </w:r>
          </w:p>
        </w:tc>
      </w:tr>
      <w:tr>
        <w:tc>
          <w:tcPr/>
          <w:p>
            <w:pPr>
              <w:pStyle w:val="Compact"/>
            </w:pPr>
            <w:r>
              <w:rPr>
                <w:b/>
                <w:bCs/>
              </w:rPr>
              <w:t xml:space="preserve">1 October 2026 — CHECK THIS WEEK</w:t>
            </w:r>
          </w:p>
        </w:tc>
        <w:tc>
          <w:tcPr/>
          <w:p>
            <w:pPr>
              <w:pStyle w:val="Compact"/>
            </w:pPr>
            <w:r>
              <w:t xml:space="preserve">Appliances QCO 2026 comes into force;</w:t>
            </w:r>
            <w:r>
              <w:t xml:space="preserve"> </w:t>
            </w:r>
            <w:r>
              <w:rPr>
                <w:b/>
                <w:bCs/>
              </w:rPr>
              <w:t xml:space="preserve">product list not readable</w:t>
            </w:r>
          </w:p>
        </w:tc>
        <w:tc>
          <w:tcPr/>
          <w:p>
            <w:pPr>
              <w:pStyle w:val="Compact"/>
            </w:pPr>
            <w:r>
              <w:t xml:space="preserve">Unknown — possible Scheme I ISI obligation</w:t>
            </w:r>
          </w:p>
        </w:tc>
      </w:tr>
    </w:tbl>
    <w:bookmarkEnd w:id="250"/>
    <w:bookmarkStart w:id="251" w:name="Xb251668890428e42e95d9911c850ba924e476d5"/>
    <w:p>
      <w:pPr>
        <w:pStyle w:val="Heading3"/>
      </w:pPr>
      <w:r>
        <w:t xml:space="preserve">PHASE 3 — CAN WAIT, BUT START EARLY BECAUSE LEAD TIMES ARE LONG</w:t>
      </w:r>
    </w:p>
    <w:p>
      <w:pPr>
        <w:pStyle w:val="Compact"/>
        <w:numPr>
          <w:ilvl w:val="0"/>
          <w:numId w:val="1004"/>
        </w:numPr>
      </w:pPr>
      <w:r>
        <w:rPr>
          <w:b/>
          <w:bCs/>
        </w:rPr>
        <w:t xml:space="preserve">Amend the objects clause</w:t>
      </w:r>
      <w:r>
        <w:t xml:space="preserve"> </w:t>
      </w:r>
      <w:r>
        <w:t xml:space="preserve">(2–3 weeks on shorter notice; do it in parallel with Phase 1).</w:t>
      </w:r>
    </w:p>
    <w:p>
      <w:pPr>
        <w:pStyle w:val="Compact"/>
        <w:numPr>
          <w:ilvl w:val="0"/>
          <w:numId w:val="1004"/>
        </w:numPr>
      </w:pPr>
      <w:r>
        <w:rPr>
          <w:b/>
          <w:bCs/>
        </w:rPr>
        <w:t xml:space="preserve">Run the trademark clearance searches</w:t>
      </w:r>
      <w:r>
        <w:t xml:space="preserve"> </w:t>
      </w:r>
      <w:r>
        <w:t xml:space="preserve">(free, and they can happen in parallel with development because a TM filing does not disclose the product).</w:t>
      </w:r>
      <w:r>
        <w:t xml:space="preserve"> </w:t>
      </w:r>
      <w:r>
        <w:rPr>
          <w:b/>
          <w:bCs/>
        </w:rPr>
        <w:t xml:space="preserve">File TM-A for MODULARK in Classes 11, 9 and 42. Start using ™ immediately.</w:t>
      </w:r>
      <w:r>
        <w:t xml:space="preserve"> </w:t>
      </w:r>
      <w:r>
        <w:t xml:space="preserve">Fix naming before tooling and packaging, not after.</w:t>
      </w:r>
    </w:p>
    <w:p>
      <w:pPr>
        <w:pStyle w:val="Compact"/>
        <w:numPr>
          <w:ilvl w:val="0"/>
          <w:numId w:val="1004"/>
        </w:numPr>
      </w:pPr>
      <w:r>
        <w:rPr>
          <w:b/>
          <w:bCs/>
        </w:rPr>
        <w:t xml:space="preserve">Settle the BIS classification question in writing with BIS</w:t>
      </w:r>
      <w:r>
        <w:t xml:space="preserve">, and pull the CRS FAQ portable/battery exemption text. Everything downstream depends on it.</w:t>
      </w:r>
    </w:p>
    <w:p>
      <w:pPr>
        <w:pStyle w:val="Compact"/>
        <w:numPr>
          <w:ilvl w:val="0"/>
          <w:numId w:val="1004"/>
        </w:numPr>
      </w:pPr>
      <w:r>
        <w:rPr>
          <w:b/>
          <w:bCs/>
        </w:rPr>
        <w:t xml:space="preserve">Ask a BIS-recognised lab directly whether they will test an additively-manufactured enclosure and on what basis.</w:t>
      </w:r>
      <w:r>
        <w:t xml:space="preserve"> </w:t>
      </w:r>
      <w:r>
        <w:t xml:space="preserve">Cheap, and it converts the biggest inference in this report into a fact.</w:t>
      </w:r>
    </w:p>
    <w:p>
      <w:pPr>
        <w:pStyle w:val="Compact"/>
        <w:numPr>
          <w:ilvl w:val="0"/>
          <w:numId w:val="1004"/>
        </w:numPr>
      </w:pPr>
      <w:r>
        <w:rPr>
          <w:b/>
          <w:bCs/>
        </w:rPr>
        <w:t xml:space="preserve">Confirm your lithium cell vendor’s Indian CRS status</w:t>
      </w:r>
      <w:r>
        <w:t xml:space="preserve">, get a quote for IS 16046 (Part 2) pack registration, and get the ETA certificate and EN 300 328 report from your radio module vendor.</w:t>
      </w:r>
    </w:p>
    <w:p>
      <w:pPr>
        <w:pStyle w:val="Compact"/>
        <w:numPr>
          <w:ilvl w:val="0"/>
          <w:numId w:val="1004"/>
        </w:numPr>
      </w:pPr>
      <w:r>
        <w:rPr>
          <w:b/>
          <w:bCs/>
        </w:rPr>
        <w:t xml:space="preserve">Get a broker to test the product liability insurance market before you commit to the product design.</w:t>
      </w:r>
      <w:r>
        <w:t xml:space="preserve"> </w:t>
      </w:r>
      <w:r>
        <w:t xml:space="preserve">If cover is unobtainable or the lithium exclusion is unmovable, that is a design input, not an afterthought.</w:t>
      </w:r>
    </w:p>
    <w:p>
      <w:pPr>
        <w:pStyle w:val="Compact"/>
        <w:numPr>
          <w:ilvl w:val="0"/>
          <w:numId w:val="1004"/>
        </w:numPr>
      </w:pPr>
      <w:r>
        <w:rPr>
          <w:b/>
          <w:bCs/>
        </w:rPr>
        <w:t xml:space="preserve">Get a CAAR advance ruling on the PCBA classification</w:t>
      </w:r>
      <w:r>
        <w:t xml:space="preserve"> </w:t>
      </w:r>
      <w:r>
        <w:t xml:space="preserve">before the first commercial consignment, and a</w:t>
      </w:r>
      <w:r>
        <w:t xml:space="preserve"> </w:t>
      </w:r>
      <w:r>
        <w:rPr>
          <w:b/>
          <w:bCs/>
        </w:rPr>
        <w:t xml:space="preserve">Section 97 CGST advance ruling on the kit</w:t>
      </w:r>
      <w:r>
        <w:t xml:space="preserve"> </w:t>
      </w:r>
      <w:r>
        <w:t xml:space="preserve">before you set an MRP.</w:t>
      </w:r>
    </w:p>
    <w:p>
      <w:pPr>
        <w:pStyle w:val="Compact"/>
        <w:numPr>
          <w:ilvl w:val="0"/>
          <w:numId w:val="1004"/>
        </w:numPr>
      </w:pPr>
      <w:r>
        <w:rPr>
          <w:b/>
          <w:bCs/>
        </w:rPr>
        <w:t xml:space="preserve">Build the substantiation file and the claims register before any advertisement runs.</w:t>
      </w:r>
    </w:p>
    <w:p>
      <w:pPr>
        <w:pStyle w:val="Compact"/>
        <w:numPr>
          <w:ilvl w:val="0"/>
          <w:numId w:val="1004"/>
        </w:numPr>
      </w:pPr>
      <w:r>
        <w:rPr>
          <w:b/>
          <w:bCs/>
        </w:rPr>
        <w:t xml:space="preserve">Write the Confidential Information Register and turn on the device-side lockdown</w:t>
      </w:r>
      <w:r>
        <w:t xml:space="preserve"> </w:t>
      </w:r>
      <w:r>
        <w:t xml:space="preserve">(current silicon revision, eFuses, encrypted model blob, per-device keys, unprogrammed boards from the CM).</w:t>
      </w:r>
    </w:p>
    <w:p>
      <w:pPr>
        <w:pStyle w:val="Compact"/>
        <w:numPr>
          <w:ilvl w:val="0"/>
          <w:numId w:val="1004"/>
        </w:numPr>
      </w:pPr>
      <w:r>
        <w:rPr>
          <w:b/>
          <w:bCs/>
        </w:rPr>
        <w:t xml:space="preserve">E-waste EPR and Battery EPR registrations</w:t>
      </w:r>
      <w:r>
        <w:t xml:space="preserve"> </w:t>
      </w:r>
      <w:r>
        <w:t xml:space="preserve">(two portals, two calendars) before placing product on the market.</w:t>
      </w:r>
    </w:p>
    <w:p>
      <w:r>
        <w:pict>
          <v:rect style="width:0;height:1.5pt" o:hralign="center" o:hrstd="t" o:hr="t"/>
        </w:pict>
      </w:r>
    </w:p>
    <w:bookmarkEnd w:id="251"/>
    <w:bookmarkEnd w:id="252"/>
    <w:bookmarkStart w:id="253" w:name="b-cost-and-timeline-table"/>
    <w:p>
      <w:pPr>
        <w:pStyle w:val="Heading2"/>
      </w:pPr>
      <w:r>
        <w:t xml:space="preserve">(b) COST AND TIMELINE TABLE</w:t>
      </w:r>
    </w:p>
    <w:p>
      <w:pPr>
        <w:pStyle w:val="FirstParagraph"/>
      </w:pPr>
      <w:r>
        <w:rPr>
          <w:b/>
          <w:bCs/>
        </w:rPr>
        <w:t xml:space="preserve">All figures from secondary sources.</w:t>
      </w:r>
      <w:r>
        <w:rPr>
          <w:b/>
          <w:bCs/>
        </w:rPr>
        <w:t xml:space="preserve"> </w:t>
      </w:r>
      <w:r>
        <w:rPr>
          <w:b/>
          <w:bCs/>
        </w:rPr>
        <w:t xml:space="preserve">“Not sourced”</w:t>
      </w:r>
      <w:r>
        <w:rPr>
          <w:b/>
          <w:bCs/>
        </w:rPr>
        <w:t xml:space="preserve"> </w:t>
      </w:r>
      <w:r>
        <w:rPr>
          <w:b/>
          <w:bCs/>
        </w:rPr>
        <w:t xml:space="preserve">means no citable figure was obtainable and none has been invented.</w:t>
      </w:r>
      <w:r>
        <w:t xml:space="preserve"> </w:t>
      </w:r>
      <w:r>
        <w:t xml:space="preserve">Reduced-slab figures assume DPIIT Startup recognition or MSME registration with Form 28 / Form 24 filed at the time of filing.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Official fee (reduced slab)</w:t>
            </w:r>
          </w:p>
        </w:tc>
        <w:tc>
          <w:tcPr/>
          <w:p>
            <w:pPr>
              <w:pStyle w:val="Compact"/>
            </w:pPr>
            <w:r>
              <w:t xml:space="preserve">Official fee (large entity)</w:t>
            </w:r>
          </w:p>
        </w:tc>
        <w:tc>
          <w:tcPr/>
          <w:p>
            <w:pPr>
              <w:pStyle w:val="Compact"/>
            </w:pPr>
            <w:r>
              <w:t xml:space="preserve">Professional fee</w:t>
            </w:r>
          </w:p>
        </w:tc>
        <w:tc>
          <w:tcPr/>
          <w:p>
            <w:pPr>
              <w:pStyle w:val="Compact"/>
            </w:pPr>
            <w:r>
              <w:t xml:space="preserve">Elapsed time</w:t>
            </w:r>
          </w:p>
        </w:tc>
      </w:tr>
      <w:tr>
        <w:tc>
          <w:tcPr/>
          <w:p>
            <w:pPr>
              <w:pStyle w:val="Compact"/>
            </w:pPr>
            <w:r>
              <w:rPr>
                <w:b/>
                <w:bCs/>
              </w:rPr>
              <w:t xml:space="preserve">Patent provisional</w:t>
            </w:r>
            <w:r>
              <w:t xml:space="preserve"> </w:t>
            </w:r>
            <w:r>
              <w:t xml:space="preserve">(Form 1, ≤30 pp, ≤10 claims)</w:t>
            </w:r>
          </w:p>
        </w:tc>
        <w:tc>
          <w:tcPr/>
          <w:p>
            <w:pPr>
              <w:pStyle w:val="Compact"/>
            </w:pPr>
            <w:r>
              <w:rPr>
                <w:b/>
                <w:bCs/>
              </w:rPr>
              <w:t xml:space="preserve">₹1,600</w:t>
            </w:r>
          </w:p>
        </w:tc>
        <w:tc>
          <w:tcPr/>
          <w:p>
            <w:pPr>
              <w:pStyle w:val="Compact"/>
            </w:pPr>
            <w:r>
              <w:t xml:space="preserve">₹8,000</w:t>
            </w:r>
          </w:p>
        </w:tc>
        <w:tc>
          <w:tcPr/>
          <w:p>
            <w:pPr>
              <w:pStyle w:val="Compact"/>
            </w:pPr>
            <w:r>
              <w:t xml:space="preserve">Commodity ₹6,000–₹12,000;</w:t>
            </w:r>
            <w:r>
              <w:t xml:space="preserve"> </w:t>
            </w:r>
            <w:r>
              <w:rPr>
                <w:b/>
                <w:bCs/>
              </w:rPr>
              <w:t xml:space="preserve">for this case ₹25,000–₹60,000</w:t>
            </w:r>
          </w:p>
        </w:tc>
        <w:tc>
          <w:tcPr/>
          <w:p>
            <w:pPr>
              <w:pStyle w:val="Compact"/>
            </w:pPr>
            <w:r>
              <w:t xml:space="preserve">Days to file</w:t>
            </w:r>
          </w:p>
        </w:tc>
      </w:tr>
      <w:tr>
        <w:tc>
          <w:tcPr/>
          <w:p>
            <w:pPr>
              <w:pStyle w:val="Compact"/>
            </w:pPr>
            <w:r>
              <w:rPr>
                <w:b/>
                <w:bCs/>
              </w:rPr>
              <w:t xml:space="preserve">Complete specification</w:t>
            </w:r>
          </w:p>
        </w:tc>
        <w:tc>
          <w:tcPr/>
          <w:p>
            <w:pPr>
              <w:pStyle w:val="Compact"/>
            </w:pPr>
            <w:r>
              <w:rPr>
                <w:b/>
                <w:bCs/>
              </w:rPr>
              <w:t xml:space="preserve">₹1,600</w:t>
            </w:r>
          </w:p>
        </w:tc>
        <w:tc>
          <w:tcPr/>
          <w:p>
            <w:pPr>
              <w:pStyle w:val="Compact"/>
            </w:pPr>
            <w:r>
              <w:t xml:space="preserve">₹8,000</w:t>
            </w:r>
          </w:p>
        </w:tc>
        <w:tc>
          <w:tcPr/>
          <w:p>
            <w:pPr>
              <w:pStyle w:val="Compact"/>
            </w:pPr>
            <w:r>
              <w:t xml:space="preserve">₹40,000–₹80,000 typical for complex;</w:t>
            </w:r>
            <w:r>
              <w:t xml:space="preserve"> </w:t>
            </w:r>
            <w:r>
              <w:rPr>
                <w:b/>
                <w:bCs/>
              </w:rPr>
              <w:t xml:space="preserve">₹60,000–₹1,20,000 realistic here incl. drawings</w:t>
            </w:r>
          </w:p>
        </w:tc>
        <w:tc>
          <w:tcPr/>
          <w:p>
            <w:pPr>
              <w:pStyle w:val="Compact"/>
            </w:pPr>
            <w:r>
              <w:t xml:space="preserve">Within 12 months —</w:t>
            </w:r>
            <w:r>
              <w:t xml:space="preserve"> </w:t>
            </w:r>
            <w:r>
              <w:rPr>
                <w:b/>
                <w:bCs/>
              </w:rPr>
              <w:t xml:space="preserve">absolute</w:t>
            </w:r>
          </w:p>
        </w:tc>
      </w:tr>
      <w:tr>
        <w:tc>
          <w:tcPr/>
          <w:p>
            <w:pPr>
              <w:pStyle w:val="Compact"/>
            </w:pPr>
            <w:r>
              <w:rPr>
                <w:b/>
                <w:bCs/>
              </w:rPr>
              <w:t xml:space="preserve">Request for Examination</w:t>
            </w:r>
            <w:r>
              <w:t xml:space="preserve"> </w:t>
            </w:r>
            <w:r>
              <w:t xml:space="preserve">(Form 18)</w:t>
            </w:r>
          </w:p>
        </w:tc>
        <w:tc>
          <w:tcPr/>
          <w:p>
            <w:pPr>
              <w:pStyle w:val="Compact"/>
            </w:pPr>
            <w:r>
              <w:rPr>
                <w:b/>
                <w:bCs/>
              </w:rPr>
              <w:t xml:space="preserve">₹4,000</w:t>
            </w:r>
          </w:p>
        </w:tc>
        <w:tc>
          <w:tcPr/>
          <w:p>
            <w:pPr>
              <w:pStyle w:val="Compact"/>
            </w:pPr>
            <w:r>
              <w:t xml:space="preserve">₹20,000</w:t>
            </w:r>
          </w:p>
        </w:tc>
        <w:tc>
          <w:tcPr/>
          <w:p>
            <w:pPr>
              <w:pStyle w:val="Compact"/>
            </w:pPr>
            <w:r>
              <w:t xml:space="preserve">—</w:t>
            </w:r>
          </w:p>
        </w:tc>
        <w:tc>
          <w:tcPr/>
          <w:p>
            <w:pPr>
              <w:pStyle w:val="Compact"/>
            </w:pPr>
            <w:r>
              <w:t xml:space="preserve">Due by 31 months from priority</w:t>
            </w:r>
          </w:p>
        </w:tc>
      </w:tr>
      <w:tr>
        <w:tc>
          <w:tcPr/>
          <w:p>
            <w:pPr>
              <w:pStyle w:val="Compact"/>
            </w:pPr>
            <w:r>
              <w:rPr>
                <w:b/>
                <w:bCs/>
              </w:rPr>
              <w:t xml:space="preserve">Expedited Examination</w:t>
            </w:r>
            <w:r>
              <w:t xml:space="preserve"> </w:t>
            </w:r>
            <w:r>
              <w:t xml:space="preserve">(Form 18A)</w:t>
            </w:r>
          </w:p>
        </w:tc>
        <w:tc>
          <w:tcPr/>
          <w:p>
            <w:pPr>
              <w:pStyle w:val="Compact"/>
            </w:pPr>
            <w:r>
              <w:rPr>
                <w:b/>
                <w:bCs/>
              </w:rPr>
              <w:t xml:space="preserve">₹8,000</w:t>
            </w:r>
          </w:p>
        </w:tc>
        <w:tc>
          <w:tcPr/>
          <w:p>
            <w:pPr>
              <w:pStyle w:val="Compact"/>
            </w:pPr>
            <w:r>
              <w:t xml:space="preserve">₹60,000</w:t>
            </w:r>
          </w:p>
        </w:tc>
        <w:tc>
          <w:tcPr/>
          <w:p>
            <w:pPr>
              <w:pStyle w:val="Compact"/>
            </w:pPr>
            <w:r>
              <w:t xml:space="preserve">—</w:t>
            </w:r>
          </w:p>
        </w:tc>
        <w:tc>
          <w:tcPr/>
          <w:p>
            <w:pPr>
              <w:pStyle w:val="Compact"/>
            </w:pPr>
            <w:r>
              <w:t xml:space="preserve">FER in</w:t>
            </w:r>
            <w:r>
              <w:t xml:space="preserve"> </w:t>
            </w:r>
            <w:r>
              <w:rPr>
                <w:b/>
                <w:bCs/>
              </w:rPr>
              <w:t xml:space="preserve">1–3 months</w:t>
            </w:r>
            <w:r>
              <w:t xml:space="preserve"> </w:t>
            </w:r>
            <w:r>
              <w:t xml:space="preserve">vs 12–24 ordinary</w:t>
            </w:r>
          </w:p>
        </w:tc>
      </w:tr>
      <w:tr>
        <w:tc>
          <w:tcPr/>
          <w:p>
            <w:pPr>
              <w:pStyle w:val="Compact"/>
            </w:pPr>
            <w:r>
              <w:rPr>
                <w:b/>
                <w:bCs/>
              </w:rPr>
              <w:t xml:space="preserve">Early Publication</w:t>
            </w:r>
            <w:r>
              <w:t xml:space="preserve"> </w:t>
            </w:r>
            <w:r>
              <w:t xml:space="preserve">(Form 9)</w:t>
            </w:r>
          </w:p>
        </w:tc>
        <w:tc>
          <w:tcPr/>
          <w:p>
            <w:pPr>
              <w:pStyle w:val="Compact"/>
            </w:pPr>
            <w:r>
              <w:rPr>
                <w:b/>
                <w:bCs/>
              </w:rPr>
              <w:t xml:space="preserve">₹2,500</w:t>
            </w:r>
          </w:p>
        </w:tc>
        <w:tc>
          <w:tcPr/>
          <w:p>
            <w:pPr>
              <w:pStyle w:val="Compact"/>
            </w:pPr>
            <w:r>
              <w:t xml:space="preserve">₹12,500</w:t>
            </w:r>
          </w:p>
        </w:tc>
        <w:tc>
          <w:tcPr/>
          <w:p>
            <w:pPr>
              <w:pStyle w:val="Compact"/>
            </w:pPr>
            <w:r>
              <w:t xml:space="preserve">—</w:t>
            </w:r>
          </w:p>
        </w:tc>
        <w:tc>
          <w:tcPr/>
          <w:p>
            <w:pPr>
              <w:pStyle w:val="Compact"/>
            </w:pPr>
            <w:r>
              <w:t xml:space="preserve">Publishes within</w:t>
            </w:r>
            <w:r>
              <w:t xml:space="preserve"> </w:t>
            </w:r>
            <w:r>
              <w:rPr>
                <w:b/>
                <w:bCs/>
              </w:rPr>
              <w:t xml:space="preserve">1 month</w:t>
            </w:r>
            <w:r>
              <w:t xml:space="preserve"> </w:t>
            </w:r>
            <w:r>
              <w:t xml:space="preserve">vs 18 months</w:t>
            </w:r>
          </w:p>
        </w:tc>
      </w:tr>
      <w:tr>
        <w:tc>
          <w:tcPr/>
          <w:p>
            <w:pPr>
              <w:pStyle w:val="Compact"/>
            </w:pPr>
            <w:r>
              <w:rPr>
                <w:b/>
                <w:bCs/>
              </w:rPr>
              <w:t xml:space="preserve">FER response</w:t>
            </w:r>
          </w:p>
        </w:tc>
        <w:tc>
          <w:tcPr/>
          <w:p>
            <w:pPr>
              <w:pStyle w:val="Compact"/>
            </w:pPr>
            <w:r>
              <w:t xml:space="preserve">—</w:t>
            </w:r>
          </w:p>
        </w:tc>
        <w:tc>
          <w:tcPr/>
          <w:p>
            <w:pPr>
              <w:pStyle w:val="Compact"/>
            </w:pPr>
            <w:r>
              <w:t xml:space="preserve">—</w:t>
            </w:r>
          </w:p>
        </w:tc>
        <w:tc>
          <w:tcPr/>
          <w:p>
            <w:pPr>
              <w:pStyle w:val="Compact"/>
            </w:pPr>
            <w:r>
              <w:t xml:space="preserve">₹25,000–₹60,000</w:t>
            </w:r>
          </w:p>
        </w:tc>
        <w:tc>
          <w:tcPr/>
          <w:p>
            <w:pPr>
              <w:pStyle w:val="Compact"/>
            </w:pPr>
            <w:r>
              <w:t xml:space="preserve">6 months to respond, +3 extendable</w:t>
            </w:r>
          </w:p>
        </w:tc>
      </w:tr>
      <w:tr>
        <w:tc>
          <w:tcPr/>
          <w:p>
            <w:pPr>
              <w:pStyle w:val="Compact"/>
            </w:pPr>
            <w:r>
              <w:rPr>
                <w:b/>
                <w:bCs/>
              </w:rPr>
              <w:t xml:space="preserve">Extension of RFE-type deadlines</w:t>
            </w:r>
            <w:r>
              <w:t xml:space="preserve"> </w:t>
            </w:r>
            <w:r>
              <w:t xml:space="preserve">(2024 Rules)</w:t>
            </w:r>
          </w:p>
        </w:tc>
        <w:tc>
          <w:tcPr/>
          <w:p>
            <w:pPr>
              <w:pStyle w:val="Compact"/>
            </w:pPr>
            <w:r>
              <w:t xml:space="preserve">—</w:t>
            </w:r>
          </w:p>
        </w:tc>
        <w:tc>
          <w:tcPr/>
          <w:p>
            <w:pPr>
              <w:pStyle w:val="Compact"/>
            </w:pPr>
            <w:r>
              <w:rPr>
                <w:b/>
                <w:bCs/>
              </w:rPr>
              <w:t xml:space="preserve">₹50,000 per month</w:t>
            </w:r>
          </w:p>
        </w:tc>
        <w:tc>
          <w:tcPr/>
          <w:p>
            <w:pPr>
              <w:pStyle w:val="Compact"/>
            </w:pPr>
            <w:r>
              <w:t xml:space="preserve">—</w:t>
            </w:r>
          </w:p>
        </w:tc>
        <w:tc>
          <w:tcPr/>
          <w:p>
            <w:pPr>
              <w:pStyle w:val="Compact"/>
            </w:pPr>
            <w:r>
              <w:t xml:space="preserve">—</w:t>
            </w:r>
          </w:p>
        </w:tc>
      </w:tr>
      <w:tr>
        <w:tc>
          <w:tcPr/>
          <w:p>
            <w:pPr>
              <w:pStyle w:val="Compact"/>
            </w:pPr>
            <w:r>
              <w:rPr>
                <w:b/>
                <w:bCs/>
              </w:rPr>
              <w:t xml:space="preserve">Foreign Filing Licence</w:t>
            </w:r>
            <w:r>
              <w:t xml:space="preserve"> </w:t>
            </w:r>
            <w:r>
              <w:t xml:space="preserve">(Form 25)</w:t>
            </w:r>
          </w:p>
        </w:tc>
        <w:tc>
          <w:tcPr/>
          <w:p>
            <w:pPr>
              <w:pStyle w:val="Compact"/>
            </w:pPr>
            <w:r>
              <w:rPr>
                <w:b/>
                <w:bCs/>
              </w:rPr>
              <w:t xml:space="preserve">Not sourced</w:t>
            </w:r>
          </w:p>
        </w:tc>
        <w:tc>
          <w:tcPr/>
          <w:p>
            <w:pPr>
              <w:pStyle w:val="Compact"/>
            </w:pPr>
            <w:r>
              <w:t xml:space="preserve">Not sourced</w:t>
            </w:r>
          </w:p>
        </w:tc>
        <w:tc>
          <w:tcPr/>
          <w:p>
            <w:pPr>
              <w:pStyle w:val="Compact"/>
            </w:pPr>
            <w:r>
              <w:t xml:space="preserve">—</w:t>
            </w:r>
          </w:p>
        </w:tc>
        <w:tc>
          <w:tcPr/>
          <w:p>
            <w:pPr>
              <w:pStyle w:val="Compact"/>
            </w:pPr>
            <w:r>
              <w:t xml:space="preserve">~3 weeks reported,</w:t>
            </w:r>
            <w:r>
              <w:t xml:space="preserve"> </w:t>
            </w:r>
            <w:r>
              <w:rPr>
                <w:b/>
                <w:bCs/>
              </w:rPr>
              <w:t xml:space="preserve">not verified</w:t>
            </w:r>
          </w:p>
        </w:tc>
      </w:tr>
      <w:tr>
        <w:tc>
          <w:tcPr/>
          <w:p>
            <w:pPr>
              <w:pStyle w:val="Compact"/>
            </w:pPr>
            <w:r>
              <w:rPr>
                <w:b/>
                <w:bCs/>
              </w:rPr>
              <w:t xml:space="preserve">PCT international filing fee</w:t>
            </w:r>
          </w:p>
        </w:tc>
        <w:tc>
          <w:tcPr/>
          <w:p>
            <w:pPr>
              <w:pStyle w:val="Compact"/>
            </w:pPr>
            <w:r>
              <w:rPr>
                <w:b/>
                <w:bCs/>
              </w:rPr>
              <w:t xml:space="preserve">CONFLICT: USD 1,471 vs USD 1,667</w:t>
            </w:r>
            <w:r>
              <w:t xml:space="preserve"> </w:t>
            </w:r>
            <w:r>
              <w:t xml:space="preserve">from the same publisher. Set in CHF.</w:t>
            </w:r>
            <w:r>
              <w:t xml:space="preserve"> </w:t>
            </w:r>
            <w:r>
              <w:rPr>
                <w:b/>
                <w:bCs/>
              </w:rPr>
              <w:t xml:space="preserve">Verify against WIPO PCT Fee Tables.</w:t>
            </w:r>
            <w:r>
              <w:t xml:space="preserve"> </w:t>
            </w:r>
            <w:r>
              <w:t xml:space="preserve">90% reduction applies to</w:t>
            </w:r>
            <w:r>
              <w:t xml:space="preserve"> </w:t>
            </w:r>
            <w:r>
              <w:rPr>
                <w:b/>
                <w:bCs/>
              </w:rPr>
              <w:t xml:space="preserve">natural persons resident in India only — not companies, startups, MSMEs or institutions</w:t>
            </w:r>
          </w:p>
        </w:tc>
        <w:tc>
          <w:tcPr/>
          <w:p>
            <w:pPr>
              <w:pStyle w:val="Compact"/>
            </w:pPr>
            <w:r>
              <w:t xml:space="preserve">—</w:t>
            </w:r>
          </w:p>
        </w:tc>
        <w:tc>
          <w:tcPr/>
          <w:p>
            <w:pPr>
              <w:pStyle w:val="Compact"/>
            </w:pPr>
            <w:r>
              <w:t xml:space="preserve">—</w:t>
            </w:r>
          </w:p>
        </w:tc>
        <w:tc>
          <w:tcPr/>
          <w:p>
            <w:pPr>
              <w:pStyle w:val="Compact"/>
            </w:pPr>
            <w:r>
              <w:t xml:space="preserve">By 12 months</w:t>
            </w:r>
          </w:p>
        </w:tc>
      </w:tr>
      <w:tr>
        <w:tc>
          <w:tcPr/>
          <w:p>
            <w:pPr>
              <w:pStyle w:val="Compact"/>
            </w:pPr>
            <w:r>
              <w:rPr>
                <w:b/>
                <w:bCs/>
              </w:rPr>
              <w:t xml:space="preserve">PCT search fee, IPO as ISA</w:t>
            </w:r>
          </w:p>
        </w:tc>
        <w:tc>
          <w:tcPr/>
          <w:p>
            <w:pPr>
              <w:pStyle w:val="Compact"/>
            </w:pPr>
            <w:r>
              <w:rPr>
                <w:b/>
                <w:bCs/>
              </w:rPr>
              <w:t xml:space="preserve">₹2,500</w:t>
            </w:r>
          </w:p>
        </w:tc>
        <w:tc>
          <w:tcPr/>
          <w:p>
            <w:pPr>
              <w:pStyle w:val="Compact"/>
            </w:pPr>
            <w:r>
              <w:t xml:space="preserve">₹10,000</w:t>
            </w:r>
          </w:p>
        </w:tc>
        <w:tc>
          <w:tcPr/>
          <w:p>
            <w:pPr>
              <w:pStyle w:val="Compact"/>
            </w:pPr>
            <w:r>
              <w:t xml:space="preserve">—</w:t>
            </w:r>
          </w:p>
        </w:tc>
        <w:tc>
          <w:tcPr/>
          <w:p>
            <w:pPr>
              <w:pStyle w:val="Compact"/>
            </w:pPr>
            <w:r>
              <w:t xml:space="preserve">—</w:t>
            </w:r>
          </w:p>
        </w:tc>
      </w:tr>
      <w:tr>
        <w:tc>
          <w:tcPr/>
          <w:p>
            <w:pPr>
              <w:pStyle w:val="Compact"/>
            </w:pPr>
            <w:r>
              <w:rPr>
                <w:b/>
                <w:bCs/>
              </w:rPr>
              <w:t xml:space="preserve">PCT search fee, EPO as ISA</w:t>
            </w:r>
          </w:p>
        </w:tc>
        <w:tc>
          <w:tcPr/>
          <w:p>
            <w:pPr>
              <w:pStyle w:val="Compact"/>
            </w:pPr>
            <w:r>
              <w:rPr>
                <w:b/>
                <w:bCs/>
              </w:rPr>
              <w:t xml:space="preserve">NOT SOURCED — deliberately not stated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PCT transmittal fee (IPO as RO)</w:t>
            </w:r>
          </w:p>
        </w:tc>
        <w:tc>
          <w:tcPr/>
          <w:p>
            <w:pPr>
              <w:pStyle w:val="Compact"/>
            </w:pPr>
            <w:r>
              <w:rPr>
                <w:b/>
                <w:bCs/>
              </w:rPr>
              <w:t xml:space="preserve">Not verified</w:t>
            </w:r>
            <w:r>
              <w:t xml:space="preserve"> </w:t>
            </w:r>
            <w:r>
              <w:t xml:space="preserve">(~₹3,200/₹16,000 commonly cited, unconfirmed)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PCT national phase, India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31 months</w:t>
            </w:r>
            <w:r>
              <w:t xml:space="preserve"> </w:t>
            </w:r>
            <w:r>
              <w:t xml:space="preserve">— same date as RFE</w:t>
            </w:r>
          </w:p>
        </w:tc>
      </w:tr>
      <w:tr>
        <w:tc>
          <w:tcPr/>
          <w:p>
            <w:pPr>
              <w:pStyle w:val="Compact"/>
            </w:pPr>
            <w:r>
              <w:rPr>
                <w:b/>
                <w:bCs/>
              </w:rPr>
              <w:t xml:space="preserve">Total patent to grant, India</w:t>
            </w:r>
          </w:p>
        </w:tc>
        <w:tc>
          <w:tcPr/>
          <w:p>
            <w:pPr>
              <w:pStyle w:val="Compact"/>
            </w:pPr>
            <w:r>
              <w:t xml:space="preserve">—</w:t>
            </w:r>
          </w:p>
        </w:tc>
        <w:tc>
          <w:tcPr/>
          <w:p>
            <w:pPr>
              <w:pStyle w:val="Compact"/>
            </w:pPr>
            <w:r>
              <w:t xml:space="preserve">—</w:t>
            </w:r>
          </w:p>
        </w:tc>
        <w:tc>
          <w:tcPr/>
          <w:p>
            <w:pPr>
              <w:pStyle w:val="Compact"/>
            </w:pPr>
            <w:r>
              <w:rPr>
                <w:b/>
                <w:bCs/>
              </w:rPr>
              <w:t xml:space="preserve">≈ ₹1.2L–₹2.5L</w:t>
            </w:r>
            <w:r>
              <w:t xml:space="preserve">, dominated by professional fees, excl. renewals</w:t>
            </w:r>
          </w:p>
        </w:tc>
        <w:tc>
          <w:tcPr/>
          <w:p>
            <w:pPr>
              <w:pStyle w:val="Compact"/>
            </w:pPr>
            <w:r>
              <w:rPr>
                <w:b/>
                <w:bCs/>
              </w:rPr>
              <w:t xml:space="preserve">3–5 years ordinary; 1–2 years expedited</w:t>
            </w:r>
          </w:p>
        </w:tc>
      </w:tr>
      <w:tr>
        <w:tc>
          <w:tcPr/>
          <w:p>
            <w:pPr>
              <w:pStyle w:val="Compact"/>
            </w:pPr>
            <w:r>
              <w:rPr>
                <w:b/>
                <w:bCs/>
              </w:rPr>
              <w:t xml:space="preserve">Design registration, per design</w:t>
            </w:r>
          </w:p>
        </w:tc>
        <w:tc>
          <w:tcPr/>
          <w:p>
            <w:pPr>
              <w:pStyle w:val="Compact"/>
            </w:pPr>
            <w:r>
              <w:rPr>
                <w:b/>
                <w:bCs/>
              </w:rPr>
              <w:t xml:space="preserve">₹1,000</w:t>
            </w:r>
            <w:r>
              <w:t xml:space="preserve"> </w:t>
            </w:r>
            <w:r>
              <w:rPr>
                <w:i/>
                <w:iCs/>
              </w:rPr>
              <w:t xml:space="preserve">(one source self-inconsistently says ₹2,000 for small entity — verify against the current Designs Rules First Schedule)</w:t>
            </w:r>
          </w:p>
        </w:tc>
        <w:tc>
          <w:tcPr/>
          <w:p>
            <w:pPr>
              <w:pStyle w:val="Compact"/>
            </w:pPr>
            <w:r>
              <w:t xml:space="preserve">₹4,000</w:t>
            </w:r>
          </w:p>
        </w:tc>
        <w:tc>
          <w:tcPr/>
          <w:p>
            <w:pPr>
              <w:pStyle w:val="Compact"/>
            </w:pPr>
            <w:r>
              <w:t xml:space="preserve">₹5,000–₹15,000, plus optional search ₹2,000–₹5,000</w:t>
            </w:r>
          </w:p>
        </w:tc>
        <w:tc>
          <w:tcPr/>
          <w:p>
            <w:pPr>
              <w:pStyle w:val="Compact"/>
            </w:pPr>
            <w:r>
              <w:t xml:space="preserve">FER in 1–3 months;</w:t>
            </w:r>
            <w:r>
              <w:t xml:space="preserve"> </w:t>
            </w:r>
            <w:r>
              <w:rPr>
                <w:b/>
                <w:bCs/>
              </w:rPr>
              <w:t xml:space="preserve">registration 3–10 months</w:t>
            </w:r>
            <w:r>
              <w:t xml:space="preserve"> </w:t>
            </w:r>
            <w:r>
              <w:t xml:space="preserve">(practitioner estimates range 2–12)</w:t>
            </w:r>
          </w:p>
        </w:tc>
      </w:tr>
      <w:tr>
        <w:tc>
          <w:tcPr/>
          <w:p>
            <w:pPr>
              <w:pStyle w:val="Compact"/>
            </w:pPr>
            <w:r>
              <w:rPr>
                <w:b/>
                <w:bCs/>
              </w:rPr>
              <w:t xml:space="preserve">Design, realistic all-in per design</w:t>
            </w:r>
          </w:p>
        </w:tc>
        <w:tc>
          <w:tcPr/>
          <w:p>
            <w:pPr>
              <w:pStyle w:val="Compact"/>
            </w:pPr>
            <w:r>
              <w:t xml:space="preserve">—</w:t>
            </w:r>
          </w:p>
        </w:tc>
        <w:tc>
          <w:tcPr/>
          <w:p>
            <w:pPr>
              <w:pStyle w:val="Compact"/>
            </w:pPr>
            <w:r>
              <w:t xml:space="preserve">—</w:t>
            </w:r>
          </w:p>
        </w:tc>
        <w:tc>
          <w:tcPr/>
          <w:p>
            <w:pPr>
              <w:pStyle w:val="Compact"/>
            </w:pPr>
            <w:r>
              <w:rPr>
                <w:b/>
                <w:bCs/>
              </w:rPr>
              <w:t xml:space="preserve">₹8,000–₹25,000</w:t>
            </w:r>
          </w:p>
        </w:tc>
        <w:tc>
          <w:tcPr/>
          <w:p>
            <w:pPr>
              <w:pStyle w:val="Compact"/>
            </w:pPr>
            <w:r>
              <w:t xml:space="preserve">Term</w:t>
            </w:r>
            <w:r>
              <w:t xml:space="preserve"> </w:t>
            </w:r>
            <w:r>
              <w:rPr>
                <w:b/>
                <w:bCs/>
              </w:rPr>
              <w:t xml:space="preserve">10 years + 5 (s.11(2)) = 15 max</w:t>
            </w:r>
          </w:p>
        </w:tc>
      </w:tr>
      <w:tr>
        <w:tc>
          <w:tcPr/>
          <w:p>
            <w:pPr>
              <w:pStyle w:val="Compact"/>
            </w:pPr>
            <w:r>
              <w:rPr>
                <w:b/>
                <w:bCs/>
              </w:rPr>
              <w:t xml:space="preserve">Design renewal</w:t>
            </w:r>
            <w:r>
              <w:t xml:space="preserve"> </w:t>
            </w:r>
            <w:r>
              <w:t xml:space="preserve">(Form 3)</w:t>
            </w:r>
          </w:p>
        </w:tc>
        <w:tc>
          <w:tcPr/>
          <w:p>
            <w:pPr>
              <w:pStyle w:val="Compact"/>
            </w:pPr>
            <w:r>
              <w:rPr>
                <w:b/>
                <w:bCs/>
              </w:rPr>
              <w:t xml:space="preserve">₹2,000</w:t>
            </w:r>
          </w:p>
        </w:tc>
        <w:tc>
          <w:tcPr/>
          <w:p>
            <w:pPr>
              <w:pStyle w:val="Compact"/>
            </w:pPr>
            <w:r>
              <w:t xml:space="preserve">₹8,000</w:t>
            </w:r>
          </w:p>
        </w:tc>
        <w:tc>
          <w:tcPr/>
          <w:p>
            <w:pPr>
              <w:pStyle w:val="Compact"/>
            </w:pPr>
            <w:r>
              <w:t xml:space="preserve">—</w:t>
            </w:r>
          </w:p>
        </w:tc>
        <w:tc>
          <w:tcPr/>
          <w:p>
            <w:pPr>
              <w:pStyle w:val="Compact"/>
            </w:pPr>
            <w:r>
              <w:t xml:space="preserve">Before expiry of year 10</w:t>
            </w:r>
          </w:p>
        </w:tc>
      </w:tr>
      <w:tr>
        <w:tc>
          <w:tcPr/>
          <w:p>
            <w:pPr>
              <w:pStyle w:val="Compact"/>
            </w:pPr>
            <w:r>
              <w:rPr>
                <w:b/>
                <w:bCs/>
              </w:rPr>
              <w:t xml:space="preserve">Trademark, per class per mark</w:t>
            </w:r>
            <w:r>
              <w:t xml:space="preserve"> </w:t>
            </w:r>
            <w:r>
              <w:t xml:space="preserve">(TM-A online)</w:t>
            </w:r>
          </w:p>
        </w:tc>
        <w:tc>
          <w:tcPr/>
          <w:p>
            <w:pPr>
              <w:pStyle w:val="Compact"/>
            </w:pPr>
            <w:r>
              <w:rPr>
                <w:b/>
                <w:bCs/>
              </w:rPr>
              <w:t xml:space="preserve">₹4,500</w:t>
            </w:r>
          </w:p>
        </w:tc>
        <w:tc>
          <w:tcPr/>
          <w:p>
            <w:pPr>
              <w:pStyle w:val="Compact"/>
            </w:pPr>
            <w:r>
              <w:t xml:space="preserve">₹9,000</w:t>
            </w:r>
          </w:p>
        </w:tc>
        <w:tc>
          <w:tcPr/>
          <w:p>
            <w:pPr>
              <w:pStyle w:val="Compact"/>
            </w:pPr>
            <w:r>
              <w:rPr>
                <w:b/>
                <w:bCs/>
              </w:rPr>
              <w:t xml:space="preserve">Not sourced</w:t>
            </w:r>
            <w:r>
              <w:t xml:space="preserve"> </w:t>
            </w:r>
            <w:r>
              <w:t xml:space="preserve">— no citable Indian attorney fee figure was found</w:t>
            </w:r>
          </w:p>
        </w:tc>
        <w:tc>
          <w:tcPr/>
          <w:p>
            <w:pPr>
              <w:pStyle w:val="Compact"/>
            </w:pPr>
            <w:r>
              <w:rPr>
                <w:b/>
                <w:bCs/>
              </w:rPr>
              <w:t xml:space="preserve">6–18 months</w:t>
            </w:r>
            <w:r>
              <w:t xml:space="preserve"> </w:t>
            </w:r>
            <w:r>
              <w:t xml:space="preserve">uncontested;</w:t>
            </w:r>
            <w:r>
              <w:t xml:space="preserve"> </w:t>
            </w:r>
            <w:r>
              <w:rPr>
                <w:b/>
                <w:bCs/>
              </w:rPr>
              <w:t xml:space="preserve">12–36 months</w:t>
            </w:r>
            <w:r>
              <w:t xml:space="preserve"> </w:t>
            </w:r>
            <w:r>
              <w:t xml:space="preserve">if objected or opposed</w:t>
            </w:r>
          </w:p>
        </w:tc>
      </w:tr>
      <w:tr>
        <w:tc>
          <w:tcPr/>
          <w:p>
            <w:pPr>
              <w:pStyle w:val="Compact"/>
            </w:pPr>
            <w:r>
              <w:rPr>
                <w:b/>
                <w:bCs/>
              </w:rPr>
              <w:t xml:space="preserve">MODULARK in Classes 9, 11, 42</w:t>
            </w:r>
          </w:p>
        </w:tc>
        <w:tc>
          <w:tcPr/>
          <w:p>
            <w:pPr>
              <w:pStyle w:val="Compact"/>
            </w:pPr>
            <w:r>
              <w:rPr>
                <w:b/>
                <w:bCs/>
              </w:rPr>
              <w:t xml:space="preserve">₹13,500</w:t>
            </w:r>
          </w:p>
        </w:tc>
        <w:tc>
          <w:tcPr/>
          <w:p>
            <w:pPr>
              <w:pStyle w:val="Compact"/>
            </w:pPr>
            <w:r>
              <w:t xml:space="preserve">₹27,000</w:t>
            </w:r>
          </w:p>
        </w:tc>
        <w:tc>
          <w:tcPr/>
          <w:p>
            <w:pPr>
              <w:pStyle w:val="Compact"/>
            </w:pPr>
            <w:r>
              <w:t xml:space="preserve">Not sourced</w:t>
            </w:r>
          </w:p>
        </w:tc>
        <w:tc>
          <w:tcPr/>
          <w:p>
            <w:pPr>
              <w:pStyle w:val="Compact"/>
            </w:pPr>
            <w:r>
              <w:t xml:space="preserve">Exam reply due within ~30 days;</w:t>
            </w:r>
            <w:r>
              <w:t xml:space="preserve"> </w:t>
            </w:r>
            <w:r>
              <w:rPr>
                <w:b/>
                <w:bCs/>
              </w:rPr>
              <w:t xml:space="preserve">TM-O opposition window 4 months</w:t>
            </w:r>
            <w:r>
              <w:t xml:space="preserve"> </w:t>
            </w:r>
            <w:r>
              <w:t xml:space="preserve">from Journal publication</w:t>
            </w:r>
          </w:p>
        </w:tc>
      </w:tr>
      <w:tr>
        <w:tc>
          <w:tcPr/>
          <w:p>
            <w:pPr>
              <w:pStyle w:val="Compact"/>
            </w:pPr>
            <w:r>
              <w:rPr>
                <w:b/>
                <w:bCs/>
              </w:rPr>
              <w:t xml:space="preserve">Objection response / opposition</w:t>
            </w:r>
          </w:p>
        </w:tc>
        <w:tc>
          <w:tcPr/>
          <w:p>
            <w:pPr>
              <w:pStyle w:val="Compact"/>
            </w:pPr>
            <w:r>
              <w:t xml:space="preserve">—</w:t>
            </w:r>
          </w:p>
        </w:tc>
        <w:tc>
          <w:tcPr/>
          <w:p>
            <w:pPr>
              <w:pStyle w:val="Compact"/>
            </w:pPr>
            <w:r>
              <w:t xml:space="preserve">—</w:t>
            </w:r>
          </w:p>
        </w:tc>
        <w:tc>
          <w:tcPr/>
          <w:p>
            <w:pPr>
              <w:pStyle w:val="Compact"/>
            </w:pPr>
            <w:r>
              <w:rPr>
                <w:b/>
                <w:bCs/>
              </w:rPr>
              <w:t xml:space="preserve">Not sourced.</w:t>
            </w:r>
            <w:r>
              <w:t xml:space="preserve"> </w:t>
            </w:r>
            <w:r>
              <w:t xml:space="preserve">An opposed application can run to lakhs and years</w:t>
            </w:r>
          </w:p>
        </w:tc>
        <w:tc>
          <w:tcPr/>
          <w:p>
            <w:pPr>
              <w:pStyle w:val="Compact"/>
            </w:pPr>
            <w:r>
              <w:t xml:space="preserve">—</w:t>
            </w:r>
          </w:p>
        </w:tc>
      </w:tr>
      <w:tr>
        <w:tc>
          <w:tcPr/>
          <w:p>
            <w:pPr>
              <w:pStyle w:val="Compact"/>
            </w:pPr>
            <w:r>
              <w:rPr>
                <w:b/>
                <w:bCs/>
              </w:rPr>
              <w:t xml:space="preserve">BIS CRS, per registered model</w:t>
            </w:r>
          </w:p>
        </w:tc>
        <w:tc>
          <w:tcPr/>
          <w:p>
            <w:pPr>
              <w:pStyle w:val="Compact"/>
            </w:pPr>
            <w:r>
              <w:rPr>
                <w:b/>
                <w:bCs/>
              </w:rPr>
              <w:t xml:space="preserve">₹15,000 inclusion fee (includes one test); ₹10,000 per additional test report; testing ₹10,000–₹30,000</w:t>
            </w:r>
          </w:p>
        </w:tc>
        <w:tc>
          <w:tcPr/>
          <w:p>
            <w:pPr>
              <w:pStyle w:val="Compact"/>
            </w:pPr>
            <w:r>
              <w:t xml:space="preserve">Same</w:t>
            </w:r>
          </w:p>
        </w:tc>
        <w:tc>
          <w:tcPr/>
          <w:p>
            <w:pPr>
              <w:pStyle w:val="Compact"/>
            </w:pPr>
            <w:r>
              <w:rPr>
                <w:b/>
                <w:bCs/>
              </w:rPr>
              <w:t xml:space="preserve">Not sourced</w:t>
            </w:r>
            <w:r>
              <w:t xml:space="preserve"> </w:t>
            </w:r>
            <w:r>
              <w:t xml:space="preserve">— no citable consultant fee figure was found</w:t>
            </w:r>
          </w:p>
        </w:tc>
        <w:tc>
          <w:tcPr/>
          <w:p>
            <w:pPr>
              <w:pStyle w:val="Compact"/>
            </w:pPr>
            <w:r>
              <w:t xml:space="preserve">Nominal</w:t>
            </w:r>
            <w:r>
              <w:t xml:space="preserve"> </w:t>
            </w:r>
            <w:r>
              <w:rPr>
                <w:b/>
                <w:bCs/>
              </w:rPr>
              <w:t xml:space="preserve">20–25 working days</w:t>
            </w:r>
            <w:r>
              <w:t xml:space="preserve">; realistic</w:t>
            </w:r>
            <w:r>
              <w:t xml:space="preserve"> </w:t>
            </w:r>
            <w:r>
              <w:rPr>
                <w:b/>
                <w:bCs/>
              </w:rPr>
              <w:t xml:space="preserve">45–60 days</w:t>
            </w:r>
            <w:r>
              <w:t xml:space="preserve">;</w:t>
            </w:r>
            <w:r>
              <w:t xml:space="preserve"> </w:t>
            </w:r>
            <w:r>
              <w:rPr>
                <w:b/>
                <w:bCs/>
              </w:rPr>
              <w:t xml:space="preserve">4–6 weeks for LED luminaires</w:t>
            </w:r>
            <w:r>
              <w:t xml:space="preserve">. Plan</w:t>
            </w:r>
            <w:r>
              <w:t xml:space="preserve"> </w:t>
            </w:r>
            <w:r>
              <w:rPr>
                <w:b/>
                <w:bCs/>
              </w:rPr>
              <w:t xml:space="preserve">3 months</w:t>
            </w:r>
            <w:r>
              <w:t xml:space="preserve"> </w:t>
            </w:r>
            <w:r>
              <w:t xml:space="preserve">from design freeze</w:t>
            </w:r>
          </w:p>
        </w:tc>
      </w:tr>
      <w:tr>
        <w:tc>
          <w:tcPr/>
          <w:p>
            <w:pPr>
              <w:pStyle w:val="Compact"/>
            </w:pPr>
            <w:r>
              <w:rPr>
                <w:b/>
                <w:bCs/>
              </w:rPr>
              <w:t xml:space="preserve">BIS CRS, all-in per article</w:t>
            </w:r>
          </w:p>
        </w:tc>
        <w:tc>
          <w:tcPr/>
          <w:p>
            <w:pPr>
              <w:pStyle w:val="Compact"/>
            </w:pPr>
            <w:r>
              <w:rPr>
                <w:b/>
                <w:bCs/>
              </w:rPr>
              <w:t xml:space="preserve">₹30,000–₹35,000 for a single product with one test report; ₹50,000+ for complex</w:t>
            </w:r>
          </w:p>
        </w:tc>
        <w:tc>
          <w:tcPr/>
          <w:p>
            <w:pPr>
              <w:pStyle w:val="Compact"/>
            </w:pPr>
            <w:r>
              <w:t xml:space="preserve">Same</w:t>
            </w:r>
          </w:p>
        </w:tc>
        <w:tc>
          <w:tcPr/>
          <w:p>
            <w:pPr>
              <w:pStyle w:val="Compact"/>
            </w:pPr>
            <w:r>
              <w:t xml:space="preserve">Consultant not sourced</w:t>
            </w:r>
          </w:p>
        </w:tc>
        <w:tc>
          <w:tcPr/>
          <w:p>
            <w:pPr>
              <w:pStyle w:val="Compact"/>
            </w:pPr>
            <w:r>
              <w:t xml:space="preserve">Validity</w:t>
            </w:r>
            <w:r>
              <w:t xml:space="preserve"> </w:t>
            </w:r>
            <w:r>
              <w:rPr>
                <w:b/>
                <w:bCs/>
              </w:rPr>
              <w:t xml:space="preserve">2 years</w:t>
            </w:r>
          </w:p>
        </w:tc>
      </w:tr>
      <w:tr>
        <w:tc>
          <w:tcPr/>
          <w:p>
            <w:pPr>
              <w:pStyle w:val="Compact"/>
            </w:pPr>
            <w:r>
              <w:rPr>
                <w:b/>
                <w:bCs/>
              </w:rPr>
              <w:t xml:space="preserve">BIS CRS renewal</w:t>
            </w:r>
          </w:p>
        </w:tc>
        <w:tc>
          <w:tcPr/>
          <w:p>
            <w:pPr>
              <w:pStyle w:val="Compact"/>
            </w:pPr>
            <w:r>
              <w:rPr>
                <w:b/>
                <w:bCs/>
              </w:rPr>
              <w:t xml:space="preserve">₹25,000 per application</w:t>
            </w:r>
          </w:p>
        </w:tc>
        <w:tc>
          <w:tcPr/>
          <w:p>
            <w:pPr>
              <w:pStyle w:val="Compact"/>
            </w:pPr>
            <w:r>
              <w:t xml:space="preserve">Same</w:t>
            </w:r>
          </w:p>
        </w:tc>
        <w:tc>
          <w:tcPr/>
          <w:p>
            <w:pPr>
              <w:pStyle w:val="Compact"/>
            </w:pPr>
            <w:r>
              <w:t xml:space="preserve">—</w:t>
            </w:r>
          </w:p>
        </w:tc>
        <w:tc>
          <w:tcPr/>
          <w:p>
            <w:pPr>
              <w:pStyle w:val="Compact"/>
            </w:pPr>
            <w:r>
              <w:t xml:space="preserve">Apply ≥3 months before expiry</w:t>
            </w:r>
          </w:p>
        </w:tc>
      </w:tr>
      <w:tr>
        <w:tc>
          <w:tcPr/>
          <w:p>
            <w:pPr>
              <w:pStyle w:val="Compact"/>
            </w:pPr>
            <w:r>
              <w:rPr>
                <w:b/>
                <w:bCs/>
              </w:rPr>
              <w:t xml:space="preserve">Series mechanism</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Up to 10 models per registration</w:t>
            </w:r>
            <w:r>
              <w:t xml:space="preserve"> </w:t>
            </w:r>
            <w:r>
              <w:t xml:space="preserve">(50 for fixed general-purpose fancy lights/chandeliers).</w:t>
            </w:r>
            <w:r>
              <w:t xml:space="preserve"> </w:t>
            </w:r>
            <w:r>
              <w:rPr>
                <w:b/>
                <w:bCs/>
              </w:rPr>
              <w:t xml:space="preserve">This is the cost lever — design the family so variants are models within one series</w:t>
            </w:r>
          </w:p>
        </w:tc>
      </w:tr>
      <w:tr>
        <w:tc>
          <w:tcPr/>
          <w:p>
            <w:pPr>
              <w:pStyle w:val="Compact"/>
            </w:pPr>
            <w:r>
              <w:rPr>
                <w:b/>
                <w:bCs/>
              </w:rPr>
              <w:t xml:space="preserve">WPC ETA-SD, per model</w:t>
            </w:r>
          </w:p>
        </w:tc>
        <w:tc>
          <w:tcPr/>
          <w:p>
            <w:pPr>
              <w:pStyle w:val="Compact"/>
            </w:pPr>
            <w:r>
              <w:rPr>
                <w:b/>
                <w:bCs/>
              </w:rPr>
              <w:t xml:space="preserve">₹10,000</w:t>
            </w:r>
            <w:r>
              <w:t xml:space="preserve"> </w:t>
            </w:r>
            <w:r>
              <w:t xml:space="preserve">via Bharatkosh</w:t>
            </w:r>
          </w:p>
        </w:tc>
        <w:tc>
          <w:tcPr/>
          <w:p>
            <w:pPr>
              <w:pStyle w:val="Compact"/>
            </w:pPr>
            <w:r>
              <w:t xml:space="preserve">Same</w:t>
            </w:r>
          </w:p>
        </w:tc>
        <w:tc>
          <w:tcPr/>
          <w:p>
            <w:pPr>
              <w:pStyle w:val="Compact"/>
            </w:pPr>
            <w:r>
              <w:t xml:space="preserve">—</w:t>
            </w:r>
          </w:p>
        </w:tc>
        <w:tc>
          <w:tcPr/>
          <w:p>
            <w:pPr>
              <w:pStyle w:val="Compact"/>
            </w:pPr>
            <w:r>
              <w:rPr>
                <w:b/>
                <w:bCs/>
              </w:rPr>
              <w:t xml:space="preserve">1–7 working days. No renewal</w:t>
            </w:r>
            <w:r>
              <w:t xml:space="preserve"> </w:t>
            </w:r>
            <w:r>
              <w:t xml:space="preserve">under current 2026 guidance</w:t>
            </w:r>
          </w:p>
        </w:tc>
      </w:tr>
      <w:tr>
        <w:tc>
          <w:tcPr/>
          <w:p>
            <w:pPr>
              <w:pStyle w:val="Compact"/>
            </w:pPr>
            <w:r>
              <w:rPr>
                <w:b/>
                <w:bCs/>
              </w:rPr>
              <w:t xml:space="preserve">TEC MTCTE</w:t>
            </w:r>
          </w:p>
        </w:tc>
        <w:tc>
          <w:tcPr/>
          <w:p>
            <w:pPr>
              <w:pStyle w:val="Compact"/>
            </w:pPr>
            <w:r>
              <w:rPr>
                <w:b/>
                <w:bCs/>
              </w:rPr>
              <w:t xml:space="preserve">Not applicable</w:t>
            </w:r>
            <w:r>
              <w:t xml:space="preserve"> </w:t>
            </w:r>
            <w:r>
              <w:t xml:space="preserve">(endpoint, not gateway/CPE) — verify against the phase list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E-waste EPR registration</w:t>
            </w:r>
          </w:p>
        </w:tc>
        <w:tc>
          <w:tcPr/>
          <w:p>
            <w:pPr>
              <w:pStyle w:val="Compact"/>
            </w:pPr>
            <w:r>
              <w:rPr>
                <w:b/>
                <w:bCs/>
              </w:rPr>
              <w:t xml:space="preserve">₹10,000 flat for first registration</w:t>
            </w:r>
            <w:r>
              <w:t xml:space="preserve"> </w:t>
            </w:r>
            <w:r>
              <w:t xml:space="preserve">for a new business; otherwise slab-based on annual recycling target, annually renewable</w:t>
            </w:r>
          </w:p>
        </w:tc>
        <w:tc>
          <w:tcPr/>
          <w:p>
            <w:pPr>
              <w:pStyle w:val="Compact"/>
            </w:pPr>
            <w:r>
              <w:t xml:space="preserve">Same</w:t>
            </w:r>
          </w:p>
        </w:tc>
        <w:tc>
          <w:tcPr/>
          <w:p>
            <w:pPr>
              <w:pStyle w:val="Compact"/>
            </w:pPr>
            <w:r>
              <w:t xml:space="preserve">Not sourced</w:t>
            </w:r>
          </w:p>
        </w:tc>
        <w:tc>
          <w:tcPr/>
          <w:p>
            <w:pPr>
              <w:pStyle w:val="Compact"/>
            </w:pPr>
            <w:r>
              <w:t xml:space="preserve">Quarterly + annual returns, digital only from FY 2025-26</w:t>
            </w:r>
          </w:p>
        </w:tc>
      </w:tr>
      <w:tr>
        <w:tc>
          <w:tcPr/>
          <w:p>
            <w:pPr>
              <w:pStyle w:val="Compact"/>
            </w:pPr>
            <w:r>
              <w:rPr>
                <w:b/>
                <w:bCs/>
              </w:rPr>
              <w:t xml:space="preserve">E-waste EPR certificates</w:t>
            </w:r>
          </w:p>
        </w:tc>
        <w:tc>
          <w:tcPr/>
          <w:p>
            <w:pPr>
              <w:pStyle w:val="Compact"/>
            </w:pPr>
            <w:r>
              <w:rPr>
                <w:b/>
                <w:bCs/>
              </w:rPr>
              <w:t xml:space="preserve">₹22–₹74/kg band for consumer electronics</w:t>
            </w:r>
            <w:r>
              <w:t xml:space="preserve"> </w:t>
            </w:r>
            <w:r>
              <w:t xml:space="preserve">under CPCB 2024 guidelines; band is 30%–100% of the applicable environmental compensation.</w:t>
            </w:r>
            <w:r>
              <w:t xml:space="preserve"> </w:t>
            </w:r>
            <w:r>
              <w:rPr>
                <w:b/>
                <w:bCs/>
              </w:rPr>
              <w:t xml:space="preserve">Budget at the floor</w:t>
            </w:r>
            <w:r>
              <w:t xml:space="preserve"> </w:t>
            </w:r>
            <w:r>
              <w:t xml:space="preserve">— the band is under Delhi HC challenge with no final judgment as of mid-2026</w:t>
            </w:r>
          </w:p>
        </w:tc>
        <w:tc>
          <w:tcPr/>
          <w:p>
            <w:pPr>
              <w:pStyle w:val="Compact"/>
            </w:pPr>
            <w:r>
              <w:t xml:space="preserve">Same</w:t>
            </w:r>
          </w:p>
        </w:tc>
        <w:tc>
          <w:tcPr/>
          <w:p>
            <w:pPr>
              <w:pStyle w:val="Compact"/>
            </w:pPr>
            <w:r>
              <w:t xml:space="preserve">—</w:t>
            </w:r>
          </w:p>
        </w:tc>
        <w:tc>
          <w:tcPr/>
          <w:p>
            <w:pPr>
              <w:pStyle w:val="Compact"/>
            </w:pPr>
            <w:r>
              <w:t xml:space="preserve">Targets:</w:t>
            </w:r>
            <w:r>
              <w:t xml:space="preserve"> </w:t>
            </w:r>
            <w:r>
              <w:rPr>
                <w:b/>
                <w:bCs/>
              </w:rPr>
              <w:t xml:space="preserve">Schedule IV, 20% of sales two FYs prior</w:t>
            </w:r>
            <w:r>
              <w:t xml:space="preserve"> </w:t>
            </w:r>
            <w:r>
              <w:t xml:space="preserve">for a new producer</w:t>
            </w:r>
          </w:p>
        </w:tc>
      </w:tr>
      <w:tr>
        <w:tc>
          <w:tcPr/>
          <w:p>
            <w:pPr>
              <w:pStyle w:val="Compact"/>
            </w:pPr>
            <w:r>
              <w:rPr>
                <w:b/>
                <w:bCs/>
              </w:rPr>
              <w:t xml:space="preserve">Battery EPR registration</w:t>
            </w:r>
          </w:p>
        </w:tc>
        <w:tc>
          <w:tcPr/>
          <w:p>
            <w:pPr>
              <w:pStyle w:val="Compact"/>
            </w:pPr>
            <w:r>
              <w:rPr>
                <w:b/>
                <w:bCs/>
              </w:rPr>
              <w:t xml:space="preserve">₹2,500 reported</w:t>
            </w:r>
            <w:r>
              <w:t xml:space="preserve"> </w:t>
            </w:r>
            <w:r>
              <w:rPr>
                <w:i/>
                <w:iCs/>
              </w:rPr>
              <w:t xml:space="preserve">(single commercial source — indicative only)</w:t>
            </w:r>
            <w:r>
              <w:t xml:space="preserve">, rising with recycling target</w:t>
            </w:r>
          </w:p>
        </w:tc>
        <w:tc>
          <w:tcPr/>
          <w:p>
            <w:pPr>
              <w:pStyle w:val="Compact"/>
            </w:pPr>
            <w:r>
              <w:t xml:space="preserve">Same</w:t>
            </w:r>
          </w:p>
        </w:tc>
        <w:tc>
          <w:tcPr/>
          <w:p>
            <w:pPr>
              <w:pStyle w:val="Compact"/>
            </w:pPr>
            <w:r>
              <w:t xml:space="preserve">Not sourced</w:t>
            </w:r>
          </w:p>
        </w:tc>
        <w:tc>
          <w:tcPr/>
          <w:p>
            <w:pPr>
              <w:pStyle w:val="Compact"/>
            </w:pPr>
            <w:r>
              <w:t xml:space="preserve">Separate portal, Form 1A → Form 1B; annual Form 1C</w:t>
            </w:r>
          </w:p>
        </w:tc>
      </w:tr>
      <w:tr>
        <w:tc>
          <w:tcPr/>
          <w:p>
            <w:pPr>
              <w:pStyle w:val="Compact"/>
            </w:pPr>
            <w:r>
              <w:rPr>
                <w:b/>
                <w:bCs/>
              </w:rPr>
              <w:t xml:space="preserve">Legal Metrology Rule 27 registration</w:t>
            </w:r>
          </w:p>
        </w:tc>
        <w:tc>
          <w:tcPr/>
          <w:p>
            <w:pPr>
              <w:pStyle w:val="Compact"/>
            </w:pPr>
            <w:r>
              <w:rPr>
                <w:b/>
                <w:bCs/>
              </w:rPr>
              <w:t xml:space="preserve">₹500</w:t>
            </w:r>
          </w:p>
        </w:tc>
        <w:tc>
          <w:tcPr/>
          <w:p>
            <w:pPr>
              <w:pStyle w:val="Compact"/>
            </w:pPr>
            <w:r>
              <w:t xml:space="preserve">Same</w:t>
            </w:r>
          </w:p>
        </w:tc>
        <w:tc>
          <w:tcPr/>
          <w:p>
            <w:pPr>
              <w:pStyle w:val="Compact"/>
            </w:pPr>
            <w:r>
              <w:t xml:space="preserve">—</w:t>
            </w:r>
          </w:p>
        </w:tc>
        <w:tc>
          <w:tcPr/>
          <w:p>
            <w:pPr>
              <w:pStyle w:val="Compact"/>
            </w:pPr>
            <w:r>
              <w:rPr>
                <w:b/>
                <w:bCs/>
              </w:rPr>
              <w:t xml:space="preserve">Within 90 days</w:t>
            </w:r>
            <w:r>
              <w:t xml:space="preserve"> </w:t>
            </w:r>
            <w:r>
              <w:t xml:space="preserve">of commencing pre-packing</w:t>
            </w:r>
          </w:p>
        </w:tc>
      </w:tr>
      <w:tr>
        <w:tc>
          <w:tcPr/>
          <w:p>
            <w:pPr>
              <w:pStyle w:val="Compact"/>
            </w:pPr>
            <w:r>
              <w:rPr>
                <w:b/>
                <w:bCs/>
              </w:rPr>
              <w:t xml:space="preserve">MOA objects alteration</w:t>
            </w:r>
          </w:p>
        </w:tc>
        <w:tc>
          <w:tcPr/>
          <w:p>
            <w:pPr>
              <w:pStyle w:val="Compact"/>
            </w:pPr>
            <w:r>
              <w:rPr>
                <w:b/>
                <w:bCs/>
              </w:rPr>
              <w:t xml:space="preserve">MGT-14 ₹300–₹600</w:t>
            </w:r>
            <w:r>
              <w:t xml:space="preserve"> </w:t>
            </w:r>
            <w:r>
              <w:t xml:space="preserve">by authorised capital; stamp duty</w:t>
            </w:r>
            <w:r>
              <w:t xml:space="preserve"> </w:t>
            </w:r>
            <w:r>
              <w:rPr>
                <w:b/>
                <w:bCs/>
              </w:rPr>
              <w:t xml:space="preserve">nil to ~₹1,000 in most states for an objects-only change — state-specific, confirm with your CS</w:t>
            </w:r>
          </w:p>
        </w:tc>
        <w:tc>
          <w:tcPr/>
          <w:p>
            <w:pPr>
              <w:pStyle w:val="Compact"/>
            </w:pPr>
            <w:r>
              <w:t xml:space="preserve">Same</w:t>
            </w:r>
          </w:p>
        </w:tc>
        <w:tc>
          <w:tcPr/>
          <w:p>
            <w:pPr>
              <w:pStyle w:val="Compact"/>
            </w:pPr>
            <w:r>
              <w:rPr>
                <w:b/>
                <w:bCs/>
              </w:rPr>
              <w:t xml:space="preserve">₹8,000–₹35,000</w:t>
            </w:r>
            <w:r>
              <w:t xml:space="preserve"> </w:t>
            </w:r>
            <w:r>
              <w:t xml:space="preserve">CS fees (market estimate, not sourced)</w:t>
            </w:r>
          </w:p>
        </w:tc>
        <w:tc>
          <w:tcPr/>
          <w:p>
            <w:pPr>
              <w:pStyle w:val="Compact"/>
            </w:pPr>
            <w:r>
              <w:rPr>
                <w:b/>
                <w:bCs/>
              </w:rPr>
              <w:t xml:space="preserve">2–3 weeks</w:t>
            </w:r>
            <w:r>
              <w:t xml:space="preserve"> </w:t>
            </w:r>
            <w:r>
              <w:t xml:space="preserve">shorter-notice EGM; 5–6 weeks on full 21-day notice; ROC registration 3–15 working days</w:t>
            </w:r>
          </w:p>
        </w:tc>
      </w:tr>
      <w:tr>
        <w:tc>
          <w:tcPr/>
          <w:p>
            <w:pPr>
              <w:pStyle w:val="Compact"/>
            </w:pPr>
            <w:r>
              <w:rPr>
                <w:b/>
                <w:bCs/>
              </w:rPr>
              <w:t xml:space="preserve">MOA alteration all-in</w:t>
            </w:r>
          </w:p>
        </w:tc>
        <w:tc>
          <w:tcPr/>
          <w:p>
            <w:pPr>
              <w:pStyle w:val="Compact"/>
            </w:pPr>
            <w:r>
              <w:t xml:space="preserve">—</w:t>
            </w:r>
          </w:p>
        </w:tc>
        <w:tc>
          <w:tcPr/>
          <w:p>
            <w:pPr>
              <w:pStyle w:val="Compact"/>
            </w:pPr>
            <w:r>
              <w:t xml:space="preserve">—</w:t>
            </w:r>
          </w:p>
        </w:tc>
        <w:tc>
          <w:tcPr/>
          <w:p>
            <w:pPr>
              <w:pStyle w:val="Compact"/>
            </w:pPr>
            <w:r>
              <w:rPr>
                <w:b/>
                <w:bCs/>
              </w:rPr>
              <w:t xml:space="preserve">≈ ₹15,000–₹50,000</w:t>
            </w:r>
            <w:r>
              <w:t xml:space="preserve">, central estimate ₹20,000–₹25,000</w:t>
            </w:r>
          </w:p>
        </w:tc>
        <w:tc>
          <w:tcPr/>
          <w:p>
            <w:pPr>
              <w:pStyle w:val="Compact"/>
            </w:pPr>
            <w:r>
              <w:t xml:space="preserve">—</w:t>
            </w:r>
          </w:p>
        </w:tc>
      </w:tr>
      <w:tr>
        <w:tc>
          <w:tcPr/>
          <w:p>
            <w:pPr>
              <w:pStyle w:val="Compact"/>
            </w:pPr>
            <w:r>
              <w:rPr>
                <w:b/>
                <w:bCs/>
              </w:rPr>
              <w:t xml:space="preserve">Incorporating the hardware company</w:t>
            </w:r>
            <w:r>
              <w:t xml:space="preserve"> </w:t>
            </w:r>
            <w:r>
              <w:t xml:space="preserve">(SPICe+)</w:t>
            </w:r>
          </w:p>
        </w:tc>
        <w:tc>
          <w:tcPr/>
          <w:p>
            <w:pPr>
              <w:pStyle w:val="Compact"/>
            </w:pPr>
            <w:r>
              <w:t xml:space="preserve">—</w:t>
            </w:r>
          </w:p>
        </w:tc>
        <w:tc>
          <w:tcPr/>
          <w:p>
            <w:pPr>
              <w:pStyle w:val="Compact"/>
            </w:pPr>
            <w:r>
              <w:t xml:space="preserve">—</w:t>
            </w:r>
          </w:p>
        </w:tc>
        <w:tc>
          <w:tcPr/>
          <w:p>
            <w:pPr>
              <w:pStyle w:val="Compact"/>
            </w:pPr>
            <w:r>
              <w:rPr>
                <w:b/>
                <w:bCs/>
              </w:rPr>
              <w:t xml:space="preserve">₹8,000–₹25,000</w:t>
            </w:r>
            <w:r>
              <w:t xml:space="preserve"> </w:t>
            </w:r>
            <w:r>
              <w:t xml:space="preserve">one-off</w:t>
            </w:r>
          </w:p>
        </w:tc>
        <w:tc>
          <w:tcPr/>
          <w:p>
            <w:pPr>
              <w:pStyle w:val="Compact"/>
            </w:pPr>
            <w:r>
              <w:t xml:space="preserve">Days to weeks</w:t>
            </w:r>
          </w:p>
        </w:tc>
      </w:tr>
      <w:tr>
        <w:tc>
          <w:tcPr/>
          <w:p>
            <w:pPr>
              <w:pStyle w:val="Compact"/>
            </w:pPr>
            <w:r>
              <w:rPr>
                <w:b/>
                <w:bCs/>
              </w:rPr>
              <w:t xml:space="preserve">Carrying an inactive second company</w:t>
            </w:r>
          </w:p>
        </w:tc>
        <w:tc>
          <w:tcPr/>
          <w:p>
            <w:pPr>
              <w:pStyle w:val="Compact"/>
            </w:pPr>
            <w:r>
              <w:t xml:space="preserve">—</w:t>
            </w:r>
          </w:p>
        </w:tc>
        <w:tc>
          <w:tcPr/>
          <w:p>
            <w:pPr>
              <w:pStyle w:val="Compact"/>
            </w:pPr>
            <w:r>
              <w:t xml:space="preserve">—</w:t>
            </w:r>
          </w:p>
        </w:tc>
        <w:tc>
          <w:tcPr/>
          <w:p>
            <w:pPr>
              <w:pStyle w:val="Compact"/>
            </w:pPr>
            <w:r>
              <w:rPr>
                <w:b/>
                <w:bCs/>
              </w:rPr>
              <w:t xml:space="preserve">≈ ₹40,000–₹75,000 p.a.</w:t>
            </w:r>
            <w:r>
              <w:t xml:space="preserve"> </w:t>
            </w:r>
            <w:r>
              <w:t xml:space="preserve">pre-revenue;</w:t>
            </w:r>
            <w:r>
              <w:t xml:space="preserve"> </w:t>
            </w:r>
            <w:r>
              <w:rPr>
                <w:b/>
                <w:bCs/>
              </w:rPr>
              <w:t xml:space="preserve">₹1,00,000–₹2,00,000 p.a.</w:t>
            </w:r>
            <w:r>
              <w:t xml:space="preserve"> </w:t>
            </w:r>
            <w:r>
              <w:t xml:space="preserve">operating with GST</w:t>
            </w:r>
            <w:r>
              <w:t xml:space="preserve"> </w:t>
            </w:r>
            <w:r>
              <w:rPr>
                <w:i/>
                <w:iCs/>
              </w:rPr>
              <w:t xml:space="preserve">(market estimates, not sourced)</w:t>
            </w:r>
          </w:p>
        </w:tc>
        <w:tc>
          <w:tcPr/>
          <w:p>
            <w:pPr>
              <w:pStyle w:val="Compact"/>
            </w:pPr>
            <w:r>
              <w:t xml:space="preserve">Annual</w:t>
            </w:r>
          </w:p>
        </w:tc>
      </w:tr>
      <w:tr>
        <w:tc>
          <w:tcPr/>
          <w:p>
            <w:pPr>
              <w:pStyle w:val="Compact"/>
            </w:pPr>
            <w:r>
              <w:rPr>
                <w:b/>
                <w:bCs/>
              </w:rPr>
              <w:t xml:space="preserve">Patent assignment recordal</w:t>
            </w:r>
            <w:r>
              <w:t xml:space="preserve"> </w:t>
            </w:r>
            <w:r>
              <w:t xml:space="preserve">(Form 16)</w:t>
            </w:r>
          </w:p>
        </w:tc>
        <w:tc>
          <w:tcPr/>
          <w:p>
            <w:pPr>
              <w:pStyle w:val="Compact"/>
            </w:pPr>
            <w:r>
              <w:rPr>
                <w:b/>
                <w:bCs/>
              </w:rPr>
              <w:t xml:space="preserve">₹1,600 / ₹4,000 / ₹8,000</w:t>
            </w:r>
            <w:r>
              <w:t xml:space="preserve"> </w:t>
            </w:r>
            <w:r>
              <w:t xml:space="preserve">by entity category</w:t>
            </w:r>
          </w:p>
        </w:tc>
        <w:tc>
          <w:tcPr/>
          <w:p>
            <w:pPr>
              <w:pStyle w:val="Compact"/>
            </w:pPr>
            <w:r>
              <w:t xml:space="preserve">—</w:t>
            </w:r>
          </w:p>
        </w:tc>
        <w:tc>
          <w:tcPr/>
          <w:p>
            <w:pPr>
              <w:pStyle w:val="Compact"/>
            </w:pPr>
            <w:r>
              <w:t xml:space="preserve">₹10,000–₹30,000 per patent, plus notarisation ₹2,000–₹5,000</w:t>
            </w:r>
          </w:p>
        </w:tc>
        <w:tc>
          <w:tcPr/>
          <w:p>
            <w:pPr>
              <w:pStyle w:val="Compact"/>
            </w:pPr>
            <w:r>
              <w:t xml:space="preserve">—</w:t>
            </w:r>
          </w:p>
        </w:tc>
      </w:tr>
      <w:tr>
        <w:tc>
          <w:tcPr/>
          <w:p>
            <w:pPr>
              <w:pStyle w:val="Compact"/>
            </w:pPr>
            <w:r>
              <w:rPr>
                <w:b/>
                <w:bCs/>
              </w:rPr>
              <w:t xml:space="preserve">Form 6, pre-grant change of applicant</w:t>
            </w:r>
          </w:p>
        </w:tc>
        <w:tc>
          <w:tcPr/>
          <w:p>
            <w:pPr>
              <w:pStyle w:val="Compact"/>
            </w:pPr>
            <w:r>
              <w:rPr>
                <w:b/>
                <w:bCs/>
              </w:rPr>
              <w:t xml:space="preserve">NOT FOUND in any source</w:t>
            </w:r>
            <w:r>
              <w:t xml:space="preserve"> </w:t>
            </w:r>
            <w:r>
              <w:t xml:space="preserve">— check the First Schedule to the Patents Rules</w:t>
            </w:r>
          </w:p>
        </w:tc>
        <w:tc>
          <w:tcPr/>
          <w:p>
            <w:pPr>
              <w:pStyle w:val="Compact"/>
            </w:pPr>
            <w:r>
              <w:t xml:space="preserve">—</w:t>
            </w:r>
          </w:p>
        </w:tc>
        <w:tc>
          <w:tcPr/>
          <w:p>
            <w:pPr>
              <w:pStyle w:val="Compact"/>
            </w:pPr>
            <w:r>
              <w:t xml:space="preserve">—</w:t>
            </w:r>
          </w:p>
        </w:tc>
        <w:tc>
          <w:tcPr/>
          <w:p>
            <w:pPr>
              <w:pStyle w:val="Compact"/>
            </w:pPr>
            <w:r>
              <w:t xml:space="preserve">Far cheaper and cleaner than post-grant Form 16</w:t>
            </w:r>
          </w:p>
        </w:tc>
      </w:tr>
      <w:tr>
        <w:tc>
          <w:tcPr/>
          <w:p>
            <w:pPr>
              <w:pStyle w:val="Compact"/>
            </w:pPr>
            <w:r>
              <w:rPr>
                <w:b/>
                <w:bCs/>
              </w:rPr>
              <w:t xml:space="preserve">Stamp duty on IP assignment deed</w:t>
            </w:r>
          </w:p>
        </w:tc>
        <w:tc>
          <w:tcPr/>
          <w:p>
            <w:pPr>
              <w:pStyle w:val="Compact"/>
            </w:pPr>
            <w:r>
              <w:rPr>
                <w:b/>
                <w:bCs/>
              </w:rPr>
              <w:t xml:space="preserve">0.5%–5% of consideration, state-specific</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NCLT demerger</w:t>
            </w:r>
            <w:r>
              <w:t xml:space="preserve"> </w:t>
            </w:r>
            <w:r>
              <w:t xml:space="preserve">(the clean late alternative)</w:t>
            </w:r>
          </w:p>
        </w:tc>
        <w:tc>
          <w:tcPr/>
          <w:p>
            <w:pPr>
              <w:pStyle w:val="Compact"/>
            </w:pPr>
            <w:r>
              <w:t xml:space="preserve">—</w:t>
            </w:r>
          </w:p>
        </w:tc>
        <w:tc>
          <w:tcPr/>
          <w:p>
            <w:pPr>
              <w:pStyle w:val="Compact"/>
            </w:pPr>
            <w:r>
              <w:t xml:space="preserve">—</w:t>
            </w:r>
          </w:p>
        </w:tc>
        <w:tc>
          <w:tcPr/>
          <w:p>
            <w:pPr>
              <w:pStyle w:val="Compact"/>
            </w:pPr>
            <w:r>
              <w:rPr>
                <w:b/>
                <w:bCs/>
              </w:rPr>
              <w:t xml:space="preserve">₹10–30 lakh</w:t>
            </w:r>
            <w:r>
              <w:t xml:space="preserve"> </w:t>
            </w:r>
            <w:r>
              <w:rPr>
                <w:i/>
                <w:iCs/>
              </w:rPr>
              <w:t xml:space="preserve">(market estimate, not sourced)</w:t>
            </w:r>
          </w:p>
        </w:tc>
        <w:tc>
          <w:tcPr/>
          <w:p>
            <w:pPr>
              <w:pStyle w:val="Compact"/>
            </w:pPr>
            <w:r>
              <w:rPr>
                <w:b/>
                <w:bCs/>
              </w:rPr>
              <w:t xml:space="preserve">9–18 months</w:t>
            </w:r>
          </w:p>
        </w:tc>
      </w:tr>
      <w:tr>
        <w:tc>
          <w:tcPr/>
          <w:p>
            <w:pPr>
              <w:pStyle w:val="Compact"/>
            </w:pPr>
            <w:r>
              <w:rPr>
                <w:b/>
                <w:bCs/>
              </w:rPr>
              <w:t xml:space="preserve">Product liability insurance</w:t>
            </w:r>
          </w:p>
        </w:tc>
        <w:tc>
          <w:tcPr/>
          <w:p>
            <w:pPr>
              <w:pStyle w:val="Compact"/>
            </w:pPr>
            <w:r>
              <w:t xml:space="preserve">—</w:t>
            </w:r>
          </w:p>
        </w:tc>
        <w:tc>
          <w:tcPr/>
          <w:p>
            <w:pPr>
              <w:pStyle w:val="Compact"/>
            </w:pPr>
            <w:r>
              <w:t xml:space="preserve">—</w:t>
            </w:r>
          </w:p>
        </w:tc>
        <w:tc>
          <w:tcPr/>
          <w:p>
            <w:pPr>
              <w:pStyle w:val="Compact"/>
            </w:pPr>
            <w:r>
              <w:rPr>
                <w:b/>
                <w:bCs/>
              </w:rPr>
              <w:t xml:space="preserve">NOT SOURCED. No Indian premium figure for a lithium-battery electronics SME could be obtained and none is stated.</w:t>
            </w:r>
            <w:r>
              <w:t xml:space="preserve"> </w:t>
            </w:r>
            <w:r>
              <w:t xml:space="preserve">Recall cost is</w:t>
            </w:r>
            <w:r>
              <w:t xml:space="preserve"> </w:t>
            </w:r>
            <w:r>
              <w:rPr>
                <w:b/>
                <w:bCs/>
              </w:rPr>
              <w:t xml:space="preserve">excluded</w:t>
            </w:r>
            <w:r>
              <w:t xml:space="preserve"> </w:t>
            </w:r>
            <w:r>
              <w:t xml:space="preserve">from standard Indian policies</w:t>
            </w:r>
          </w:p>
        </w:tc>
        <w:tc>
          <w:tcPr/>
          <w:p>
            <w:pPr>
              <w:pStyle w:val="Compact"/>
            </w:pPr>
            <w:r>
              <w:t xml:space="preserve">Get a broker quote before design freeze</w:t>
            </w:r>
          </w:p>
        </w:tc>
      </w:tr>
      <w:tr>
        <w:tc>
          <w:tcPr/>
          <w:p>
            <w:pPr>
              <w:pStyle w:val="Compact"/>
            </w:pPr>
            <w:r>
              <w:rPr>
                <w:b/>
                <w:bCs/>
              </w:rPr>
              <w:t xml:space="preserve">Indian injection-mould tooling</w:t>
            </w:r>
          </w:p>
        </w:tc>
        <w:tc>
          <w:tcPr/>
          <w:p>
            <w:pPr>
              <w:pStyle w:val="Compact"/>
            </w:pPr>
            <w:r>
              <w:t xml:space="preserve">—</w:t>
            </w:r>
          </w:p>
        </w:tc>
        <w:tc>
          <w:tcPr/>
          <w:p>
            <w:pPr>
              <w:pStyle w:val="Compact"/>
            </w:pPr>
            <w:r>
              <w:t xml:space="preserve">—</w:t>
            </w:r>
          </w:p>
        </w:tc>
        <w:tc>
          <w:tcPr/>
          <w:p>
            <w:pPr>
              <w:pStyle w:val="Compact"/>
            </w:pPr>
            <w:r>
              <w:rPr>
                <w:b/>
                <w:bCs/>
              </w:rPr>
              <w:t xml:space="preserve">NOT SOURCED</w:t>
            </w:r>
          </w:p>
        </w:tc>
        <w:tc>
          <w:tcPr/>
          <w:p>
            <w:pPr>
              <w:pStyle w:val="Compact"/>
            </w:pPr>
            <w:r>
              <w:t xml:space="preserve">—</w:t>
            </w:r>
          </w:p>
        </w:tc>
      </w:tr>
      <w:tr>
        <w:tc>
          <w:tcPr/>
          <w:p>
            <w:pPr>
              <w:pStyle w:val="Compact"/>
            </w:pPr>
            <w:r>
              <w:rPr>
                <w:b/>
                <w:bCs/>
              </w:rPr>
              <w:t xml:space="preserve">Customs broker / CHA</w:t>
            </w:r>
          </w:p>
        </w:tc>
        <w:tc>
          <w:tcPr/>
          <w:p>
            <w:pPr>
              <w:pStyle w:val="Compact"/>
            </w:pPr>
            <w:r>
              <w:t xml:space="preserve">—</w:t>
            </w:r>
          </w:p>
        </w:tc>
        <w:tc>
          <w:tcPr/>
          <w:p>
            <w:pPr>
              <w:pStyle w:val="Compact"/>
            </w:pPr>
            <w:r>
              <w:t xml:space="preserve">—</w:t>
            </w:r>
          </w:p>
        </w:tc>
        <w:tc>
          <w:tcPr/>
          <w:p>
            <w:pPr>
              <w:pStyle w:val="Compact"/>
            </w:pPr>
            <w:r>
              <w:rPr>
                <w:b/>
                <w:bCs/>
              </w:rPr>
              <w:t xml:space="preserve">NOT SOURCED</w:t>
            </w:r>
          </w:p>
        </w:tc>
        <w:tc>
          <w:tcPr/>
          <w:p>
            <w:pPr>
              <w:pStyle w:val="Compact"/>
            </w:pPr>
            <w:r>
              <w:t xml:space="preserve">—</w:t>
            </w:r>
          </w:p>
        </w:tc>
      </w:tr>
      <w:tr>
        <w:tc>
          <w:tcPr/>
          <w:p>
            <w:pPr>
              <w:pStyle w:val="Compact"/>
            </w:pPr>
            <w:r>
              <w:rPr>
                <w:b/>
                <w:bCs/>
              </w:rPr>
              <w:t xml:space="preserve">CAAR advance ruling (customs) / s.97 CGST advance ruling</w:t>
            </w:r>
          </w:p>
        </w:tc>
        <w:tc>
          <w:tcPr/>
          <w:p>
            <w:pPr>
              <w:pStyle w:val="Compact"/>
            </w:pPr>
            <w:r>
              <w:rPr>
                <w:b/>
                <w:bCs/>
              </w:rPr>
              <w:t xml:space="preserve">Not sourced</w:t>
            </w:r>
          </w:p>
        </w:tc>
        <w:tc>
          <w:tcPr/>
          <w:p>
            <w:pPr>
              <w:pStyle w:val="Compact"/>
            </w:pPr>
            <w:r>
              <w:t xml:space="preserve">—</w:t>
            </w:r>
          </w:p>
        </w:tc>
        <w:tc>
          <w:tcPr/>
          <w:p>
            <w:pPr>
              <w:pStyle w:val="Compact"/>
            </w:pPr>
            <w:r>
              <w:t xml:space="preserve">—</w:t>
            </w:r>
          </w:p>
        </w:tc>
        <w:tc>
          <w:tcPr/>
          <w:p>
            <w:pPr>
              <w:pStyle w:val="Compact"/>
            </w:pPr>
            <w:r>
              <w:t xml:space="preserve">Cheap relative to the exposure</w:t>
            </w:r>
          </w:p>
        </w:tc>
      </w:tr>
    </w:tbl>
    <w:p>
      <w:r>
        <w:pict>
          <v:rect style="width:0;height:1.5pt" o:hralign="center" o:hrstd="t" o:hr="t"/>
        </w:pict>
      </w:r>
    </w:p>
    <w:bookmarkEnd w:id="253"/>
    <w:bookmarkStart w:id="263" w:name="c-the-do-not-disclose-rule"/>
    <w:p>
      <w:pPr>
        <w:pStyle w:val="Heading2"/>
      </w:pPr>
      <w:r>
        <w:t xml:space="preserve">(c) THE DO-NOT-DISCLOSE RULE</w:t>
      </w:r>
    </w:p>
    <w:bookmarkStart w:id="258" w:name="Xbcbc72c2ceb9df4ac9f5600bb1397ed5cf2c899"/>
    <w:p>
      <w:pPr>
        <w:pStyle w:val="Heading3"/>
      </w:pPr>
      <w:r>
        <w:t xml:space="preserve">The rule, in the form you can follow without thinking</w:t>
      </w:r>
    </w:p>
    <w:p>
      <w:pPr>
        <w:pStyle w:val="BlockText"/>
      </w:pPr>
      <w:r>
        <w:rPr>
          <w:b/>
          <w:bCs/>
        </w:rPr>
        <w:t xml:space="preserve">Nothing that reveals what the product looks like or how it works leaves the company — to anyone who has not signed an NDA — until the design application and the patent provisional are filed and you have the application numbers in hand.</w:t>
      </w:r>
    </w:p>
    <w:p>
      <w:pPr>
        <w:pStyle w:val="FirstParagraph"/>
      </w:pPr>
      <w:r>
        <w:rPr>
          <w:b/>
          <w:bCs/>
        </w:rPr>
        <w:t xml:space="preserve">Why this is stricter than you think.</w:t>
      </w:r>
      <w:r>
        <w:t xml:space="preserve"> </w:t>
      </w:r>
      <w:r>
        <w:t xml:space="preserve">India’s patent grace period under</w:t>
      </w:r>
      <w:r>
        <w:t xml:space="preserve"> </w:t>
      </w:r>
      <w:r>
        <w:rPr>
          <w:b/>
          <w:bCs/>
        </w:rPr>
        <w:t xml:space="preserve">Sections 29–33 is a narrow set of enumerated exceptions, not a general 12-month grace period.</w:t>
      </w:r>
      <w:r>
        <w:t xml:space="preserve"> </w:t>
      </w:r>
      <w:r>
        <w:t xml:space="preserve">The twelve months in</w:t>
      </w:r>
      <w:r>
        <w:t xml:space="preserve"> </w:t>
      </w:r>
      <w:r>
        <w:rPr>
          <w:b/>
          <w:bCs/>
        </w:rPr>
        <w:t xml:space="preserve">Section 31</w:t>
      </w:r>
      <w:r>
        <w:t xml:space="preserve"> </w:t>
      </w:r>
      <w:r>
        <w:t xml:space="preserve">applies only to (i) display at an</w:t>
      </w:r>
      <w:r>
        <w:t xml:space="preserve"> </w:t>
      </w:r>
      <w:r>
        <w:rPr>
          <w:b/>
          <w:bCs/>
        </w:rPr>
        <w:t xml:space="preserve">industrial or other exhibition to which the section has been extended by the Central Government by notification in the Official Gazette</w:t>
      </w:r>
      <w:r>
        <w:t xml:space="preserve">, (ii) a paper read before a</w:t>
      </w:r>
      <w:r>
        <w:t xml:space="preserve"> </w:t>
      </w:r>
      <w:r>
        <w:rPr>
          <w:b/>
          <w:bCs/>
        </w:rPr>
        <w:t xml:space="preserve">learned society</w:t>
      </w:r>
      <w:r>
        <w:t xml:space="preserve"> </w:t>
      </w:r>
      <w:r>
        <w:t xml:space="preserve">or published in its transactions, and (iii) certain non-consensual use during the exhibition period (</w:t>
      </w:r>
      <w:hyperlink r:id="rId254">
        <w:r>
          <w:rPr>
            <w:rStyle w:val="Hyperlink"/>
          </w:rPr>
          <w:t xml:space="preserve">Mondaq</w:t>
        </w:r>
      </w:hyperlink>
      <w:r>
        <w:t xml:space="preserve">;</w:t>
      </w:r>
      <w:r>
        <w:t xml:space="preserve"> </w:t>
      </w:r>
      <w:hyperlink r:id="rId255">
        <w:r>
          <w:rPr>
            <w:rStyle w:val="Hyperlink"/>
          </w:rPr>
          <w:t xml:space="preserve">Chambers &amp; Partners</w:t>
        </w:r>
      </w:hyperlink>
      <w:r>
        <w:t xml:space="preserve">).</w:t>
      </w:r>
      <w:r>
        <w:t xml:space="preserve"> </w:t>
      </w:r>
      <w:r>
        <w:rPr>
          <w:b/>
          <w:bCs/>
        </w:rPr>
        <w:t xml:space="preserve">There is nothing in Indian law resembling the US 35 U.S.C. §102(b)(1) one-year grace period for any disclosure by the inventor.</w:t>
      </w:r>
      <w:r>
        <w:t xml:space="preserve"> </w:t>
      </w:r>
      <w:r>
        <w:t xml:space="preserve">And since</w:t>
      </w:r>
      <w:r>
        <w:t xml:space="preserve"> </w:t>
      </w:r>
      <w:r>
        <w:rPr>
          <w:b/>
          <w:bCs/>
        </w:rPr>
        <w:t xml:space="preserve">15 March 2024, Rule 29A and Form 31 mean the grace period is no longer self-executing — it is an affirmative claim you must make and evidence</w:t>
      </w:r>
      <w:r>
        <w:t xml:space="preserve"> </w:t>
      </w:r>
      <w:r>
        <w:t xml:space="preserve">(</w:t>
      </w:r>
      <w:hyperlink r:id="rId256">
        <w:r>
          <w:rPr>
            <w:rStyle w:val="Hyperlink"/>
          </w:rPr>
          <w:t xml:space="preserve">Abhijit Bhand</w:t>
        </w:r>
      </w:hyperlink>
      <w:r>
        <w:t xml:space="preserve">;</w:t>
      </w:r>
      <w:r>
        <w:t xml:space="preserve"> </w:t>
      </w:r>
      <w:hyperlink r:id="rId257">
        <w:r>
          <w:rPr>
            <w:rStyle w:val="Hyperlink"/>
          </w:rPr>
          <w:t xml:space="preserve">iPleaders</w:t>
        </w:r>
      </w:hyperlink>
      <w:r>
        <w:t xml:space="preserve">).</w:t>
      </w:r>
    </w:p>
    <w:p>
      <w:pPr>
        <w:pStyle w:val="BodyText"/>
      </w:pPr>
      <w:r>
        <w:rPr>
          <w:b/>
          <w:bCs/>
        </w:rPr>
        <w:t xml:space="preserve">Designs are even less forgiving.</w:t>
      </w:r>
      <w:r>
        <w:t xml:space="preserve"> </w:t>
      </w:r>
      <w:r>
        <w:t xml:space="preserve">Section 4(b) has no enablement requirement at all, so</w:t>
      </w:r>
      <w:r>
        <w:t xml:space="preserve"> </w:t>
      </w:r>
      <w:r>
        <w:rPr>
          <w:b/>
          <w:bCs/>
        </w:rPr>
        <w:t xml:space="preserve">a photograph too vague to anticipate a patent claim can still be a complete disclosure of the design</w:t>
      </w:r>
      <w:r>
        <w:t xml:space="preserve">, and</w:t>
      </w:r>
      <w:r>
        <w:t xml:space="preserve"> </w:t>
      </w:r>
      <w:r>
        <w:rPr>
          <w:b/>
          <w:bCs/>
        </w:rPr>
        <w:t xml:space="preserve">Section 21’s six-month window needs a Gazette-notified exhibition AND prior notice to the Controller.</w:t>
      </w:r>
      <w:r>
        <w:t xml:space="preserve"> </w:t>
      </w:r>
      <w:r>
        <w:rPr>
          <w:i/>
          <w:iCs/>
        </w:rPr>
        <w:t xml:space="preserve">(No list of exhibitions actually notified under s.31(a) or s.21 in recent years could be located. Assume no trade show qualifies unless you have verified the Gazette notification in advance.)</w:t>
      </w:r>
    </w:p>
    <w:p>
      <w:pPr>
        <w:pStyle w:val="BodyText"/>
      </w:pPr>
      <w:r>
        <w:rPr>
          <w:b/>
          <w:bCs/>
        </w:rPr>
        <w:t xml:space="preserve">Section 32 is the only limb that might ever help you</w:t>
      </w:r>
      <w:r>
        <w:t xml:space="preserve">, and only for genuine pilot installations: public working in India within one year of priority,</w:t>
      </w:r>
      <w:r>
        <w:t xml:space="preserve"> </w:t>
      </w:r>
      <w:r>
        <w:rPr>
          <w:b/>
          <w:bCs/>
        </w:rPr>
        <w:t xml:space="preserve">for the purpose of reasonable trial only</w:t>
      </w:r>
      <w:r>
        <w:t xml:space="preserve">, where it was necessary that the working be in public.</w:t>
      </w:r>
      <w:r>
        <w:t xml:space="preserve"> </w:t>
      </w:r>
      <w:r>
        <w:rPr>
          <w:b/>
          <w:bCs/>
        </w:rPr>
        <w:t xml:space="preserve">Selling units, or installing for commercial rather than test purposes, is outside it. Do not rely on it.</w:t>
      </w:r>
    </w:p>
    <w:bookmarkEnd w:id="258"/>
    <w:bookmarkStart w:id="259" w:name="X00414576e5d34e49bbd688b16d6c6551a864f3b"/>
    <w:p>
      <w:pPr>
        <w:pStyle w:val="Heading3"/>
      </w:pPr>
      <w:r>
        <w:t xml:space="preserve">Run every external communication through four tests</w:t>
      </w:r>
    </w:p>
    <w:p>
      <w:pPr>
        <w:pStyle w:val="Compact"/>
        <w:numPr>
          <w:ilvl w:val="0"/>
          <w:numId w:val="1005"/>
        </w:numPr>
      </w:pPr>
      <w:r>
        <w:rPr>
          <w:b/>
          <w:bCs/>
        </w:rPr>
        <w:t xml:space="preserve">Does it show the product?</w:t>
      </w:r>
      <w:r>
        <w:t xml:space="preserve"> </w:t>
      </w:r>
      <w:r>
        <w:t xml:space="preserve">(photo, render, CAD, STL, drawing, physical unit, video, a slide with a picture) →</w:t>
      </w:r>
      <w:r>
        <w:t xml:space="preserve"> </w:t>
      </w:r>
      <w:r>
        <w:rPr>
          <w:b/>
          <w:bCs/>
        </w:rPr>
        <w:t xml:space="preserve">if the design application is not filed, STOP.</w:t>
      </w:r>
    </w:p>
    <w:p>
      <w:pPr>
        <w:pStyle w:val="Compact"/>
        <w:numPr>
          <w:ilvl w:val="0"/>
          <w:numId w:val="1005"/>
        </w:numPr>
      </w:pPr>
      <w:r>
        <w:rPr>
          <w:b/>
          <w:bCs/>
        </w:rPr>
        <w:t xml:space="preserve">Does it explain how it works?</w:t>
      </w:r>
      <w:r>
        <w:t xml:space="preserve"> </w:t>
      </w:r>
      <w:r>
        <w:t xml:space="preserve">(the swap mechanism, the contact/power architecture, the calibration sweep, any control method) →</w:t>
      </w:r>
      <w:r>
        <w:t xml:space="preserve"> </w:t>
      </w:r>
      <w:r>
        <w:rPr>
          <w:b/>
          <w:bCs/>
        </w:rPr>
        <w:t xml:space="preserve">if the provisional is not filed, STOP.</w:t>
      </w:r>
    </w:p>
    <w:p>
      <w:pPr>
        <w:pStyle w:val="Compact"/>
        <w:numPr>
          <w:ilvl w:val="0"/>
          <w:numId w:val="1005"/>
        </w:numPr>
      </w:pPr>
      <w:r>
        <w:rPr>
          <w:b/>
          <w:bCs/>
        </w:rPr>
        <w:t xml:space="preserve">Is the recipient under a signed NDA, signed</w:t>
      </w:r>
      <w:r>
        <w:rPr>
          <w:b/>
          <w:bCs/>
        </w:rPr>
        <w:t xml:space="preserve"> </w:t>
      </w:r>
      <w:r>
        <w:rPr>
          <w:b/>
          <w:bCs/>
          <w:i/>
          <w:iCs/>
        </w:rPr>
        <w:t xml:space="preserve">before</w:t>
      </w:r>
      <w:r>
        <w:rPr>
          <w:b/>
          <w:bCs/>
        </w:rPr>
        <w:t xml:space="preserve"> </w:t>
      </w:r>
      <w:r>
        <w:rPr>
          <w:b/>
          <w:bCs/>
        </w:rPr>
        <w:t xml:space="preserve">the material is sent?</w:t>
      </w:r>
      <w:r>
        <w:t xml:space="preserve"> </w:t>
      </w:r>
      <w:r>
        <w:t xml:space="preserve">→ if not,</w:t>
      </w:r>
      <w:r>
        <w:t xml:space="preserve"> </w:t>
      </w:r>
      <w:r>
        <w:rPr>
          <w:b/>
          <w:bCs/>
        </w:rPr>
        <w:t xml:space="preserve">STOP.</w:t>
      </w:r>
      <w:r>
        <w:t xml:space="preserve"> </w:t>
      </w:r>
      <w:r>
        <w:t xml:space="preserve">“I’ll send the NDA after”</w:t>
      </w:r>
      <w:r>
        <w:t xml:space="preserve"> </w:t>
      </w:r>
      <w:r>
        <w:t xml:space="preserve">is the same as no NDA.</w:t>
      </w:r>
    </w:p>
    <w:p>
      <w:pPr>
        <w:pStyle w:val="Compact"/>
        <w:numPr>
          <w:ilvl w:val="0"/>
          <w:numId w:val="1005"/>
        </w:numPr>
      </w:pPr>
      <w:r>
        <w:rPr>
          <w:b/>
          <w:bCs/>
        </w:rPr>
        <w:t xml:space="preserve">Could this end up anywhere you cannot delete it?</w:t>
      </w:r>
      <w:r>
        <w:t xml:space="preserve"> </w:t>
      </w:r>
      <w:r>
        <w:t xml:space="preserve">(social, crowdfunding, press, public repo, a trade show floor) →</w:t>
      </w:r>
      <w:r>
        <w:t xml:space="preserve"> </w:t>
      </w:r>
      <w:r>
        <w:rPr>
          <w:b/>
          <w:bCs/>
        </w:rPr>
        <w:t xml:space="preserve">STOP permanently until filed. Deletion does not restore novelty</w:t>
      </w:r>
      <w:r>
        <w:t xml:space="preserve"> </w:t>
      </w:r>
      <w:r>
        <w:t xml:space="preserve">— the Wayback Machine, Git mirrors and screenshots make it provable in a s.19/s.22(3) cancellation.</w:t>
      </w:r>
    </w:p>
    <w:bookmarkEnd w:id="259"/>
    <w:bookmarkStart w:id="262" w:name="the-concrete-scenarios-decided"/>
    <w:p>
      <w:pPr>
        <w:pStyle w:val="Heading3"/>
      </w:pPr>
      <w:r>
        <w:t xml:space="preserve">The concrete scenarios, decided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Patent novelty (India)</w:t>
            </w:r>
          </w:p>
        </w:tc>
        <w:tc>
          <w:tcPr/>
          <w:p>
            <w:pPr>
              <w:pStyle w:val="Compact"/>
            </w:pPr>
            <w:r>
              <w:t xml:space="preserve">Design novelty (India)</w:t>
            </w:r>
          </w:p>
        </w:tc>
        <w:tc>
          <w:tcPr/>
          <w:p>
            <w:pPr>
              <w:pStyle w:val="Compact"/>
            </w:pPr>
            <w:r>
              <w:t xml:space="preserve">What saves it</w:t>
            </w:r>
          </w:p>
        </w:tc>
      </w:tr>
      <w:tr>
        <w:tc>
          <w:tcPr/>
          <w:p>
            <w:pPr>
              <w:pStyle w:val="Compact"/>
            </w:pPr>
            <w:r>
              <w:t xml:space="preserve">Working prototype shown to</w:t>
            </w:r>
            <w:r>
              <w:t xml:space="preserve"> </w:t>
            </w:r>
            <w:r>
              <w:rPr>
                <w:b/>
                <w:bCs/>
              </w:rPr>
              <w:t xml:space="preserve">interior designers, no NDA</w:t>
            </w:r>
          </w:p>
        </w:tc>
        <w:tc>
          <w:tcPr/>
          <w:p>
            <w:pPr>
              <w:pStyle w:val="Compact"/>
            </w:pPr>
            <w:r>
              <w:rPr>
                <w:b/>
                <w:bCs/>
              </w:rPr>
              <w:t xml:space="preserve">DESTROYED</w:t>
            </w:r>
          </w:p>
        </w:tc>
        <w:tc>
          <w:tcPr/>
          <w:p>
            <w:pPr>
              <w:pStyle w:val="Compact"/>
            </w:pPr>
            <w:r>
              <w:rPr>
                <w:b/>
                <w:bCs/>
              </w:rPr>
              <w:t xml:space="preserve">DESTROYED</w:t>
            </w:r>
          </w:p>
        </w:tc>
        <w:tc>
          <w:tcPr/>
          <w:p>
            <w:pPr>
              <w:pStyle w:val="Compact"/>
            </w:pPr>
            <w:r>
              <w:rPr>
                <w:b/>
                <w:bCs/>
              </w:rPr>
              <w:t xml:space="preserve">Nothing.</w:t>
            </w:r>
            <w:r>
              <w:t xml:space="preserve"> </w:t>
            </w:r>
            <w:r>
              <w:t xml:space="preserve">This is</w:t>
            </w:r>
            <w:r>
              <w:t xml:space="preserve"> </w:t>
            </w:r>
            <w:r>
              <w:t xml:space="preserve">“use… in any other way”</w:t>
            </w:r>
            <w:r>
              <w:t xml:space="preserve"> </w:t>
            </w:r>
            <w:r>
              <w:t xml:space="preserve">under s.4(b) and an enabling public disclosure. Designers owe you no obligation of confidence.</w:t>
            </w:r>
            <w:r>
              <w:t xml:space="preserve"> </w:t>
            </w:r>
            <w:r>
              <w:rPr>
                <w:b/>
                <w:bCs/>
              </w:rPr>
              <w:t xml:space="preserve">The worst item on the list, because founders think a meeting is</w:t>
            </w:r>
            <w:r>
              <w:rPr>
                <w:b/>
                <w:bCs/>
              </w:rPr>
              <w:t xml:space="preserve"> </w:t>
            </w:r>
            <w:r>
              <w:rPr>
                <w:b/>
                <w:bCs/>
              </w:rPr>
              <w:t xml:space="preserve">“private.”</w:t>
            </w:r>
          </w:p>
        </w:tc>
      </w:tr>
      <w:tr>
        <w:tc>
          <w:tcPr/>
          <w:p>
            <w:pPr>
              <w:pStyle w:val="Compact"/>
            </w:pPr>
            <w:r>
              <w:t xml:space="preserve">Same meeting,</w:t>
            </w:r>
            <w:r>
              <w:t xml:space="preserve"> </w:t>
            </w:r>
            <w:r>
              <w:rPr>
                <w:b/>
                <w:bCs/>
              </w:rPr>
              <w:t xml:space="preserve">signed NDA</w:t>
            </w:r>
          </w:p>
        </w:tc>
        <w:tc>
          <w:tcPr/>
          <w:p>
            <w:pPr>
              <w:pStyle w:val="Compact"/>
            </w:pPr>
            <w:r>
              <w:rPr>
                <w:b/>
                <w:bCs/>
              </w:rPr>
              <w:t xml:space="preserve">SAFE</w:t>
            </w:r>
          </w:p>
        </w:tc>
        <w:tc>
          <w:tcPr/>
          <w:p>
            <w:pPr>
              <w:pStyle w:val="Compact"/>
            </w:pPr>
            <w:r>
              <w:rPr>
                <w:b/>
                <w:bCs/>
              </w:rPr>
              <w:t xml:space="preserve">SAFE</w:t>
            </w:r>
          </w:p>
        </w:tc>
        <w:tc>
          <w:tcPr/>
          <w:p>
            <w:pPr>
              <w:pStyle w:val="Compact"/>
            </w:pPr>
            <w:r>
              <w:t xml:space="preserve">The NDA. Disclosure in circumstances importing an obligation of confidence is not</w:t>
            </w:r>
            <w:r>
              <w:t xml:space="preserve"> </w:t>
            </w:r>
            <w:r>
              <w:t xml:space="preserve">“to the public.”</w:t>
            </w:r>
            <w:r>
              <w:t xml:space="preserve"> </w:t>
            </w:r>
            <w:r>
              <w:rPr>
                <w:b/>
                <w:bCs/>
              </w:rPr>
              <w:t xml:space="preserve">Keep the signed copy and an attendance record.</w:t>
            </w:r>
          </w:p>
        </w:tc>
      </w:tr>
      <w:tr>
        <w:tc>
          <w:tcPr/>
          <w:p>
            <w:pPr>
              <w:pStyle w:val="Compact"/>
            </w:pPr>
            <w:r>
              <w:t xml:space="preserve">Photo of the enclosure on</w:t>
            </w:r>
            <w:r>
              <w:t xml:space="preserve"> </w:t>
            </w:r>
            <w:r>
              <w:rPr>
                <w:b/>
                <w:bCs/>
              </w:rPr>
              <w:t xml:space="preserve">Instagram / X / LinkedIn</w:t>
            </w:r>
          </w:p>
        </w:tc>
        <w:tc>
          <w:tcPr/>
          <w:p>
            <w:pPr>
              <w:pStyle w:val="Compact"/>
            </w:pPr>
            <w:r>
              <w:rPr>
                <w:b/>
                <w:bCs/>
              </w:rPr>
              <w:t xml:space="preserve">DESTROYED</w:t>
            </w:r>
            <w:r>
              <w:t xml:space="preserve"> </w:t>
            </w:r>
            <w:r>
              <w:t xml:space="preserve">(if enabling)</w:t>
            </w:r>
          </w:p>
        </w:tc>
        <w:tc>
          <w:tcPr/>
          <w:p>
            <w:pPr>
              <w:pStyle w:val="Compact"/>
            </w:pPr>
            <w:r>
              <w:rPr>
                <w:b/>
                <w:bCs/>
              </w:rPr>
              <w:t xml:space="preserve">DESTROYED</w:t>
            </w:r>
          </w:p>
        </w:tc>
        <w:tc>
          <w:tcPr/>
          <w:p>
            <w:pPr>
              <w:pStyle w:val="Compact"/>
            </w:pPr>
            <w:r>
              <w:rPr>
                <w:b/>
                <w:bCs/>
              </w:rPr>
              <w:t xml:space="preserve">Nothing.</w:t>
            </w:r>
            <w:r>
              <w:t xml:space="preserve"> </w:t>
            </w:r>
            <w:r>
              <w:t xml:space="preserve">Worldwide, dated, archived publication in tangible form.</w:t>
            </w:r>
            <w:r>
              <w:t xml:space="preserve"> </w:t>
            </w:r>
            <w:r>
              <w:rPr>
                <w:b/>
                <w:bCs/>
              </w:rPr>
              <w:t xml:space="preserve">There is no de minimis</w:t>
            </w:r>
            <w:r>
              <w:t xml:space="preserve"> </w:t>
            </w:r>
            <w:r>
              <w:t xml:space="preserve">— Crocs was cancelled partly on a website from 2002.</w:t>
            </w:r>
          </w:p>
        </w:tc>
      </w:tr>
      <w:tr>
        <w:tc>
          <w:tcPr/>
          <w:p>
            <w:pPr>
              <w:pStyle w:val="Compact"/>
            </w:pPr>
            <w:r>
              <w:rPr>
                <w:b/>
                <w:bCs/>
              </w:rPr>
              <w:t xml:space="preserve">Crowdfunding page</w:t>
            </w:r>
            <w:r>
              <w:t xml:space="preserve"> </w:t>
            </w:r>
            <w:r>
              <w:t xml:space="preserve">(Kickstarter/Indiegogo/Ketto) with renders and specs</w:t>
            </w:r>
          </w:p>
        </w:tc>
        <w:tc>
          <w:tcPr/>
          <w:p>
            <w:pPr>
              <w:pStyle w:val="Compact"/>
            </w:pPr>
            <w:r>
              <w:rPr>
                <w:b/>
                <w:bCs/>
              </w:rPr>
              <w:t xml:space="preserve">DESTROYED</w:t>
            </w:r>
          </w:p>
        </w:tc>
        <w:tc>
          <w:tcPr/>
          <w:p>
            <w:pPr>
              <w:pStyle w:val="Compact"/>
            </w:pPr>
            <w:r>
              <w:rPr>
                <w:b/>
                <w:bCs/>
              </w:rPr>
              <w:t xml:space="preserve">DESTROYED</w:t>
            </w:r>
          </w:p>
        </w:tc>
        <w:tc>
          <w:tcPr/>
          <w:p>
            <w:pPr>
              <w:pStyle w:val="Compact"/>
            </w:pPr>
            <w:r>
              <w:rPr>
                <w:b/>
                <w:bCs/>
              </w:rPr>
              <w:t xml:space="preserve">Nothing. The single most destructive item on the list</w:t>
            </w:r>
            <w:r>
              <w:t xml:space="preserve"> </w:t>
            </w:r>
            <w:r>
              <w:t xml:space="preserve">— renders disclose the design, specs disclose the invention, and the page is permanently archived and timestamped.</w:t>
            </w:r>
            <w:r>
              <w:t xml:space="preserve"> </w:t>
            </w:r>
            <w:r>
              <w:rPr>
                <w:b/>
                <w:bCs/>
              </w:rPr>
              <w:t xml:space="preserve">Crowdfunding must come after filing.</w:t>
            </w:r>
          </w:p>
        </w:tc>
      </w:tr>
      <w:tr>
        <w:tc>
          <w:tcPr/>
          <w:p>
            <w:pPr>
              <w:pStyle w:val="Compact"/>
            </w:pPr>
            <w:r>
              <w:rPr>
                <w:b/>
                <w:bCs/>
              </w:rPr>
              <w:t xml:space="preserve">Password-protected page</w:t>
            </w:r>
            <w:r>
              <w:t xml:space="preserve"> </w:t>
            </w:r>
            <w:r>
              <w:t xml:space="preserve">for a handful of named investors</w:t>
            </w:r>
          </w:p>
        </w:tc>
        <w:tc>
          <w:tcPr/>
          <w:p>
            <w:pPr>
              <w:pStyle w:val="Compact"/>
            </w:pPr>
            <w:r>
              <w:rPr>
                <w:b/>
                <w:bCs/>
              </w:rPr>
              <w:t xml:space="preserve">SAFE if properly controlled</w:t>
            </w:r>
          </w:p>
        </w:tc>
        <w:tc>
          <w:tcPr/>
          <w:p>
            <w:pPr>
              <w:pStyle w:val="Compact"/>
            </w:pPr>
            <w:r>
              <w:rPr>
                <w:b/>
                <w:bCs/>
              </w:rPr>
              <w:t xml:space="preserve">SAFE if properly controlled</w:t>
            </w:r>
          </w:p>
        </w:tc>
        <w:tc>
          <w:tcPr/>
          <w:p>
            <w:pPr>
              <w:pStyle w:val="Compact"/>
            </w:pPr>
            <w:r>
              <w:t xml:space="preserve">Access limited to identified persons</w:t>
            </w:r>
            <w:r>
              <w:t xml:space="preserve"> </w:t>
            </w:r>
            <w:r>
              <w:rPr>
                <w:b/>
                <w:bCs/>
              </w:rPr>
              <w:t xml:space="preserve">under NDA or a clear confidentiality notice, with a log of who was given access.</w:t>
            </w:r>
            <w:r>
              <w:t xml:space="preserve"> </w:t>
            </w:r>
            <w:r>
              <w:t xml:space="preserve">A password alone is not enough if anyone can request it or forward it.</w:t>
            </w:r>
            <w:r>
              <w:t xml:space="preserve"> </w:t>
            </w:r>
            <w:r>
              <w:rPr>
                <w:i/>
                <w:iCs/>
              </w:rPr>
              <w:t xml:space="preserve">(No Indian authority squarely decides this — it is the safest practice, not a settled safe harbour.)</w:t>
            </w:r>
          </w:p>
        </w:tc>
      </w:tr>
      <w:tr>
        <w:tc>
          <w:tcPr/>
          <w:p>
            <w:pPr>
              <w:pStyle w:val="Compact"/>
            </w:pPr>
            <w:r>
              <w:rPr>
                <w:b/>
                <w:bCs/>
              </w:rPr>
              <w:t xml:space="preserve">Pitch deck emailed to VCs, no NDA</w:t>
            </w:r>
          </w:p>
        </w:tc>
        <w:tc>
          <w:tcPr/>
          <w:p>
            <w:pPr>
              <w:pStyle w:val="Compact"/>
            </w:pPr>
            <w:r>
              <w:rPr>
                <w:b/>
                <w:bCs/>
              </w:rPr>
              <w:t xml:space="preserve">DESTROYED (high risk)</w:t>
            </w:r>
          </w:p>
        </w:tc>
        <w:tc>
          <w:tcPr/>
          <w:p>
            <w:pPr>
              <w:pStyle w:val="Compact"/>
            </w:pPr>
            <w:r>
              <w:rPr>
                <w:b/>
                <w:bCs/>
              </w:rPr>
              <w:t xml:space="preserve">DESTROYED (high risk)</w:t>
            </w:r>
          </w:p>
        </w:tc>
        <w:tc>
          <w:tcPr/>
          <w:p>
            <w:pPr>
              <w:pStyle w:val="Compact"/>
            </w:pPr>
            <w:r>
              <w:t xml:space="preserve">Nothing reliable — VCs routinely refuse NDAs and forward decks.</w:t>
            </w:r>
            <w:r>
              <w:t xml:space="preserve"> </w:t>
            </w:r>
            <w:r>
              <w:rPr>
                <w:b/>
                <w:bCs/>
              </w:rPr>
              <w:t xml:space="preserve">Mitigation: a teaser deck with no product imagery and no mechanism detail; put images and mechanism behind an NDA-gated data room.</w:t>
            </w:r>
          </w:p>
        </w:tc>
      </w:tr>
      <w:tr>
        <w:tc>
          <w:tcPr/>
          <w:p>
            <w:pPr>
              <w:pStyle w:val="Compact"/>
            </w:pPr>
            <w:r>
              <w:rPr>
                <w:b/>
                <w:bCs/>
              </w:rPr>
              <w:t xml:space="preserve">Trade show demo — India or abroad</w:t>
            </w:r>
          </w:p>
        </w:tc>
        <w:tc>
          <w:tcPr/>
          <w:p>
            <w:pPr>
              <w:pStyle w:val="Compact"/>
            </w:pPr>
            <w:r>
              <w:rPr>
                <w:b/>
                <w:bCs/>
              </w:rPr>
              <w:t xml:space="preserve">DESTROYED</w:t>
            </w:r>
            <w:r>
              <w:t xml:space="preserve"> </w:t>
            </w:r>
            <w:r>
              <w:t xml:space="preserve">unless Gazette-notified under s.31(a)</w:t>
            </w:r>
            <w:r>
              <w:t xml:space="preserve"> </w:t>
            </w:r>
            <w:r>
              <w:rPr>
                <w:i/>
                <w:iCs/>
              </w:rPr>
              <w:t xml:space="preserve">and</w:t>
            </w:r>
            <w:r>
              <w:t xml:space="preserve"> </w:t>
            </w:r>
            <w:r>
              <w:t xml:space="preserve">filed within 12 months</w:t>
            </w:r>
          </w:p>
        </w:tc>
        <w:tc>
          <w:tcPr/>
          <w:p>
            <w:pPr>
              <w:pStyle w:val="Compact"/>
            </w:pPr>
            <w:r>
              <w:rPr>
                <w:b/>
                <w:bCs/>
              </w:rPr>
              <w:t xml:space="preserve">DESTROYED</w:t>
            </w:r>
            <w:r>
              <w:t xml:space="preserve"> </w:t>
            </w:r>
            <w:r>
              <w:t xml:space="preserve">unless Gazette-notified under s.21</w:t>
            </w:r>
            <w:r>
              <w:t xml:space="preserve"> </w:t>
            </w:r>
            <w:r>
              <w:rPr>
                <w:i/>
                <w:iCs/>
              </w:rPr>
              <w:t xml:space="preserve">and</w:t>
            </w:r>
            <w:r>
              <w:t xml:space="preserve"> </w:t>
            </w:r>
            <w:r>
              <w:t xml:space="preserve">prior notice given to the Controller</w:t>
            </w:r>
            <w:r>
              <w:t xml:space="preserve"> </w:t>
            </w:r>
            <w:r>
              <w:rPr>
                <w:i/>
                <w:iCs/>
              </w:rPr>
              <w:t xml:space="preserve">and</w:t>
            </w:r>
            <w:r>
              <w:t xml:space="preserve"> </w:t>
            </w:r>
            <w:r>
              <w:t xml:space="preserve">filed within 6 months</w:t>
            </w:r>
          </w:p>
        </w:tc>
        <w:tc>
          <w:tcPr/>
          <w:p>
            <w:pPr>
              <w:pStyle w:val="Compact"/>
            </w:pPr>
            <w:r>
              <w:t xml:space="preserve">Same answer either way — s.4(b) says</w:t>
            </w:r>
            <w:r>
              <w:t xml:space="preserve"> </w:t>
            </w:r>
            <w:r>
              <w:t xml:space="preserve">“anywhere in… any other country,”</w:t>
            </w:r>
            <w:r>
              <w:t xml:space="preserve"> </w:t>
            </w:r>
            <w:r>
              <w:t xml:space="preserve">and both exceptions need</w:t>
            </w:r>
            <w:r>
              <w:t xml:space="preserve"> </w:t>
            </w:r>
            <w:r>
              <w:rPr>
                <w:b/>
                <w:bCs/>
              </w:rPr>
              <w:t xml:space="preserve">Indian Central Government notification</w:t>
            </w:r>
            <w:r>
              <w:t xml:space="preserve">, which a foreign show will never have.</w:t>
            </w:r>
            <w:r>
              <w:t xml:space="preserve"> </w:t>
            </w:r>
            <w:r>
              <w:rPr>
                <w:b/>
                <w:bCs/>
              </w:rPr>
              <w:t xml:space="preserve">Assume no show is covered.</w:t>
            </w:r>
          </w:p>
        </w:tc>
      </w:tr>
      <w:tr>
        <w:tc>
          <w:tcPr/>
          <w:p>
            <w:pPr>
              <w:pStyle w:val="Compact"/>
            </w:pPr>
            <w:r>
              <w:rPr>
                <w:b/>
                <w:bCs/>
              </w:rPr>
              <w:t xml:space="preserve">Public GitHub repo</w:t>
            </w:r>
            <w:r>
              <w:t xml:space="preserve"> </w:t>
            </w:r>
            <w:r>
              <w:t xml:space="preserve">with firmware and enclosure STLs</w:t>
            </w:r>
          </w:p>
        </w:tc>
        <w:tc>
          <w:tcPr/>
          <w:p>
            <w:pPr>
              <w:pStyle w:val="Compact"/>
            </w:pPr>
            <w:r>
              <w:rPr>
                <w:b/>
                <w:bCs/>
              </w:rPr>
              <w:t xml:space="preserve">DESTROYED</w:t>
            </w:r>
          </w:p>
        </w:tc>
        <w:tc>
          <w:tcPr/>
          <w:p>
            <w:pPr>
              <w:pStyle w:val="Compact"/>
            </w:pPr>
            <w:r>
              <w:rPr>
                <w:b/>
                <w:bCs/>
              </w:rPr>
              <w:t xml:space="preserve">DESTROYED</w:t>
            </w:r>
          </w:p>
        </w:tc>
        <w:tc>
          <w:tcPr/>
          <w:p>
            <w:pPr>
              <w:pStyle w:val="Compact"/>
            </w:pPr>
            <w:r>
              <w:rPr>
                <w:b/>
                <w:bCs/>
              </w:rPr>
              <w:t xml:space="preserve">Nothing.</w:t>
            </w:r>
            <w:r>
              <w:t xml:space="preserve"> </w:t>
            </w:r>
            <w:r>
              <w:t xml:space="preserve">STLs publish the shape; firmware publishes any software-implemented method. Git history is timestamped and mirrored — irreversible.</w:t>
            </w:r>
            <w:r>
              <w:t xml:space="preserve"> </w:t>
            </w:r>
            <w:r>
              <w:rPr>
                <w:b/>
                <w:bCs/>
              </w:rPr>
              <w:t xml:space="preserve">Keep it private until filing and audit for accidental public forks.</w:t>
            </w:r>
          </w:p>
        </w:tc>
      </w:tr>
      <w:tr>
        <w:tc>
          <w:tcPr/>
          <w:p>
            <w:pPr>
              <w:pStyle w:val="Compact"/>
            </w:pPr>
            <w:r>
              <w:rPr>
                <w:b/>
                <w:bCs/>
              </w:rPr>
              <w:t xml:space="preserve">Selling 10 units to friends</w:t>
            </w:r>
            <w:r>
              <w:t xml:space="preserve"> </w:t>
            </w:r>
            <w:r>
              <w:t xml:space="preserve">to test</w:t>
            </w:r>
          </w:p>
        </w:tc>
        <w:tc>
          <w:tcPr/>
          <w:p>
            <w:pPr>
              <w:pStyle w:val="Compact"/>
            </w:pPr>
            <w:r>
              <w:rPr>
                <w:b/>
                <w:bCs/>
              </w:rPr>
              <w:t xml:space="preserve">Probably DESTROYED</w:t>
            </w:r>
            <w:r>
              <w:t xml:space="preserve"> </w:t>
            </w:r>
            <w:r>
              <w:t xml:space="preserve">— s.32</w:t>
            </w:r>
            <w:r>
              <w:t xml:space="preserve"> </w:t>
            </w:r>
            <w:r>
              <w:t xml:space="preserve">“reasonable trial”</w:t>
            </w:r>
            <w:r>
              <w:t xml:space="preserve"> </w:t>
            </w:r>
            <w:r>
              <w:t xml:space="preserve">is the only argument and it weakens once money changes hands</w:t>
            </w:r>
          </w:p>
        </w:tc>
        <w:tc>
          <w:tcPr/>
          <w:p>
            <w:pPr>
              <w:pStyle w:val="Compact"/>
            </w:pPr>
            <w:r>
              <w:rPr>
                <w:b/>
                <w:bCs/>
              </w:rPr>
              <w:t xml:space="preserve">DESTROYED</w:t>
            </w:r>
            <w:r>
              <w:t xml:space="preserve"> </w:t>
            </w:r>
            <w:r>
              <w:t xml:space="preserve">— the Designs Act has no trial exception at all</w:t>
            </w:r>
          </w:p>
        </w:tc>
        <w:tc>
          <w:tcPr/>
          <w:p>
            <w:pPr>
              <w:pStyle w:val="Compact"/>
            </w:pPr>
            <w:r>
              <w:rPr>
                <w:b/>
                <w:bCs/>
              </w:rPr>
              <w:t xml:space="preserve">If you must field-test: written test agreements with confidentiality terms, free of charge, units returned.</w:t>
            </w:r>
          </w:p>
        </w:tc>
      </w:tr>
      <w:tr>
        <w:tc>
          <w:tcPr/>
          <w:p>
            <w:pPr>
              <w:pStyle w:val="Compact"/>
            </w:pPr>
            <w:r>
              <w:rPr>
                <w:b/>
                <w:bCs/>
              </w:rPr>
              <w:t xml:space="preserve">Press article or podcast</w:t>
            </w:r>
            <w:r>
              <w:t xml:space="preserve"> </w:t>
            </w:r>
            <w:r>
              <w:t xml:space="preserve">describing how it works</w:t>
            </w:r>
          </w:p>
        </w:tc>
        <w:tc>
          <w:tcPr/>
          <w:p>
            <w:pPr>
              <w:pStyle w:val="Compact"/>
            </w:pPr>
            <w:r>
              <w:rPr>
                <w:b/>
                <w:bCs/>
              </w:rPr>
              <w:t xml:space="preserve">DESTROYED</w:t>
            </w:r>
            <w:r>
              <w:t xml:space="preserve"> </w:t>
            </w:r>
            <w:r>
              <w:t xml:space="preserve">(to the extent enabling)</w:t>
            </w:r>
          </w:p>
        </w:tc>
        <w:tc>
          <w:tcPr/>
          <w:p>
            <w:pPr>
              <w:pStyle w:val="Compact"/>
            </w:pPr>
            <w:r>
              <w:rPr>
                <w:b/>
                <w:bCs/>
              </w:rPr>
              <w:t xml:space="preserve">DESTROYED</w:t>
            </w:r>
            <w:r>
              <w:t xml:space="preserve"> </w:t>
            </w:r>
            <w:r>
              <w:t xml:space="preserve">(if it shows or describes the appearance)</w:t>
            </w:r>
          </w:p>
        </w:tc>
        <w:tc>
          <w:tcPr/>
          <w:p>
            <w:pPr>
              <w:pStyle w:val="Compact"/>
            </w:pPr>
            <w:r>
              <w:rPr>
                <w:b/>
                <w:bCs/>
              </w:rPr>
              <w:t xml:space="preserve">Nothing, and it is uncontrollable.</w:t>
            </w:r>
            <w:r>
              <w:t xml:space="preserve"> </w:t>
            </w:r>
            <w:r>
              <w:t xml:space="preserve">Embargo agreements are contractual comfort only — if the piece runs early you have a damages claim, not a patent.</w:t>
            </w:r>
          </w:p>
        </w:tc>
      </w:tr>
    </w:tbl>
    <w:p>
      <w:pPr>
        <w:pStyle w:val="BodyText"/>
      </w:pPr>
      <w:r>
        <w:rPr>
          <w:b/>
          <w:bCs/>
        </w:rPr>
        <w:t xml:space="preserve">Two cross-cutting points.</w:t>
      </w:r>
      <w:r>
        <w:t xml:space="preserve"> </w:t>
      </w:r>
      <w:r>
        <w:t xml:space="preserve">The</w:t>
      </w:r>
      <w:r>
        <w:t xml:space="preserve"> </w:t>
      </w:r>
      <w:r>
        <w:rPr>
          <w:b/>
          <w:bCs/>
        </w:rPr>
        <w:t xml:space="preserve">design right is more fragile than the patent right</w:t>
      </w:r>
      <w:r>
        <w:t xml:space="preserve">, because the Designs Act has no enablement requirement — a single marketing render can be fatal to the design and survivable for the patent. And</w:t>
      </w:r>
      <w:r>
        <w:t xml:space="preserve"> </w:t>
      </w:r>
      <w:r>
        <w:rPr>
          <w:b/>
          <w:bCs/>
        </w:rPr>
        <w:t xml:space="preserve">an NDA is necessary but not sufficient</w:t>
      </w:r>
      <w:r>
        <w:t xml:space="preserve">: if the recipient breaches and publishes,</w:t>
      </w:r>
      <w:r>
        <w:t xml:space="preserve"> </w:t>
      </w:r>
      <w:r>
        <w:rPr>
          <w:b/>
          <w:bCs/>
        </w:rPr>
        <w:t xml:space="preserve">design novelty is destroyed as a matter of fact</w:t>
      </w:r>
      <w:r>
        <w:t xml:space="preserve"> </w:t>
      </w:r>
      <w:r>
        <w:t xml:space="preserve">(s.4(b) asks whether the design was disclosed, not whose fault it was) and you are left suing on the contract. For patents there is a narrow argument that</w:t>
      </w:r>
      <w:r>
        <w:t xml:space="preserve"> </w:t>
      </w:r>
      <w:r>
        <w:rPr>
          <w:b/>
          <w:bCs/>
        </w:rPr>
        <w:t xml:space="preserve">s.29 and s.31(c)</w:t>
      </w:r>
      <w:r>
        <w:t xml:space="preserve"> </w:t>
      </w:r>
      <w:r>
        <w:t xml:space="preserve">treat disclosures made</w:t>
      </w:r>
      <w:r>
        <w:t xml:space="preserve"> </w:t>
      </w:r>
      <w:r>
        <w:rPr>
          <w:b/>
          <w:bCs/>
        </w:rPr>
        <w:t xml:space="preserve">without the applicant’s consent</w:t>
      </w:r>
      <w:r>
        <w:t xml:space="preserve"> </w:t>
      </w:r>
      <w:r>
        <w:t xml:space="preserve">as non-anticipating —</w:t>
      </w:r>
      <w:r>
        <w:t xml:space="preserve"> </w:t>
      </w:r>
      <w:r>
        <w:rPr>
          <w:b/>
          <w:bCs/>
        </w:rPr>
        <w:t xml:space="preserve">but no Indian case law applying this to rescue an NDA breach was found. Treat it as an argument, not a safety net.</w:t>
      </w:r>
      <w:r>
        <w:t xml:space="preserve"> </w:t>
      </w:r>
      <w:r>
        <w:t xml:space="preserve">The only disclosure safe regardless of the counterparty’s behaviour is one made after filing.</w:t>
      </w:r>
    </w:p>
    <w:p>
      <w:pPr>
        <w:pStyle w:val="BodyText"/>
      </w:pPr>
      <w:r>
        <w:rPr>
          <w:b/>
          <w:bCs/>
        </w:rPr>
        <w:t xml:space="preserve">Your NDA must contain, and generic templates omit, an express statement that the disclosure is made in confidence and does not constitute publication or public disclosure for the purposes of any patent or design law, in India or elsewhere.</w:t>
      </w:r>
      <w:r>
        <w:t xml:space="preserve"> </w:t>
      </w:r>
      <w:r>
        <w:t xml:space="preserve">Also: a definition of Confidential Information covering the</w:t>
      </w:r>
      <w:r>
        <w:t xml:space="preserve"> </w:t>
      </w:r>
      <w:r>
        <w:rPr>
          <w:i/>
          <w:iCs/>
        </w:rPr>
        <w:t xml:space="preserve">appearance</w:t>
      </w:r>
      <w:r>
        <w:t xml:space="preserve"> </w:t>
      </w:r>
      <w:r>
        <w:t xml:space="preserve">as well as the mechanism (CAD, renders, STLs, photographs, physical prototypes, dimensions, the fact of the three-layer architecture, firmware, BOM, supplier names); no-reverse-engineering, no-manufacture and</w:t>
      </w:r>
      <w:r>
        <w:t xml:space="preserve"> </w:t>
      </w:r>
      <w:r>
        <w:rPr>
          <w:b/>
          <w:bCs/>
        </w:rPr>
        <w:t xml:space="preserve">no-filing</w:t>
      </w:r>
      <w:r>
        <w:t xml:space="preserve"> </w:t>
      </w:r>
      <w:r>
        <w:t xml:space="preserve">clauses; return or destruction of materials</w:t>
      </w:r>
      <w:r>
        <w:t xml:space="preserve"> </w:t>
      </w:r>
      <w:r>
        <w:rPr>
          <w:b/>
          <w:bCs/>
        </w:rPr>
        <w:t xml:space="preserve">including physical prototypes</w:t>
      </w:r>
      <w:r>
        <w:t xml:space="preserve">; mechanics for confirming oral disclosures in writing within a stated period (otherwise demos fall outside the definition); survival at least until your applications publish; named recipients with need-to-know control; an acknowledgement that damages are inadequate and injunctive relief is available (this materially improves your chance of an interim injunction); Indian governing law and a named forum; and liquidated damages or an indemnity, because proving loss of novelty as quantified loss is very hard.</w:t>
      </w:r>
    </w:p>
    <w:p>
      <w:pPr>
        <w:pStyle w:val="BodyText"/>
      </w:pPr>
      <w:r>
        <w:rPr>
          <w:b/>
          <w:bCs/>
        </w:rPr>
        <w:t xml:space="preserve">One consolation.</w:t>
      </w:r>
      <w:r>
        <w:t xml:space="preserve"> </w:t>
      </w:r>
      <w:r>
        <w:t xml:space="preserve">If a disclosure has already happened,</w:t>
      </w:r>
      <w:r>
        <w:t xml:space="preserve"> </w:t>
      </w:r>
      <w:r>
        <w:rPr>
          <w:b/>
          <w:bCs/>
        </w:rPr>
        <w:t xml:space="preserve">India is lost but the position abroad may not be</w:t>
      </w:r>
      <w:r>
        <w:t xml:space="preserve"> </w:t>
      </w:r>
      <w:r>
        <w:t xml:space="preserve">— the EU and UK give 12-month design grace periods and the US gives a 12-month patent grace period.</w:t>
      </w:r>
      <w:r>
        <w:t xml:space="preserve"> </w:t>
      </w:r>
      <w:r>
        <w:rPr>
          <w:i/>
          <w:iCs/>
        </w:rPr>
        <w:t xml:space="preserve">(Those specific figures were not independently verified in this research and should be checked before you rely on them —</w:t>
      </w:r>
      <w:r>
        <w:rPr>
          <w:i/>
          <w:iCs/>
        </w:rPr>
        <w:t xml:space="preserve"> </w:t>
      </w:r>
      <w:hyperlink r:id="rId260">
        <w:r>
          <w:rPr>
            <w:rStyle w:val="Hyperlink"/>
            <w:i/>
            <w:iCs/>
          </w:rPr>
          <w:t xml:space="preserve">Mewburn</w:t>
        </w:r>
      </w:hyperlink>
      <w:r>
        <w:rPr>
          <w:i/>
          <w:iCs/>
        </w:rPr>
        <w:t xml:space="preserve">;</w:t>
      </w:r>
      <w:r>
        <w:rPr>
          <w:i/>
          <w:iCs/>
        </w:rPr>
        <w:t xml:space="preserve"> </w:t>
      </w:r>
      <w:hyperlink r:id="rId261">
        <w:r>
          <w:rPr>
            <w:rStyle w:val="Hyperlink"/>
            <w:i/>
            <w:iCs/>
          </w:rPr>
          <w:t xml:space="preserve">Lexology</w:t>
        </w:r>
      </w:hyperlink>
      <w:r>
        <w:rPr>
          <w:i/>
          <w:iCs/>
        </w:rPr>
        <w:t xml:space="preserve">.)</w:t>
      </w:r>
      <w:r>
        <w:t xml:space="preserve"> </w:t>
      </w:r>
      <w:r>
        <w:t xml:space="preserve">That asymmetry is itself a reason to check before assuming the whole programme is dead.</w:t>
      </w:r>
    </w:p>
    <w:p>
      <w:r>
        <w:pict>
          <v:rect style="width:0;height:1.5pt" o:hralign="center" o:hrstd="t" o:hr="t"/>
        </w:pict>
      </w:r>
    </w:p>
    <w:bookmarkEnd w:id="262"/>
    <w:bookmarkEnd w:id="263"/>
    <w:bookmarkStart w:id="264" w:name="d-questions-to-take-to-a-patent-agent"/>
    <w:p>
      <w:pPr>
        <w:pStyle w:val="Heading2"/>
      </w:pPr>
      <w:r>
        <w:t xml:space="preserve">(d) QUESTIONS TO TAKE TO A PATENT AGENT</w:t>
      </w:r>
    </w:p>
    <w:p>
      <w:pPr>
        <w:pStyle w:val="FirstParagraph"/>
      </w:pPr>
      <w:r>
        <w:rPr>
          <w:b/>
          <w:bCs/>
        </w:rPr>
        <w:t xml:space="preserve">On Section 3(k) and drafting</w:t>
      </w:r>
    </w:p>
    <w:p>
      <w:pPr>
        <w:pStyle w:val="Compact"/>
        <w:numPr>
          <w:ilvl w:val="0"/>
          <w:numId w:val="1006"/>
        </w:numPr>
      </w:pPr>
      <w:r>
        <w:t xml:space="preserve">Does</w:t>
      </w:r>
      <w:r>
        <w:t xml:space="preserve"> </w:t>
      </w:r>
      <w:r>
        <w:rPr>
          <w:b/>
          <w:bCs/>
        </w:rPr>
        <w:t xml:space="preserve">Annexure I to the 2025 CRI Guidelines</w:t>
      </w:r>
      <w:r>
        <w:t xml:space="preserve"> </w:t>
      </w:r>
      <w:r>
        <w:t xml:space="preserve">contain a worked example on a sensor-driven actuator or control loop? If it does, what does it say?</w:t>
      </w:r>
      <w:r>
        <w:t xml:space="preserve"> </w:t>
      </w:r>
      <w:r>
        <w:rPr>
          <w:i/>
          <w:iCs/>
        </w:rPr>
        <w:t xml:space="preserve">(Nobody on this brief could read it, and it may be close to dispositive.)</w:t>
      </w:r>
    </w:p>
    <w:p>
      <w:pPr>
        <w:pStyle w:val="Compact"/>
        <w:numPr>
          <w:ilvl w:val="0"/>
          <w:numId w:val="1006"/>
        </w:numPr>
      </w:pPr>
      <w:r>
        <w:t xml:space="preserve">What is the</w:t>
      </w:r>
      <w:r>
        <w:t xml:space="preserve"> </w:t>
      </w:r>
      <w:r>
        <w:rPr>
          <w:b/>
          <w:bCs/>
        </w:rPr>
        <w:t xml:space="preserve">final status and date of the 2025 CRI Guidelines</w:t>
      </w:r>
      <w:r>
        <w:t xml:space="preserve"> </w:t>
      </w:r>
      <w:r>
        <w:t xml:space="preserve">— draft 25 March, v2.0 June, or a final July 2025 version, and has anything been issued since September 2025?</w:t>
      </w:r>
    </w:p>
    <w:p>
      <w:pPr>
        <w:pStyle w:val="Compact"/>
        <w:numPr>
          <w:ilvl w:val="0"/>
          <w:numId w:val="1006"/>
        </w:numPr>
      </w:pPr>
      <w:r>
        <w:t xml:space="preserve">Pull</w:t>
      </w:r>
      <w:r>
        <w:t xml:space="preserve"> </w:t>
      </w:r>
      <w:r>
        <w:rPr>
          <w:b/>
          <w:bCs/>
        </w:rPr>
        <w:t xml:space="preserve">10–15 granted Indian claim sets</w:t>
      </w:r>
      <w:r>
        <w:t xml:space="preserve"> </w:t>
      </w:r>
      <w:r>
        <w:t xml:space="preserve">from InPASS or Google Patents</w:t>
      </w:r>
      <w:r>
        <w:t xml:space="preserve"> </w:t>
      </w:r>
      <w:r>
        <w:rPr>
          <w:rStyle w:val="VerbatimChar"/>
        </w:rPr>
        <w:t xml:space="preserve">country:IN</w:t>
      </w:r>
      <w:r>
        <w:t xml:space="preserve"> </w:t>
      </w:r>
      <w:r>
        <w:t xml:space="preserve">for Signify, Koninklijke Philips, Lutron, Siemens, Honeywell, Johnson Controls and Robert Bosch in</w:t>
      </w:r>
      <w:r>
        <w:t xml:space="preserve"> </w:t>
      </w:r>
      <w:r>
        <w:rPr>
          <w:b/>
          <w:bCs/>
        </w:rPr>
        <w:t xml:space="preserve">IPC H05B 47/xx and F24F 11/xx</w:t>
      </w:r>
      <w:r>
        <w:t xml:space="preserve">, and tell me which claim architectures issued</w:t>
      </w:r>
      <w:r>
        <w:t xml:space="preserve"> </w:t>
      </w:r>
      <w:r>
        <w:rPr>
          <w:b/>
          <w:bCs/>
        </w:rPr>
        <w:t xml:space="preserve">without</w:t>
      </w:r>
      <w:r>
        <w:t xml:space="preserve"> </w:t>
      </w:r>
      <w:r>
        <w:t xml:space="preserve">a 3(k) amendment. Mirror the ones that did.</w:t>
      </w:r>
    </w:p>
    <w:p>
      <w:pPr>
        <w:pStyle w:val="Compact"/>
        <w:numPr>
          <w:ilvl w:val="0"/>
          <w:numId w:val="1006"/>
        </w:numPr>
      </w:pPr>
      <w:r>
        <w:t xml:space="preserve">Quote me the</w:t>
      </w:r>
      <w:r>
        <w:t xml:space="preserve"> </w:t>
      </w:r>
      <w:r>
        <w:rPr>
          <w:b/>
          <w:bCs/>
        </w:rPr>
        <w:t xml:space="preserve">consolidated Section 3(k) principles from</w:t>
      </w:r>
      <w:r>
        <w:rPr>
          <w:b/>
          <w:bCs/>
        </w:rPr>
        <w:t xml:space="preserve"> </w:t>
      </w:r>
      <w:r>
        <w:rPr>
          <w:b/>
          <w:bCs/>
          <w:i/>
          <w:iCs/>
        </w:rPr>
        <w:t xml:space="preserve">Lava v. Ericsson</w:t>
      </w:r>
      <w:r>
        <w:t xml:space="preserve"> </w:t>
      </w:r>
      <w:r>
        <w:t xml:space="preserve">and</w:t>
      </w:r>
      <w:r>
        <w:t xml:space="preserve"> </w:t>
      </w:r>
      <w:r>
        <w:rPr>
          <w:b/>
          <w:bCs/>
        </w:rPr>
        <w:t xml:space="preserve">paragraphs 10–12 of</w:t>
      </w:r>
      <w:r>
        <w:rPr>
          <w:b/>
          <w:bCs/>
        </w:rPr>
        <w:t xml:space="preserve"> </w:t>
      </w:r>
      <w:r>
        <w:rPr>
          <w:b/>
          <w:bCs/>
          <w:i/>
          <w:iCs/>
        </w:rPr>
        <w:t xml:space="preserve">Ferid Allani</w:t>
      </w:r>
      <w:r>
        <w:t xml:space="preserve"> </w:t>
      </w:r>
      <w:r>
        <w:t xml:space="preserve">verbatim, with neutral citations, for the FER response file.</w:t>
      </w:r>
    </w:p>
    <w:p>
      <w:pPr>
        <w:pStyle w:val="Compact"/>
        <w:numPr>
          <w:ilvl w:val="0"/>
          <w:numId w:val="1006"/>
        </w:numPr>
      </w:pPr>
      <w:r>
        <w:t xml:space="preserve">Is there a</w:t>
      </w:r>
      <w:r>
        <w:t xml:space="preserve"> </w:t>
      </w:r>
      <w:r>
        <w:rPr>
          <w:b/>
          <w:bCs/>
        </w:rPr>
        <w:t xml:space="preserve">Delhi High Court test for Section 3(m)</w:t>
      </w:r>
      <w:r>
        <w:t xml:space="preserve">, and what is the case name?</w:t>
      </w:r>
      <w:r>
        <w:t xml:space="preserve"> </w:t>
      </w:r>
      <w:r>
        <w:rPr>
          <w:i/>
          <w:iCs/>
        </w:rPr>
        <w:t xml:space="preserve">(Managing IP refers to one; the case could not be identified.)</w:t>
      </w:r>
      <w:r>
        <w:t xml:space="preserve"> </w:t>
      </w:r>
      <w:r>
        <w:t xml:space="preserve">And is the s.3(m)/EPO-equivalence question genuinely contested as of 2026?</w:t>
      </w:r>
      <w:r>
        <w:t xml:space="preserve"> </w:t>
      </w:r>
      <w:r>
        <w:rPr>
          <w:i/>
          <w:iCs/>
        </w:rPr>
        <w:t xml:space="preserve">(A SpicyIP piece from August 2026 suggests so; it could not be read.)</w:t>
      </w:r>
    </w:p>
    <w:p>
      <w:pPr>
        <w:pStyle w:val="Compact"/>
        <w:numPr>
          <w:ilvl w:val="0"/>
          <w:numId w:val="1006"/>
        </w:numPr>
      </w:pPr>
      <w:r>
        <w:t xml:space="preserve">What is the</w:t>
      </w:r>
      <w:r>
        <w:t xml:space="preserve"> </w:t>
      </w:r>
      <w:r>
        <w:rPr>
          <w:b/>
          <w:bCs/>
        </w:rPr>
        <w:t xml:space="preserve">Manual of Patent Practice and Procedure’s position on functional / means-plus-function claiming</w:t>
      </w:r>
      <w:r>
        <w:t xml:space="preserve">, and how far can I push</w:t>
      </w:r>
      <w:r>
        <w:t xml:space="preserve"> </w:t>
      </w:r>
      <w:r>
        <w:t xml:space="preserve">“configured to”</w:t>
      </w:r>
      <w:r>
        <w:t xml:space="preserve"> </w:t>
      </w:r>
      <w:r>
        <w:t xml:space="preserve">before attracting a s.10(4)/10(5) objection?</w:t>
      </w:r>
    </w:p>
    <w:p>
      <w:pPr>
        <w:pStyle w:val="FirstParagraph"/>
      </w:pPr>
      <w:r>
        <w:rPr>
          <w:b/>
          <w:bCs/>
        </w:rPr>
        <w:t xml:space="preserve">On prior art and scope</w:t>
      </w:r>
    </w:p>
    <w:p>
      <w:pPr>
        <w:pStyle w:val="Compact"/>
        <w:numPr>
          <w:ilvl w:val="0"/>
          <w:numId w:val="1007"/>
        </w:numPr>
      </w:pPr>
      <w:r>
        <w:t xml:space="preserve">Confirm</w:t>
      </w:r>
      <w:r>
        <w:t xml:space="preserve"> </w:t>
      </w:r>
      <w:r>
        <w:rPr>
          <w:b/>
          <w:bCs/>
        </w:rPr>
        <w:t xml:space="preserve">legal status (granted / in force / lapsed)</w:t>
      </w:r>
      <w:r>
        <w:t xml:space="preserve"> </w:t>
      </w:r>
      <w:r>
        <w:t xml:space="preserve">for US9439260B2, US8457793B2, US8909380B2, US9747196B2, US9253860, US10485076, US9814117, US10778462, US11357090, US10916742, US4209214, US8193774B2, US7405536B2.</w:t>
      </w:r>
      <w:r>
        <w:t xml:space="preserve"> </w:t>
      </w:r>
      <w:r>
        <w:rPr>
          <w:b/>
          <w:bCs/>
        </w:rPr>
        <w:t xml:space="preserve">None could be verified.</w:t>
      </w:r>
    </w:p>
    <w:p>
      <w:pPr>
        <w:pStyle w:val="Compact"/>
        <w:numPr>
          <w:ilvl w:val="0"/>
          <w:numId w:val="1007"/>
        </w:numPr>
      </w:pPr>
      <w:r>
        <w:t xml:space="preserve">Do the</w:t>
      </w:r>
      <w:r>
        <w:t xml:space="preserve"> </w:t>
      </w:r>
      <w:r>
        <w:rPr>
          <w:b/>
          <w:bCs/>
        </w:rPr>
        <w:t xml:space="preserve">Signify/Philips, Enlighted and Acuity families have Indian national-phase members?</w:t>
      </w:r>
      <w:r>
        <w:t xml:space="preserve"> </w:t>
      </w:r>
      <w:r>
        <w:t xml:space="preserve">This is freedom-to-operate in India, which is distinct from novelty.</w:t>
      </w:r>
    </w:p>
    <w:p>
      <w:pPr>
        <w:pStyle w:val="Compact"/>
        <w:numPr>
          <w:ilvl w:val="0"/>
          <w:numId w:val="1007"/>
        </w:numPr>
      </w:pPr>
      <w:r>
        <w:t xml:space="preserve">Given SIGGRAPH ’93, the Afshari 2014 transport-matrix paper and US9439260B2,</w:t>
      </w:r>
      <w:r>
        <w:t xml:space="preserve"> </w:t>
      </w:r>
      <w:r>
        <w:rPr>
          <w:b/>
          <w:bCs/>
        </w:rPr>
        <w:t xml:space="preserve">is there a defensible combination claim spanning items 1+2+3</w:t>
      </w:r>
      <w:r>
        <w:t xml:space="preserve"> </w:t>
      </w:r>
      <w:r>
        <w:t xml:space="preserve">— semantic outcome label → measured target room-state vector → constrained solve over a commissioned transport matrix → override updates the</w:t>
      </w:r>
      <w:r>
        <w:t xml:space="preserve"> </w:t>
      </w:r>
      <w:r>
        <w:rPr>
          <w:i/>
          <w:iCs/>
        </w:rPr>
        <w:t xml:space="preserve">target vector for that label</w:t>
      </w:r>
      <w:r>
        <w:t xml:space="preserve"> </w:t>
      </w:r>
      <w:r>
        <w:t xml:space="preserve">rather than device settings? What is the narrowest version you would actually file?</w:t>
      </w:r>
    </w:p>
    <w:p>
      <w:pPr>
        <w:pStyle w:val="Compact"/>
        <w:numPr>
          <w:ilvl w:val="0"/>
          <w:numId w:val="1007"/>
        </w:numPr>
      </w:pPr>
      <w:r>
        <w:t xml:space="preserve">Run a</w:t>
      </w:r>
      <w:r>
        <w:t xml:space="preserve"> </w:t>
      </w:r>
      <w:r>
        <w:rPr>
          <w:b/>
          <w:bCs/>
        </w:rPr>
        <w:t xml:space="preserve">targeted assignee search on Techtronic, Black &amp; Decker/Stanley, Makita and Koki Holdings</w:t>
      </w:r>
      <w:r>
        <w:t xml:space="preserve"> </w:t>
      </w:r>
      <w:r>
        <w:t xml:space="preserve">for terminal-energisation and interlock art before we decide on Asset 4. Is</w:t>
      </w:r>
      <w:r>
        <w:t xml:space="preserve"> </w:t>
      </w:r>
      <w:r>
        <w:t xml:space="preserve">“dead until mated”</w:t>
      </w:r>
      <w:r>
        <w:t xml:space="preserve"> </w:t>
      </w:r>
      <w:r>
        <w:t xml:space="preserve">anticipated?</w:t>
      </w:r>
    </w:p>
    <w:p>
      <w:pPr>
        <w:pStyle w:val="Compact"/>
        <w:numPr>
          <w:ilvl w:val="0"/>
          <w:numId w:val="1007"/>
        </w:numPr>
      </w:pPr>
      <w:r>
        <w:t xml:space="preserve">Run a</w:t>
      </w:r>
      <w:r>
        <w:t xml:space="preserve"> </w:t>
      </w:r>
      <w:r>
        <w:rPr>
          <w:b/>
          <w:bCs/>
        </w:rPr>
        <w:t xml:space="preserve">registered-design search</w:t>
      </w:r>
      <w:r>
        <w:t xml:space="preserve"> </w:t>
      </w:r>
      <w:r>
        <w:t xml:space="preserve">(Indian Designs Registry, EUIPO RCD, Hague, USPTO design patents) on circular/puck luminaires before we finalise the statement of novelty.</w:t>
      </w:r>
    </w:p>
    <w:p>
      <w:pPr>
        <w:pStyle w:val="FirstParagraph"/>
      </w:pPr>
      <w:r>
        <w:rPr>
          <w:b/>
          <w:bCs/>
        </w:rPr>
        <w:t xml:space="preserve">On procedure, fees and entity</w:t>
      </w:r>
    </w:p>
    <w:p>
      <w:pPr>
        <w:pStyle w:val="Compact"/>
        <w:numPr>
          <w:ilvl w:val="0"/>
          <w:numId w:val="1008"/>
        </w:numPr>
      </w:pPr>
      <w:r>
        <w:rPr>
          <w:b/>
          <w:bCs/>
        </w:rPr>
        <w:t xml:space="preserve">Confirm the current First Schedule fee slab.</w:t>
      </w:r>
      <w:r>
        <w:t xml:space="preserve"> </w:t>
      </w:r>
      <w:r>
        <w:t xml:space="preserve">Sources conflict on whether small entities sit at ₹1,600/₹2,500 or at a separate ₹4,000/₹6,250 tier — the three-tier structure looks like the</w:t>
      </w:r>
      <w:r>
        <w:t xml:space="preserve"> </w:t>
      </w:r>
      <w:r>
        <w:rPr>
          <w:b/>
          <w:bCs/>
        </w:rPr>
        <w:t xml:space="preserve">pre-2019</w:t>
      </w:r>
      <w:r>
        <w:t xml:space="preserve"> </w:t>
      </w:r>
      <w:r>
        <w:t xml:space="preserve">schedule that the Patents (Amendment) Rules 2019 merged. Which applies to a DPIIT-recognised startup today?</w:t>
      </w:r>
    </w:p>
    <w:p>
      <w:pPr>
        <w:pStyle w:val="Compact"/>
        <w:numPr>
          <w:ilvl w:val="0"/>
          <w:numId w:val="1008"/>
        </w:numPr>
      </w:pPr>
      <w:r>
        <w:rPr>
          <w:b/>
          <w:bCs/>
        </w:rPr>
        <w:t xml:space="preserve">What are the excess-page and excess-claim fees?</w:t>
      </w:r>
      <w:r>
        <w:t xml:space="preserve"> </w:t>
      </w:r>
      <w:r>
        <w:t xml:space="preserve">(commonly cited as ₹160/page and ₹320/claim reduced, 5× large —</w:t>
      </w:r>
      <w:r>
        <w:t xml:space="preserve"> </w:t>
      </w:r>
      <w:r>
        <w:rPr>
          <w:b/>
          <w:bCs/>
        </w:rPr>
        <w:t xml:space="preserve">unverified</w:t>
      </w:r>
      <w:r>
        <w:t xml:space="preserve">). Our specification with matrices, drawings and a worked example will exceed 30 pages.</w:t>
      </w:r>
    </w:p>
    <w:p>
      <w:pPr>
        <w:pStyle w:val="Compact"/>
        <w:numPr>
          <w:ilvl w:val="0"/>
          <w:numId w:val="1008"/>
        </w:numPr>
      </w:pPr>
      <w:r>
        <w:rPr>
          <w:b/>
          <w:bCs/>
        </w:rPr>
        <w:t xml:space="preserve">What is the Form 25 (FFL) official fee and the current issuance turnaround?</w:t>
      </w:r>
      <w:r>
        <w:t xml:space="preserve"> </w:t>
      </w:r>
      <w:r>
        <w:t xml:space="preserve">And the</w:t>
      </w:r>
      <w:r>
        <w:t xml:space="preserve"> </w:t>
      </w:r>
      <w:r>
        <w:rPr>
          <w:b/>
          <w:bCs/>
        </w:rPr>
        <w:t xml:space="preserve">Form 6</w:t>
      </w:r>
      <w:r>
        <w:t xml:space="preserve"> </w:t>
      </w:r>
      <w:r>
        <w:t xml:space="preserve">official fee for a pre-grant change of applicant, which could not be found in any source?</w:t>
      </w:r>
    </w:p>
    <w:p>
      <w:pPr>
        <w:pStyle w:val="Compact"/>
        <w:numPr>
          <w:ilvl w:val="0"/>
          <w:numId w:val="1008"/>
        </w:numPr>
      </w:pPr>
      <w:r>
        <w:rPr>
          <w:b/>
          <w:bCs/>
        </w:rPr>
        <w:t xml:space="preserve">Is India actually on the WIPO 90%-reduction list</w:t>
      </w:r>
      <w:r>
        <w:t xml:space="preserve">, and is the PCT international filing fee</w:t>
      </w:r>
      <w:r>
        <w:t xml:space="preserve"> </w:t>
      </w:r>
      <w:r>
        <w:rPr>
          <w:b/>
          <w:bCs/>
        </w:rPr>
        <w:t xml:space="preserve">USD 1,471 or USD 1,667</w:t>
      </w:r>
      <w:r>
        <w:t xml:space="preserve">?</w:t>
      </w:r>
      <w:r>
        <w:t xml:space="preserve"> </w:t>
      </w:r>
      <w:r>
        <w:rPr>
          <w:i/>
          <w:iCs/>
        </w:rPr>
        <w:t xml:space="preserve">(A single commercial source asserts the list membership; the same publisher gives both fee figures.)</w:t>
      </w:r>
    </w:p>
    <w:p>
      <w:pPr>
        <w:pStyle w:val="Compact"/>
        <w:numPr>
          <w:ilvl w:val="0"/>
          <w:numId w:val="1008"/>
        </w:numPr>
      </w:pPr>
      <w:r>
        <w:rPr>
          <w:b/>
          <w:bCs/>
        </w:rPr>
        <w:t xml:space="preserve">What does the EPO charge as ISA for a PCT filed from India in 2026?</w:t>
      </w:r>
      <w:r>
        <w:t xml:space="preserve"> </w:t>
      </w:r>
      <w:r>
        <w:t xml:space="preserve">Is the quality delta worth it over the IPO’s ₹2,500/₹10,000 for control-systems art?</w:t>
      </w:r>
    </w:p>
    <w:p>
      <w:pPr>
        <w:pStyle w:val="Compact"/>
        <w:numPr>
          <w:ilvl w:val="0"/>
          <w:numId w:val="1008"/>
        </w:numPr>
      </w:pPr>
      <w:r>
        <w:rPr>
          <w:b/>
          <w:bCs/>
        </w:rPr>
        <w:t xml:space="preserve">What did the Madras High Court hold on proof of right?</w:t>
      </w:r>
      <w:r>
        <w:t xml:space="preserve"> </w:t>
      </w:r>
      <w:r>
        <w:t xml:space="preserve">Specifically:</w:t>
      </w:r>
      <w:r>
        <w:t xml:space="preserve"> </w:t>
      </w:r>
      <w:r>
        <w:rPr>
          <w:b/>
          <w:bCs/>
        </w:rPr>
        <w:t xml:space="preserve">is a late or defective proof of right curable, or is it fatal?</w:t>
      </w:r>
      <w:r>
        <w:t xml:space="preserve"> </w:t>
      </w:r>
      <w:r>
        <w:rPr>
          <w:i/>
          <w:iCs/>
        </w:rPr>
        <w:t xml:space="preserve">(The decision could not be read. If it is fatal, the six-month deadline changes from a cost issue to an existential one.)</w:t>
      </w:r>
    </w:p>
    <w:p>
      <w:pPr>
        <w:pStyle w:val="Compact"/>
        <w:numPr>
          <w:ilvl w:val="0"/>
          <w:numId w:val="1008"/>
        </w:numPr>
      </w:pPr>
      <w:r>
        <w:t xml:space="preserve">Will the Patent Office accept</w:t>
      </w:r>
      <w:r>
        <w:t xml:space="preserve"> </w:t>
      </w:r>
      <w:r>
        <w:rPr>
          <w:b/>
          <w:bCs/>
        </w:rPr>
        <w:t xml:space="preserve">Form 1 signed by the same natural person in two capacities</w:t>
      </w:r>
      <w:r>
        <w:t xml:space="preserve"> </w:t>
      </w:r>
      <w:r>
        <w:t xml:space="preserve">— as inventor and as director of the applicant company — without a separate deed? Universally done in practice, but unconfirmed against any Office manual.</w:t>
      </w:r>
    </w:p>
    <w:p>
      <w:pPr>
        <w:pStyle w:val="Compact"/>
        <w:numPr>
          <w:ilvl w:val="0"/>
          <w:numId w:val="1008"/>
        </w:numPr>
      </w:pPr>
      <w:r>
        <w:t xml:space="preserve">What</w:t>
      </w:r>
      <w:r>
        <w:t xml:space="preserve"> </w:t>
      </w:r>
      <w:r>
        <w:rPr>
          <w:b/>
          <w:bCs/>
        </w:rPr>
        <w:t xml:space="preserve">stamp duty</w:t>
      </w:r>
      <w:r>
        <w:t xml:space="preserve"> </w:t>
      </w:r>
      <w:r>
        <w:t xml:space="preserve">applies in our state of registered office to a deed of assignment from founder-inventor to company, and does a nominal-consideration assignment between related parties invite adjudication at market value or a s.50B / s.56(2)(x) challenge?</w:t>
      </w:r>
    </w:p>
    <w:p>
      <w:pPr>
        <w:pStyle w:val="Compact"/>
        <w:numPr>
          <w:ilvl w:val="0"/>
          <w:numId w:val="1008"/>
        </w:numPr>
      </w:pPr>
      <w:r>
        <w:t xml:space="preserve">Confirm the current text of</w:t>
      </w:r>
      <w:r>
        <w:t xml:space="preserve"> </w:t>
      </w:r>
      <w:r>
        <w:rPr>
          <w:b/>
          <w:bCs/>
        </w:rPr>
        <w:t xml:space="preserve">Patents Act ss.6, 7(2), 9, 11(2)/(3), 29–33, 39, 40, 64, 69(2), 69(5), 118 and Rules 10, 91, 138</w:t>
      </w:r>
      <w:r>
        <w:t xml:space="preserve">, and</w:t>
      </w:r>
      <w:r>
        <w:t xml:space="preserve"> </w:t>
      </w:r>
      <w:r>
        <w:rPr>
          <w:b/>
          <w:bCs/>
        </w:rPr>
        <w:t xml:space="preserve">Copyright Act ss.15(2), 17, 19, 57</w:t>
      </w:r>
      <w:r>
        <w:t xml:space="preserve">, and</w:t>
      </w:r>
      <w:r>
        <w:t xml:space="preserve"> </w:t>
      </w:r>
      <w:r>
        <w:rPr>
          <w:b/>
          <w:bCs/>
        </w:rPr>
        <w:t xml:space="preserve">Contract Act s.27</w:t>
      </w:r>
      <w:r>
        <w:t xml:space="preserve">.</w:t>
      </w:r>
      <w:r>
        <w:t xml:space="preserve"> </w:t>
      </w:r>
      <w:r>
        <w:rPr>
          <w:b/>
          <w:bCs/>
        </w:rPr>
        <w:t xml:space="preserve">None of these was read from a primary source in this research.</w:t>
      </w:r>
    </w:p>
    <w:p>
      <w:pPr>
        <w:pStyle w:val="FirstParagraph"/>
      </w:pPr>
      <w:r>
        <w:rPr>
          <w:b/>
          <w:bCs/>
        </w:rPr>
        <w:t xml:space="preserve">On strategy</w:t>
      </w:r>
    </w:p>
    <w:p>
      <w:pPr>
        <w:pStyle w:val="Compact"/>
        <w:numPr>
          <w:ilvl w:val="0"/>
          <w:numId w:val="1009"/>
        </w:numPr>
      </w:pPr>
      <w:r>
        <w:t xml:space="preserve">Should we file the</w:t>
      </w:r>
      <w:r>
        <w:t xml:space="preserve"> </w:t>
      </w:r>
      <w:r>
        <w:rPr>
          <w:b/>
          <w:bCs/>
        </w:rPr>
        <w:t xml:space="preserve">calibration/characterisation method claim as a separate application</w:t>
      </w:r>
      <w:r>
        <w:t xml:space="preserve"> </w:t>
      </w:r>
      <w:r>
        <w:t xml:space="preserve">rather than as a fallback within one filing?</w:t>
      </w:r>
    </w:p>
    <w:p>
      <w:pPr>
        <w:pStyle w:val="Compact"/>
        <w:numPr>
          <w:ilvl w:val="0"/>
          <w:numId w:val="1009"/>
        </w:numPr>
      </w:pPr>
      <w:r>
        <w:t xml:space="preserve">Should the</w:t>
      </w:r>
      <w:r>
        <w:t xml:space="preserve"> </w:t>
      </w:r>
      <w:r>
        <w:rPr>
          <w:b/>
          <w:bCs/>
        </w:rPr>
        <w:t xml:space="preserve">founders hold the PCT personally as natural persons resident in India</w:t>
      </w:r>
      <w:r>
        <w:t xml:space="preserve"> </w:t>
      </w:r>
      <w:r>
        <w:t xml:space="preserve">to capture the 90% reduction, and what are the ownership, assignment and diligence consequences?</w:t>
      </w:r>
    </w:p>
    <w:p>
      <w:pPr>
        <w:pStyle w:val="Compact"/>
        <w:numPr>
          <w:ilvl w:val="0"/>
          <w:numId w:val="1009"/>
        </w:numPr>
      </w:pPr>
      <w:r>
        <w:t xml:space="preserve">Should we</w:t>
      </w:r>
      <w:r>
        <w:t xml:space="preserve"> </w:t>
      </w:r>
      <w:r>
        <w:rPr>
          <w:b/>
          <w:bCs/>
        </w:rPr>
        <w:t xml:space="preserve">defensively publish Asset 3</w:t>
      </w:r>
      <w:r>
        <w:t xml:space="preserve"> </w:t>
      </w:r>
      <w:r>
        <w:t xml:space="preserve">(override-learning on a measured-light context vector) to IP.com or Technical Disclosure Commons after the Asset 1 provisional is filed — and how do we scrub it so it does not disclose the calibration-sweep claim?</w:t>
      </w:r>
    </w:p>
    <w:p>
      <w:pPr>
        <w:pStyle w:val="Compact"/>
        <w:numPr>
          <w:ilvl w:val="0"/>
          <w:numId w:val="1009"/>
        </w:numPr>
      </w:pPr>
      <w:r>
        <w:rPr>
          <w:b/>
          <w:bCs/>
        </w:rPr>
        <w:t xml:space="preserve">Has the Protection of Trade Secrets Bill 2024 moved in Parliament since February 2026?</w:t>
      </w:r>
      <w:r>
        <w:t xml:space="preserve"> </w:t>
      </w:r>
      <w:r>
        <w:t xml:space="preserve">Check PRS Legislative Research, the Lok Sabha and Rajya Sabha bulletins and DPIIT press releases.</w:t>
      </w:r>
      <w:r>
        <w:t xml:space="preserve"> </w:t>
      </w:r>
      <w:r>
        <w:rPr>
          <w:i/>
          <w:iCs/>
        </w:rPr>
        <w:t xml:space="preserve">(Best evidence in this research stops at</w:t>
      </w:r>
      <w:r>
        <w:rPr>
          <w:i/>
          <w:iCs/>
        </w:rPr>
        <w:t xml:space="preserve"> </w:t>
      </w:r>
      <w:r>
        <w:rPr>
          <w:i/>
          <w:iCs/>
        </w:rPr>
        <w:t xml:space="preserve">“as of early 2026, Parliament has not acted on it.”</w:t>
      </w:r>
      <w:r>
        <w:rPr>
          <w:i/>
          <w:iCs/>
        </w:rPr>
        <w:t xml:space="preserve">)</w:t>
      </w:r>
    </w:p>
    <w:p>
      <w:pPr>
        <w:pStyle w:val="Compact"/>
        <w:numPr>
          <w:ilvl w:val="0"/>
          <w:numId w:val="1009"/>
        </w:numPr>
      </w:pPr>
      <w:r>
        <w:rPr>
          <w:b/>
          <w:bCs/>
        </w:rPr>
        <w:t xml:space="preserve">Have the DPIIT Designs Act amendments progressed to a Bill since the consultation closed on 22–23 February 2026?</w:t>
      </w:r>
      <w:r>
        <w:t xml:space="preserve"> </w:t>
      </w:r>
      <w:r>
        <w:t xml:space="preserve">If a 12-month design grace period is imminent it changes nothing about what we do now, but I want to know.</w:t>
      </w:r>
    </w:p>
    <w:p>
      <w:r>
        <w:pict>
          <v:rect style="width:0;height:1.5pt" o:hralign="center" o:hrstd="t" o:hr="t"/>
        </w:pict>
      </w:r>
    </w:p>
    <w:bookmarkEnd w:id="264"/>
    <w:bookmarkStart w:id="265" w:name="conclusion"/>
    <w:p>
      <w:pPr>
        <w:pStyle w:val="Heading2"/>
      </w:pPr>
      <w:r>
        <w:t xml:space="preserve">Conclusion</w:t>
      </w:r>
    </w:p>
    <w:p>
      <w:pPr>
        <w:pStyle w:val="FirstParagraph"/>
      </w:pPr>
      <w:r>
        <w:t xml:space="preserve">The research inverts two assumptions and confirms one. The inversions:</w:t>
      </w:r>
      <w:r>
        <w:t xml:space="preserve"> </w:t>
      </w:r>
      <w:r>
        <w:rPr>
          <w:b/>
          <w:bCs/>
        </w:rPr>
        <w:t xml:space="preserve">Section 3(k) is the easier half of your patent problem</w:t>
      </w:r>
      <w:r>
        <w:t xml:space="preserve"> </w:t>
      </w:r>
      <w:r>
        <w:t xml:space="preserve">— the 2025 Guidelines,</w:t>
      </w:r>
      <w:r>
        <w:t xml:space="preserve"> </w:t>
      </w:r>
      <w:r>
        <w:rPr>
          <w:i/>
          <w:iCs/>
        </w:rPr>
        <w:t xml:space="preserve">Ferid Allani</w:t>
      </w:r>
      <w:r>
        <w:t xml:space="preserve">,</w:t>
      </w:r>
      <w:r>
        <w:t xml:space="preserve"> </w:t>
      </w:r>
      <w:r>
        <w:rPr>
          <w:i/>
          <w:iCs/>
        </w:rPr>
        <w:t xml:space="preserve">Raytheon</w:t>
      </w:r>
      <w:r>
        <w:t xml:space="preserve"> </w:t>
      </w:r>
      <w:r>
        <w:t xml:space="preserve">and</w:t>
      </w:r>
      <w:r>
        <w:t xml:space="preserve"> </w:t>
      </w:r>
      <w:r>
        <w:rPr>
          <w:i/>
          <w:iCs/>
        </w:rPr>
        <w:t xml:space="preserve">Robert Bosch</w:t>
      </w:r>
      <w:r>
        <w:t xml:space="preserve"> </w:t>
      </w:r>
      <w:r>
        <w:t xml:space="preserve">give you good answers, and a hardware-anchored claim that runs actuation → measurement → actuation should survive —</w:t>
      </w:r>
      <w:r>
        <w:t xml:space="preserve"> </w:t>
      </w:r>
      <w:r>
        <w:rPr>
          <w:b/>
          <w:bCs/>
        </w:rPr>
        <w:t xml:space="preserve">while the prior art is genuinely crowded and your real fight is obviousness over Philips/Signify, Enlighted and Acuity art written by the same people who wrote the academic literature.</w:t>
      </w:r>
      <w:r>
        <w:t xml:space="preserve"> </w:t>
      </w:r>
      <w:r>
        <w:t xml:space="preserve">And</w:t>
      </w:r>
      <w:r>
        <w:t xml:space="preserve"> </w:t>
      </w:r>
      <w:r>
        <w:rPr>
          <w:b/>
          <w:bCs/>
        </w:rPr>
        <w:t xml:space="preserve">your data-protection anxiety is misdirected</w:t>
      </w:r>
      <w:r>
        <w:t xml:space="preserve">: DPDP has no enforcer and no operative substantive obligations for another eight months, while the Consumer Protection Act is live, actively enforced, reaches you personally with imprisonment, and will be litigated in the cheapest and most claimant-friendly forum in the country on the strength of whether your warning leaflet covered the failure mode. The confirmation:</w:t>
      </w:r>
      <w:r>
        <w:t xml:space="preserve"> </w:t>
      </w:r>
      <w:r>
        <w:rPr>
          <w:b/>
          <w:bCs/>
        </w:rPr>
        <w:t xml:space="preserve">your instinct to keep the tuned curves and learned data unpublished is right three times over</w:t>
      </w:r>
      <w:r>
        <w:t xml:space="preserve"> </w:t>
      </w:r>
      <w:r>
        <w:t xml:space="preserve">— they are not patentable subject matter, you could never detect infringement, and India has no sui generis database right while</w:t>
      </w:r>
      <w:r>
        <w:t xml:space="preserve"> </w:t>
      </w:r>
      <w:r>
        <w:rPr>
          <w:i/>
          <w:iCs/>
        </w:rPr>
        <w:t xml:space="preserve">Eastern Book Company</w:t>
      </w:r>
      <w:r>
        <w:t xml:space="preserve"> </w:t>
      </w:r>
      <w:r>
        <w:t xml:space="preserve">requires a modicum of creativity that a table of measured numbers will not meet.</w:t>
      </w:r>
    </w:p>
    <w:p>
      <w:pPr>
        <w:pStyle w:val="BodyText"/>
      </w:pPr>
      <w:r>
        <w:t xml:space="preserve">The deeper pattern across all nine workstreams is that</w:t>
      </w:r>
      <w:r>
        <w:t xml:space="preserve"> </w:t>
      </w:r>
      <w:r>
        <w:rPr>
          <w:b/>
          <w:bCs/>
        </w:rPr>
        <w:t xml:space="preserve">your cheapest decisions are also your highest-leverage ones, and most of them are sequencing decisions rather than spending decisions.</w:t>
      </w:r>
      <w:r>
        <w:t xml:space="preserve"> </w:t>
      </w:r>
      <w:r>
        <w:t xml:space="preserve">Filing the design before the provisional costs ₹1,000 and preserves a right that an Instagram post ends forever. Incorporating the hardware company this month costs ₹8,000–₹25,000 and avoids a slump-sale charge at deemed fair market value, ad valorem stamp duty, and re-obtaining every entity-specific BIS, EPR and Legal Metrology registration three years from now. Naming the right patent applicant on the first filing costs nothing and avoids a chain-of-title finding in every future diligence. Keeping mains voltage out of every enclosure you print is worth more than any material substitution, because it potentially exits both the CRS registration and the severe flammability regime at once —</w:t>
      </w:r>
      <w:r>
        <w:t xml:space="preserve"> </w:t>
      </w:r>
      <w:r>
        <w:rPr>
          <w:b/>
          <w:bCs/>
        </w:rPr>
        <w:t xml:space="preserve">though that depends on a BIS FAQ exemption that nobody on this brief could actually read, which is the one verification task that should happen before any other.</w:t>
      </w:r>
      <w:r>
        <w:t xml:space="preserve"> </w:t>
      </w:r>
      <w:r>
        <w:t xml:space="preserve">And rewriting</w:t>
      </w:r>
      <w:r>
        <w:t xml:space="preserve"> </w:t>
      </w:r>
      <w:r>
        <w:t xml:space="preserve">“never produces an image”</w:t>
      </w:r>
      <w:r>
        <w:t xml:space="preserve"> </w:t>
      </w:r>
      <w:r>
        <w:t xml:space="preserve">as</w:t>
      </w:r>
      <w:r>
        <w:t xml:space="preserve"> </w:t>
      </w:r>
      <w:r>
        <w:t xml:space="preserve">“N zones; cannot resolve faces; nothing transmitted”</w:t>
      </w:r>
      <w:r>
        <w:t xml:space="preserve"> </w:t>
      </w:r>
      <w:r>
        <w:t xml:space="preserve">costs an afternoon, says more, sells better, and is the difference between a claim you can substantiate on demand and one a single screenshot destroys.</w:t>
      </w:r>
    </w:p>
    <w:bookmarkEnd w:id="265"/>
    <w:bookmarkEnd w:id="2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9">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I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6" Target="https://abhijitbhand.com/blog/form-31-grace-period" TargetMode="External" /><Relationship Type="http://schemas.openxmlformats.org/officeDocument/2006/relationships/hyperlink" Id="rId121" Target="https://absoluteveritas.com/bis-amendment-to-the-electronics-and-information-technology-goods-/" TargetMode="External" /><Relationship Type="http://schemas.openxmlformats.org/officeDocument/2006/relationships/hyperlink" Id="rId166" Target="https://afleo.com/chip-import-monitoring-system-chims/" TargetMode="External" /><Relationship Type="http://schemas.openxmlformats.org/officeDocument/2006/relationships/hyperlink" Id="rId73" Target="https://amlegals.com/navigating-the-legality-of-non-compete-agreements/" TargetMode="External" /><Relationship Type="http://schemas.openxmlformats.org/officeDocument/2006/relationships/hyperlink" Id="rId36" Target="https://asiaiplaw.com/article/india-the-delhi-high-courts-decision-in-opentv" TargetMode="External" /><Relationship Type="http://schemas.openxmlformats.org/officeDocument/2006/relationships/hyperlink" Id="rId49" Target="https://assets.lutron.com/a/documents/daylighting_white-paper.pdf" TargetMode="External" /><Relationship Type="http://schemas.openxmlformats.org/officeDocument/2006/relationships/hyperlink" Id="rId221" Target="https://authbridge.com/blog/rbi-payment-aggregator-master-direction-2025/" TargetMode="External" /><Relationship Type="http://schemas.openxmlformats.org/officeDocument/2006/relationships/hyperlink" Id="rId155" Target="https://avigroup.in/2026/03/18/epr-e-waste-annual-return-fy-2025-26-complete-compliance-checklist/" TargetMode="External" /><Relationship Type="http://schemas.openxmlformats.org/officeDocument/2006/relationships/hyperlink" Id="rId232" Target="https://bcasonline.org/wp-content/uploads/2023/04/Taxation-of-slump-sale-Sec-50B-and-Rule-11UAE.pdf" TargetMode="External" /><Relationship Type="http://schemas.openxmlformats.org/officeDocument/2006/relationships/hyperlink" Id="rId177" Target="https://bizfoc.com/hsn-code/led-bulb-electric-filament-discharge-lamps-8539-gst-rates/" TargetMode="External" /><Relationship Type="http://schemas.openxmlformats.org/officeDocument/2006/relationships/hyperlink" Id="rId77" Target="https://blog.adafruit.com/2019/11/18/esp32-flash-encryption-and-sec-boot-keys-extraction-esp32-encryption-pwn-limitedresults/" TargetMode="External" /><Relationship Type="http://schemas.openxmlformats.org/officeDocument/2006/relationships/hyperlink" Id="rId257" Target="https://blog.ipleaders.in/anticipation-invention-india/" TargetMode="External" /><Relationship Type="http://schemas.openxmlformats.org/officeDocument/2006/relationships/hyperlink" Id="rId170" Target="https://busy.in/hsn/led-light-hsn-code/" TargetMode="External" /><Relationship Type="http://schemas.openxmlformats.org/officeDocument/2006/relationships/hyperlink" Id="rId175" Target="https://busy.in/hsn/light-hsn-code/" TargetMode="External" /><Relationship Type="http://schemas.openxmlformats.org/officeDocument/2006/relationships/hyperlink" Id="rId114" Target="https://c-prav.com/2026/03/15/bis-issues-implementation-guidelines-for-revised-standard-is-16102-part-12026-for-self-ballasted-led-lamps/" TargetMode="External" /><Relationship Type="http://schemas.openxmlformats.org/officeDocument/2006/relationships/hyperlink" Id="rId110" Target="https://cfomatrix.in/insight/trademarks-ip/trademark-symbols-tm-r-sm-india" TargetMode="External" /><Relationship Type="http://schemas.openxmlformats.org/officeDocument/2006/relationships/hyperlink" Id="rId255" Target="https://chambers.com/articles/grace-period-exemptions-on-scientific-publications-under-the-indian-patent-law" TargetMode="External" /><Relationship Type="http://schemas.openxmlformats.org/officeDocument/2006/relationships/hyperlink" Id="rId164" Target="https://chambers.com/articles/lmpc-rules-amended-new-compliance-for-e-commerce" TargetMode="External" /><Relationship Type="http://schemas.openxmlformats.org/officeDocument/2006/relationships/hyperlink" Id="rId153" Target="https://clarityupsc.com/environment-upsc-notes/e-waste-management-rules-recycling-india-upsc" TargetMode="External" /><Relationship Type="http://schemas.openxmlformats.org/officeDocument/2006/relationships/hyperlink" Id="rId230" Target="https://cleartax.in/s/slump-sale" TargetMode="External" /><Relationship Type="http://schemas.openxmlformats.org/officeDocument/2006/relationships/hyperlink" Id="rId150" Target="https://cliniexperts.com/regulatory-update/safety-of-household-commercial-and-similar-electrical-appliances-quality-control-order-2026/" TargetMode="External" /><Relationship Type="http://schemas.openxmlformats.org/officeDocument/2006/relationships/hyperlink" Id="rId160" Target="https://cmet.gov.in/rohs-services" TargetMode="External" /><Relationship Type="http://schemas.openxmlformats.org/officeDocument/2006/relationships/hyperlink" Id="rId25" Target="https://consentos.in/learn/dpdp-vs-it-act/" TargetMode="External" /><Relationship Type="http://schemas.openxmlformats.org/officeDocument/2006/relationships/hyperlink" Id="rId167" Target="https://corpbiz.io/chims-registration" TargetMode="External" /><Relationship Type="http://schemas.openxmlformats.org/officeDocument/2006/relationships/hyperlink" Id="rId159" Target="https://cpcb.nic.in/uploads/Projects/E-Waste/FAQ_ewaste_23012024.pdf" TargetMode="External" /><Relationship Type="http://schemas.openxmlformats.org/officeDocument/2006/relationships/hyperlink" Id="rId178" Target="https://d23z1tp9il9etb.cloudfront.net/download/gstlaw/NOTIFICATION%20NO.%209_2025-CENTRAL%20TAX%20(RATE)1759486688.pdf" TargetMode="External" /><Relationship Type="http://schemas.openxmlformats.org/officeDocument/2006/relationships/hyperlink" Id="rId37" Target="https://depenning.com/blog/robert-bosch-limited-v-deputy-controller-of-patents-and-designs-interpretation-of-sec-3m/" TargetMode="External" /><Relationship Type="http://schemas.openxmlformats.org/officeDocument/2006/relationships/hyperlink" Id="rId40" Target="https://dl.acm.org/doi/10.1145/166117.166135" TargetMode="External" /><Relationship Type="http://schemas.openxmlformats.org/officeDocument/2006/relationships/hyperlink" Id="rId146" Target="https://documentation.espressif.com/ETA-SD-20200704087%20ESP32-PICO-V3-ZERO%20WPC.pdf" TargetMode="External" /><Relationship Type="http://schemas.openxmlformats.org/officeDocument/2006/relationships/hyperlink" Id="rId24" Target="https://dpdpact.net/dpdp-vs-spdi-rules" TargetMode="External" /><Relationship Type="http://schemas.openxmlformats.org/officeDocument/2006/relationships/hyperlink" Id="rId198" Target="https://ecom.insure/lithium-battery-insurance/" TargetMode="External" /><Relationship Type="http://schemas.openxmlformats.org/officeDocument/2006/relationships/hyperlink" Id="rId80" Target="https://en.wikipedia.org/wiki/Defensive_publication" TargetMode="External" /><Relationship Type="http://schemas.openxmlformats.org/officeDocument/2006/relationships/hyperlink" Id="rId222" Target="https://enterslice.com/learning/rbi-2025-guidelines-for-payment-aggregators/" TargetMode="External" /><Relationship Type="http://schemas.openxmlformats.org/officeDocument/2006/relationships/hyperlink" Id="rId157" Target="https://eprbattery.cpcb.gov.in/upload/adminDoc/Frequently%20Asked%20Questions%20(General).pdf" TargetMode="External" /><Relationship Type="http://schemas.openxmlformats.org/officeDocument/2006/relationships/hyperlink" Id="rId141" Target="https://eservices.dot.gov.in/saral/wpc-eta-self-declaration" TargetMode="External" /><Relationship Type="http://schemas.openxmlformats.org/officeDocument/2006/relationships/hyperlink" Id="rId173" Target="https://eximpe.com/hsn/led-light-hsn-code" TargetMode="External" /><Relationship Type="http://schemas.openxmlformats.org/officeDocument/2006/relationships/hyperlink" Id="rId129" Target="https://forerunner3d.com/wp-content/uploads/2024/09/HP-PA12-glass-bead-UL94-and-UL-746A-certification.pdf" TargetMode="External" /><Relationship Type="http://schemas.openxmlformats.org/officeDocument/2006/relationships/hyperlink" Id="rId127" Target="https://forgelabs.com/blog/ul-94-fire-safety-standards-additive-manufacturing" TargetMode="External" /><Relationship Type="http://schemas.openxmlformats.org/officeDocument/2006/relationships/hyperlink" Id="rId154" Target="https://gemrecycling.com/what-is-epr-how-to-calculate-epr-targets-for-e-waste/" TargetMode="External" /><Relationship Type="http://schemas.openxmlformats.org/officeDocument/2006/relationships/hyperlink" Id="rId148" Target="https://gma.caict.ac.cn/en/update/119/845" TargetMode="External" /><Relationship Type="http://schemas.openxmlformats.org/officeDocument/2006/relationships/hyperlink" Id="rId168" Target="https://gstlearn.com/2025/09/17/cgst-r-nn-09-2025-seeks-to-supersede-notification-no-1-2017-central-tax-rate-dated-28-06-2017/" TargetMode="External" /><Relationship Type="http://schemas.openxmlformats.org/officeDocument/2006/relationships/hyperlink" Id="rId76" Target="https://hackaday.com/2020/03/24/breaking-into-a-secure-facility-stm32-flash/" TargetMode="External" /><Relationship Type="http://schemas.openxmlformats.org/officeDocument/2006/relationships/hyperlink" Id="rId75" Target="https://hackmag.com/security/protec-stm32" TargetMode="External" /><Relationship Type="http://schemas.openxmlformats.org/officeDocument/2006/relationships/hyperlink" Id="rId188" Target="https://ibclaw.in/section-84-liability-of-product-manufacturer/" TargetMode="External" /><Relationship Type="http://schemas.openxmlformats.org/officeDocument/2006/relationships/hyperlink" Id="rId190" Target="https://ibclaw.in/section-87-exceptions-to-product-liability-action/" TargetMode="External" /><Relationship Type="http://schemas.openxmlformats.org/officeDocument/2006/relationships/hyperlink" Id="rId210" Target="https://indiacorplaw.in/2017/08/15/object-clause-companies-amendment-bill-flip-flop/" TargetMode="External" /><Relationship Type="http://schemas.openxmlformats.org/officeDocument/2006/relationships/hyperlink" Id="rId202" Target="https://indiankanoon.org/doc/134265065/" TargetMode="External" /><Relationship Type="http://schemas.openxmlformats.org/officeDocument/2006/relationships/hyperlink" Id="rId199" Target="https://indiankanoon.org/doc/62183455/" TargetMode="External" /><Relationship Type="http://schemas.openxmlformats.org/officeDocument/2006/relationships/hyperlink" Id="rId119" Target="https://instacertify.com/blog/led-light-street-light-solar-street-light-compliance/" TargetMode="External" /><Relationship Type="http://schemas.openxmlformats.org/officeDocument/2006/relationships/hyperlink" Id="rId15" Target="https://ipindia.gov.in/the-designs-act-2000" TargetMode="External" /><Relationship Type="http://schemas.openxmlformats.org/officeDocument/2006/relationships/hyperlink" Id="rId31" Target="https://kankrishme.com/analyzing-the-draft-computer-related-inventions-cri-guidelines-2025-part-2-key-judgement/" TargetMode="External" /><Relationship Type="http://schemas.openxmlformats.org/officeDocument/2006/relationships/hyperlink" Id="rId191" Target="https://kanoongpt.in/bare-acts/the-consumer-protection-act-2019/section-87-5c530d3a7b90d971" TargetMode="External" /><Relationship Type="http://schemas.openxmlformats.org/officeDocument/2006/relationships/hyperlink" Id="rId79" Target="https://kb.ip.com/pad/knowledge-base/introduction-to-defensive-publishing-and-the-prior-art-database-pad/" TargetMode="External" /><Relationship Type="http://schemas.openxmlformats.org/officeDocument/2006/relationships/hyperlink" Id="rId97" Target="https://khuranaandkhurana.com/2023/01/19/diageo-brands-v-alcobrew-distillerie-why-did-the-court-digress-from-the-judgement-of-the-great-galleon" TargetMode="External" /><Relationship Type="http://schemas.openxmlformats.org/officeDocument/2006/relationships/hyperlink" Id="rId27" Target="https://ksandk.com/data-protection-and-data-privacy/dpdp-rule-6-and-indias-new-cybersecurity-compliance-standard/" TargetMode="External" /><Relationship Type="http://schemas.openxmlformats.org/officeDocument/2006/relationships/hyperlink" Id="rId189" Target="https://lawgist.in/consumer-protection-act/84" TargetMode="External" /><Relationship Type="http://schemas.openxmlformats.org/officeDocument/2006/relationships/hyperlink" Id="rId83" Target="https://lawgist.in/designs-act/21" TargetMode="External" /><Relationship Type="http://schemas.openxmlformats.org/officeDocument/2006/relationships/hyperlink" Id="rId67" Target="https://lawschoolpolicyreview.com/2019/12/22/sui-generis-database-right-a-long-last-road-for-india/" TargetMode="External" /><Relationship Type="http://schemas.openxmlformats.org/officeDocument/2006/relationships/hyperlink" Id="rId53" Target="https://legismith.com/provisional-patent-application-in-india/" TargetMode="External" /><Relationship Type="http://schemas.openxmlformats.org/officeDocument/2006/relationships/hyperlink" Id="rId21" Target="https://nyaaya.org/legal-explainer/punishments-for-consumer-rights-violations/" TargetMode="External" /><Relationship Type="http://schemas.openxmlformats.org/officeDocument/2006/relationships/hyperlink" Id="rId243" Target="https://obhanmason.com/blog/proof-of-right-requirement-in-patents-law/" TargetMode="External" /><Relationship Type="http://schemas.openxmlformats.org/officeDocument/2006/relationships/hyperlink" Id="rId47" Target="https://patents.google.com/patent/US10009978" TargetMode="External" /><Relationship Type="http://schemas.openxmlformats.org/officeDocument/2006/relationships/hyperlink" Id="rId46" Target="https://patents.google.com/patent/US20130173064A1/en" TargetMode="External" /><Relationship Type="http://schemas.openxmlformats.org/officeDocument/2006/relationships/hyperlink" Id="rId43" Target="https://patents.google.com/patent/US8457793B2/en" TargetMode="External" /><Relationship Type="http://schemas.openxmlformats.org/officeDocument/2006/relationships/hyperlink" Id="rId42" Target="https://patents.google.com/patent/US9439260B2/en" TargetMode="External" /><Relationship Type="http://schemas.openxmlformats.org/officeDocument/2006/relationships/hyperlink" Id="rId45" Target="https://patents.google.com/patent/WO2017029368A1/fr" TargetMode="External" /><Relationship Type="http://schemas.openxmlformats.org/officeDocument/2006/relationships/hyperlink" Id="rId48" Target="https://patents.justia.com/patent/11419197" TargetMode="External" /><Relationship Type="http://schemas.openxmlformats.org/officeDocument/2006/relationships/hyperlink" Id="rId131" Target="https://pcnindiaglobal.com/2026/07/20/bis-crs-registration-lithium-ion-batteries-india/" TargetMode="External" /><Relationship Type="http://schemas.openxmlformats.org/officeDocument/2006/relationships/hyperlink" Id="rId78" Target="https://raelize.com/blog/espressif-esp32-bypassing-encrypted-secure-boot-cve-2020-13629/" TargetMode="External" /><Relationship Type="http://schemas.openxmlformats.org/officeDocument/2006/relationships/hyperlink" Id="rId55" Target="https://razorpay.com/learn/patent-cost-in-india/" TargetMode="External" /><Relationship Type="http://schemas.openxmlformats.org/officeDocument/2006/relationships/hyperlink" Id="rId96" Target="https://rnaip.com/wp-content/uploads/2023/01/design-case-on-liquor-bottle.pdf" TargetMode="External" /><Relationship Type="http://schemas.openxmlformats.org/officeDocument/2006/relationships/hyperlink" Id="rId219" Target="https://sarafpartners.com/rbi-issues-the-rbi-regulation-of-payment-aggregators-directions-2025/" TargetMode="External" /><Relationship Type="http://schemas.openxmlformats.org/officeDocument/2006/relationships/hyperlink" Id="rId244" Target="https://selvams.com/blog/proof-of-right-for-indian-patent-applications/" TargetMode="External" /><Relationship Type="http://schemas.openxmlformats.org/officeDocument/2006/relationships/hyperlink" Id="rId87" Target="https://selvams.com/insights/indias-proposed-changes-to-design-law-what-you-should-know/" TargetMode="External" /><Relationship Type="http://schemas.openxmlformats.org/officeDocument/2006/relationships/hyperlink" Id="rId38" Target="https://selvams.com/insights/madras-high-court-holds-that-not-all-inventions-must-yield-physical-products-to-be-patentable/" TargetMode="External" /><Relationship Type="http://schemas.openxmlformats.org/officeDocument/2006/relationships/hyperlink" Id="rId32" Target="https://sflc.in/say-no-to-software-patents-i-the-2025-cri-guidelines/" TargetMode="External" /><Relationship Type="http://schemas.openxmlformats.org/officeDocument/2006/relationships/hyperlink" Id="rId142" Target="https://siacc.co.in/blog/wpc-eta-approval-iot-wireless-devices-india-2026" TargetMode="External" /><Relationship Type="http://schemas.openxmlformats.org/officeDocument/2006/relationships/hyperlink" Id="rId215" Target="https://spans.co.in/knowledge/cpcb-industry-categorization-red-orange-green-white/" TargetMode="External" /><Relationship Type="http://schemas.openxmlformats.org/officeDocument/2006/relationships/hyperlink" Id="rId90" Target="https://spicyip.com/2013/03/full-bench-delhi-hc-design-act-reckitt.html" TargetMode="External" /><Relationship Type="http://schemas.openxmlformats.org/officeDocument/2006/relationships/hyperlink" Id="rId241" Target="https://spicyip.com/2021/05/the-dilemma-of-employer-employee-patent-ownership-in-india.html" TargetMode="External" /><Relationship Type="http://schemas.openxmlformats.org/officeDocument/2006/relationships/hyperlink" Id="rId95" Target="https://spicyip.com/2022/12/monopolizing-the-hipster-test-of-design-infringement-by-the-delhi-high-court.html" TargetMode="External" /><Relationship Type="http://schemas.openxmlformats.org/officeDocument/2006/relationships/hyperlink" Id="rId99" Target="https://ssrana.in/ip-laws/design-law-india/piracy-registered-design-india/" TargetMode="External" /><Relationship Type="http://schemas.openxmlformats.org/officeDocument/2006/relationships/hyperlink" Id="rId237" Target="https://ssrana.in/ip-laws/patents/patent-assignment-cost-india-inr-1600/" TargetMode="External" /><Relationship Type="http://schemas.openxmlformats.org/officeDocument/2006/relationships/hyperlink" Id="rId107" Target="https://ssrana.in/ip-laws/trademarks-in-india/well-known-trademarks-india/" TargetMode="External" /><Relationship Type="http://schemas.openxmlformats.org/officeDocument/2006/relationships/hyperlink" Id="rId238" Target="https://stratjuris.com/decoding-indian-stamp-duty-requirement/" TargetMode="External" /><Relationship Type="http://schemas.openxmlformats.org/officeDocument/2006/relationships/hyperlink" Id="rId180" Target="https://tallysolutions.com/gst/hsn-code-8507-product-classification-gst-rate-battery-classification-itc-guide/" TargetMode="External" /><Relationship Type="http://schemas.openxmlformats.org/officeDocument/2006/relationships/hyperlink" Id="rId169" Target="https://tallysolutions.com/gst/hsn-code-9405-product-classification-gst-rate-business-filing-guide/" TargetMode="External" /><Relationship Type="http://schemas.openxmlformats.org/officeDocument/2006/relationships/hyperlink" Id="rId181" Target="https://tax2win.in/guide/gst-on-battery" TargetMode="External" /><Relationship Type="http://schemas.openxmlformats.org/officeDocument/2006/relationships/hyperlink" Id="rId183" Target="https://tax2win.in/guide/gst-registration-limit" TargetMode="External" /><Relationship Type="http://schemas.openxmlformats.org/officeDocument/2006/relationships/hyperlink" Id="rId165" Target="https://taxguru.in/custom-duty/cbic-imposes-10-bcd-populated-loaded-stuffed-printed-circuit-boards.html" TargetMode="External" /><Relationship Type="http://schemas.openxmlformats.org/officeDocument/2006/relationships/hyperlink" Id="rId182" Target="https://taxguru.in/goods-and-service-tax/section-8-gst-act-tax-liability-composite-mixed-supplies.html" TargetMode="External" /><Relationship Type="http://schemas.openxmlformats.org/officeDocument/2006/relationships/hyperlink" Id="rId220" Target="https://taxguru.in/rbi/rbi-regulation-payment-aggregators-directions-2025.html" TargetMode="External" /><Relationship Type="http://schemas.openxmlformats.org/officeDocument/2006/relationships/hyperlink" Id="rId66" Target="https://thedataeconomylab.com/2021/06/14/understanding-intellectual-property-rights-issues-around-non-personal-databases/" TargetMode="External" /><Relationship Type="http://schemas.openxmlformats.org/officeDocument/2006/relationships/hyperlink" Id="rId100" Target="https://thelegalschool.in/blog/section-22-of-design-act" TargetMode="External" /><Relationship Type="http://schemas.openxmlformats.org/officeDocument/2006/relationships/hyperlink" Id="rId128" Target="https://uk.store.sunlu.com/blogs/product-knowledge/sunlu-abs-fr-filament-ul94-v-0-flame-retardant-glass-fiber-abs-for-high-safety-engineering-applications" TargetMode="External" /><Relationship Type="http://schemas.openxmlformats.org/officeDocument/2006/relationships/hyperlink" Id="rId217" Target="https://uncomplycate.com/wp-content/uploads/2025/06/GPCB-exempts-White-Category-Industries-from-Requirement-of-Consent-to-Establish-and-Consent-to-Operate-June192025.pdf" TargetMode="External" /><Relationship Type="http://schemas.openxmlformats.org/officeDocument/2006/relationships/hyperlink" Id="rId106" Target="https://vakilsearch.com/article/trademark-class-ecommerce-saas-mobile-app-india-2026/" TargetMode="External" /><Relationship Type="http://schemas.openxmlformats.org/officeDocument/2006/relationships/hyperlink" Id="rId14" Target="https://vidhijudicial.com/sec-88-to-93-chapter-vii-(offences-and-penalties)-the-consumer-protection-act,-2019.html" TargetMode="External" /><Relationship Type="http://schemas.openxmlformats.org/officeDocument/2006/relationships/hyperlink" Id="rId22" Target="https://www.aaptaxlaw.com/cpa-2019/section-88-89-90-91-92-93-consumer-protection-act-2019-chapter-vii-offences-and-penalties.html" TargetMode="External" /><Relationship Type="http://schemas.openxmlformats.org/officeDocument/2006/relationships/hyperlink" Id="rId172" Target="https://www.adityabirlacapital.com/abc-of-money/chapter-94-gst-rate-hsn-code-for-lamps-and-lighting-fittings" TargetMode="External" /><Relationship Type="http://schemas.openxmlformats.org/officeDocument/2006/relationships/hyperlink" Id="rId65" Target="https://www.amade-tech.com/battery-test-equipment-for-iec62133-2/" TargetMode="External" /><Relationship Type="http://schemas.openxmlformats.org/officeDocument/2006/relationships/hyperlink" Id="rId18" Target="https://www.amsshardul.com/insight/enforcement-of-the-dpdp-act-and-notification-of-the-dpdp-rules/" TargetMode="External" /><Relationship Type="http://schemas.openxmlformats.org/officeDocument/2006/relationships/hyperlink" Id="rId86" Target="https://www.anandandanand.com/news-insights/proposed-reforms-to-indias-design-protection-framework/" TargetMode="External" /><Relationship Type="http://schemas.openxmlformats.org/officeDocument/2006/relationships/hyperlink" Id="rId200" Target="https://www.argus-p.com/papers-publications/thought-paper/exclusion-clauses-in-contracts-barring-a-claim-for-damages-a-study-on-the-enforceability-of-such-clauses-in-india/" TargetMode="External" /><Relationship Type="http://schemas.openxmlformats.org/officeDocument/2006/relationships/hyperlink" Id="rId225" Target="https://www.argus-p.com/updates/updates/rbi-digital-lending-directions-2025-an-overview/" TargetMode="External" /><Relationship Type="http://schemas.openxmlformats.org/officeDocument/2006/relationships/hyperlink" Id="rId144" Target="https://www.ascgroup.in/service/equipment-type-approval-eta-licensing-from-wpc-department/" TargetMode="External" /><Relationship Type="http://schemas.openxmlformats.org/officeDocument/2006/relationships/hyperlink" Id="rId204" Target="https://www.ascionline.in/wp-content/uploads/guidelines/ASCI_Codes_Guidelines_Book.pdf" TargetMode="External" /><Relationship Type="http://schemas.openxmlformats.org/officeDocument/2006/relationships/hyperlink" Id="rId16" Target="https://www.azbpartners.com/bank/indias-digital-personal-data-protection-act-phased-rollout-and-key-compliance-milestones/" TargetMode="External" /><Relationship Type="http://schemas.openxmlformats.org/officeDocument/2006/relationships/hyperlink" Id="rId223" Target="https://www.azbpartners.com/bank/payment-aggregators-and-gateways-indias-regulatory-framework/" TargetMode="External" /><Relationship Type="http://schemas.openxmlformats.org/officeDocument/2006/relationships/hyperlink" Id="rId226" Target="https://www.azbpartners.com/wp-content/uploads/2025/05/AZB-Update-Digital-Lending-Directions-2025.pdf" TargetMode="External" /><Relationship Type="http://schemas.openxmlformats.org/officeDocument/2006/relationships/hyperlink" Id="rId185" Target="https://www.bajajfinserv.in/eway-bill-limit" TargetMode="External" /><Relationship Type="http://schemas.openxmlformats.org/officeDocument/2006/relationships/hyperlink" Id="rId35" Target="https://www.bananaip.com/intellepedia/cri-guidelines-2025-version-2/" TargetMode="External" /><Relationship Type="http://schemas.openxmlformats.org/officeDocument/2006/relationships/hyperlink" Id="rId92" Target="https://www.bananaip.com/intellepedia/crocs-bata-design-cancellation-costs/" TargetMode="External" /><Relationship Type="http://schemas.openxmlformats.org/officeDocument/2006/relationships/hyperlink" Id="rId102" Target="https://www.bananaip.com/intellepedia/crocs-passing-off-suit-delhi-high-court-shape-trademark/" TargetMode="External" /><Relationship Type="http://schemas.openxmlformats.org/officeDocument/2006/relationships/hyperlink" Id="rId196" Target="https://www.bimakavach.com/blog/product-liability-insurance-in-india-a-comprehensive-guide/" TargetMode="External" /><Relationship Type="http://schemas.openxmlformats.org/officeDocument/2006/relationships/hyperlink" Id="rId149" Target="https://www.bl-india.com/notifications/isi-bis-certification/bis-qco-for-electrical-appliances-2026" TargetMode="External" /><Relationship Type="http://schemas.openxmlformats.org/officeDocument/2006/relationships/hyperlink" Id="rId136" Target="https://www.bluedart.com/banned-commodities" TargetMode="External" /><Relationship Type="http://schemas.openxmlformats.org/officeDocument/2006/relationships/hyperlink" Id="rId214" Target="https://www.business-standard.com/industry/news/white-category-industries-no-longer-need-state-pollution-board-approval-124111302019_1.html" TargetMode="External" /><Relationship Type="http://schemas.openxmlformats.org/officeDocument/2006/relationships/hyperlink" Id="rId233" Target="https://www.caclubindia.com/articles/transfer-of-going-concern-under-gst-how-gst-exemption-applies-but-itc-reversal-and-documentation-still-matter-55371.asp" TargetMode="External" /><Relationship Type="http://schemas.openxmlformats.org/officeDocument/2006/relationships/hyperlink" Id="rId236" Target="https://www.candcip.com/formal-requirements" TargetMode="External" /><Relationship Type="http://schemas.openxmlformats.org/officeDocument/2006/relationships/hyperlink" Id="rId93" Target="https://www.candcip.com/single-post/invalidated-ip-rights-cost-liabilities-lessons-from-crocs-v-bata" TargetMode="External" /><Relationship Type="http://schemas.openxmlformats.org/officeDocument/2006/relationships/hyperlink" Id="rId74" Target="https://www.casemine.com/commentary/in/enforceability-of-post-employment-restrictive-covenants-under-indian-contract-law%3A-analysis-of-american-express-bank%2C-ltd.-v.-ms.-priya-puri/view" TargetMode="External" /><Relationship Type="http://schemas.openxmlformats.org/officeDocument/2006/relationships/hyperlink" Id="rId158" Target="https://www.certification-india.com/en/battery-waste-management-and-epr/" TargetMode="External" /><Relationship Type="http://schemas.openxmlformats.org/officeDocument/2006/relationships/hyperlink" Id="rId135" Target="https://www.certification-india.com/en/ministry-of-electronics-and-information-technology-meity-introduces-mandatory-rated-capacity-testing-for-portable-lithium-ion-batteries/" TargetMode="External" /><Relationship Type="http://schemas.openxmlformats.org/officeDocument/2006/relationships/hyperlink" Id="rId138" Target="https://www.compliancegate.com/un-38-3-guide/" TargetMode="External" /><Relationship Type="http://schemas.openxmlformats.org/officeDocument/2006/relationships/hyperlink" Id="rId176" Target="https://www.credlix.com/hsn-code/85390000" TargetMode="External" /><Relationship Type="http://schemas.openxmlformats.org/officeDocument/2006/relationships/hyperlink" Id="rId118" Target="https://www.crsbis.in/BIS/app_srv/tdc/gl/docs/FAQ_16_11_2018_Rev_13.pdf" TargetMode="External" /><Relationship Type="http://schemas.openxmlformats.org/officeDocument/2006/relationships/hyperlink" Id="rId117" Target="https://www.crsbis.in/BIS/app_srv/tdc/gl/docs/Revised_FAQs.pdf" TargetMode="External" /><Relationship Type="http://schemas.openxmlformats.org/officeDocument/2006/relationships/hyperlink" Id="rId62" Target="https://www.cyrilshroff.com/wp-content/uploads/2024/03/Client-Alert-Patent-Amendment-Rules-2024.pdf" TargetMode="External" /><Relationship Type="http://schemas.openxmlformats.org/officeDocument/2006/relationships/hyperlink" Id="rId44" Target="https://www.dali-alliance.org/standards/IEC62386.html" TargetMode="External" /><Relationship Type="http://schemas.openxmlformats.org/officeDocument/2006/relationships/hyperlink" Id="rId161" Target="https://www.diligencecertification.com/rule-27-legal-metrology-act-2009/" TargetMode="External" /><Relationship Type="http://schemas.openxmlformats.org/officeDocument/2006/relationships/hyperlink" Id="rId85" Target="https://www.dpiit.gov.in/static/uploads/2026/01/791a71ebde47d93b67560f7394be2fec.pdf" TargetMode="External" /><Relationship Type="http://schemas.openxmlformats.org/officeDocument/2006/relationships/hyperlink" Id="rId113" Target="https://www.elitasrcs.com/products/bis-registration-for-fixed-general-purpose-led-luminaries-10322-part-5-sec-1" TargetMode="External" /><Relationship Type="http://schemas.openxmlformats.org/officeDocument/2006/relationships/hyperlink" Id="rId171" Target="https://www.gimbooks.com/blog/led-light-hsn-code-9405-gst-rate-lamps-lighting-fittings-fixtures/" TargetMode="External" /><Relationship Type="http://schemas.openxmlformats.org/officeDocument/2006/relationships/hyperlink" Id="rId54" Target="https://www.globalpatentfiling.com/blog/Navigating-Provisional-and-Complete-Specifications-under-Section-9-of-the-Patents-Act-1970-Insights-for-Innovators-in-2025" TargetMode="External" /><Relationship Type="http://schemas.openxmlformats.org/officeDocument/2006/relationships/hyperlink" Id="rId145" Target="https://www.graniteriverlabs.com/en-us/market-access-services/country/india/wpc-mark" TargetMode="External" /><Relationship Type="http://schemas.openxmlformats.org/officeDocument/2006/relationships/hyperlink" Id="rId71" Target="https://www.iam-media.com/article/closer-look-protecting-trade-secrets-in-india-new-legislation-could-be-the-horizon" TargetMode="External" /><Relationship Type="http://schemas.openxmlformats.org/officeDocument/2006/relationships/hyperlink" Id="rId139" Target="https://www.iata.org/contentassets/05e6d8742b0047259bf3a700bc9d42b9/lithium-battery-guidance-document.pdf" TargetMode="External" /><Relationship Type="http://schemas.openxmlformats.org/officeDocument/2006/relationships/hyperlink" Id="rId156" Target="https://www.iea.org/policies/25166-battery-waste-management-rules-2022" TargetMode="External" /><Relationship Type="http://schemas.openxmlformats.org/officeDocument/2006/relationships/hyperlink" Id="rId69" Target="https://www.ijllr.com/post/originality-after-eastern-book-company-v-d-b-modak-has-india-found-its-own-copyright-threshold" TargetMode="External" /><Relationship Type="http://schemas.openxmlformats.org/officeDocument/2006/relationships/hyperlink" Id="rId143" Target="https://www.imarcengineering.com/blog/how-to-get-a-wpc-import-licence-in-india-for-wireless-equipment" TargetMode="External" /><Relationship Type="http://schemas.openxmlformats.org/officeDocument/2006/relationships/hyperlink" Id="rId224" Target="https://www.incorpx.io/blog/payment-gateway-compliance-rbi-gst-requirements" TargetMode="External" /><Relationship Type="http://schemas.openxmlformats.org/officeDocument/2006/relationships/hyperlink" Id="rId104" Target="https://www.incorpx.io/blog/trademark-classes-explained-india" TargetMode="External" /><Relationship Type="http://schemas.openxmlformats.org/officeDocument/2006/relationships/hyperlink" Id="rId120" Target="https://www.indialaw.in/blog/cro-rules-2026-specialized-equipment/" TargetMode="External" /><Relationship Type="http://schemas.openxmlformats.org/officeDocument/2006/relationships/hyperlink" Id="rId33" Target="https://www.intepat.com/blog/cri-guidelines-2025-patent-india-3k" TargetMode="External" /><Relationship Type="http://schemas.openxmlformats.org/officeDocument/2006/relationships/hyperlink" Id="rId57" Target="https://www.intepat.com/blog/foreign-filing-license-permission" TargetMode="External" /><Relationship Type="http://schemas.openxmlformats.org/officeDocument/2006/relationships/hyperlink" Id="rId68" Target="https://www.intepat.com/blog/originality-in-database-understanding-copyright-thresholds" TargetMode="External" /><Relationship Type="http://schemas.openxmlformats.org/officeDocument/2006/relationships/hyperlink" Id="rId61" Target="https://www.intepat.com/blog/patent-amendment-rules-2024-a-comprehensive-overview" TargetMode="External" /><Relationship Type="http://schemas.openxmlformats.org/officeDocument/2006/relationships/hyperlink" Id="rId239" Target="https://www.intepat.com/blog/patent-fees-cost-india" TargetMode="External" /><Relationship Type="http://schemas.openxmlformats.org/officeDocument/2006/relationships/hyperlink" Id="rId50" Target="https://www.intepat.com/blog/pct-filing-india" TargetMode="External" /><Relationship Type="http://schemas.openxmlformats.org/officeDocument/2006/relationships/hyperlink" Id="rId52" Target="https://www.intepat.com/blog/provisional-patent-application" TargetMode="External" /><Relationship Type="http://schemas.openxmlformats.org/officeDocument/2006/relationships/hyperlink" Id="rId109" Target="https://www.intepat.com/blog/trademark-search" TargetMode="External" /><Relationship Type="http://schemas.openxmlformats.org/officeDocument/2006/relationships/hyperlink" Id="rId30" Target="https://www.investindia.gov.in/team-india-blogs/evolution-patentability-computer-program-based-innovations-india-through-ferid" TargetMode="External" /><Relationship Type="http://schemas.openxmlformats.org/officeDocument/2006/relationships/hyperlink" Id="rId235" Target="https://www.jsalaw.com/wp-content/uploads/2021/07/Intellectual-property-right-assignments-QAndA-India.pdf" TargetMode="External" /><Relationship Type="http://schemas.openxmlformats.org/officeDocument/2006/relationships/hyperlink" Id="rId195" Target="https://www.juscorpus.com/offences-and-penalties-under-the-consumer-protection-act-an-overview/" TargetMode="External" /><Relationship Type="http://schemas.openxmlformats.org/officeDocument/2006/relationships/hyperlink" Id="rId242" Target="https://www.khaitanco.com/sites/default/files/2021-07/Intellectual%20property%20clause%20(employment)%20QAndA%20India.pdf" TargetMode="External" /><Relationship Type="http://schemas.openxmlformats.org/officeDocument/2006/relationships/hyperlink" Id="rId20" Target="https://www.khaitanco.com/thought-leaderships/CCPA-releases-guidelines-for-Prevention-of-Misleading-Advertisements-and-Endorsements-for-Misleading-Advertisements-2022" TargetMode="External" /><Relationship Type="http://schemas.openxmlformats.org/officeDocument/2006/relationships/hyperlink" Id="rId201" Target="https://www.khaitanco.com/thought-leaderships/Stricter-Regulations-on-E-Commerce-The-Consumer-Protection-E-Commerce-Rules-2020" TargetMode="External" /><Relationship Type="http://schemas.openxmlformats.org/officeDocument/2006/relationships/hyperlink" Id="rId88" Target="https://www.khuranaandkhurana.com/2024/10/09/the-intersection-of-industrial-design-and-copyright-law" TargetMode="External" /><Relationship Type="http://schemas.openxmlformats.org/officeDocument/2006/relationships/hyperlink" Id="rId228" Target="https://www.lawrbit.com/article/reserve-bank-of-india-digital-lending-directions-2025/" TargetMode="External" /><Relationship Type="http://schemas.openxmlformats.org/officeDocument/2006/relationships/hyperlink" Id="rId213" Target="https://www.legalwiz.in/blog/form-mgt-14-filing-requirements" TargetMode="External" /><Relationship Type="http://schemas.openxmlformats.org/officeDocument/2006/relationships/hyperlink" Id="rId261" Target="https://www.lexology.com/library/detail.aspx?g=46619cc6-e211-4bc6-b78c-3e1f2ab4f310" TargetMode="External" /><Relationship Type="http://schemas.openxmlformats.org/officeDocument/2006/relationships/hyperlink" Id="rId211" Target="https://www.lexology.com/library/detail.aspx?g=96e04bfc-2f10-4fbd-bef1-57cfeee2e1af" TargetMode="External" /><Relationship Type="http://schemas.openxmlformats.org/officeDocument/2006/relationships/hyperlink" Id="rId245" Target="https://www.lexology.com/library/detail.aspx?g=b2a831c7-dc4a-4b62-8597-3139079809d2" TargetMode="External" /><Relationship Type="http://schemas.openxmlformats.org/officeDocument/2006/relationships/hyperlink" Id="rId227" Target="https://www.lexology.com/library/detail.aspx?g=b5bc9efb-1199-41ee-bc2d-4a149573793b" TargetMode="External" /><Relationship Type="http://schemas.openxmlformats.org/officeDocument/2006/relationships/hyperlink" Id="rId91" Target="https://www.lexology.com/library/detail.aspx?g=c9b43321-f888-40b0-a20a-30ec6b316085" TargetMode="External" /><Relationship Type="http://schemas.openxmlformats.org/officeDocument/2006/relationships/hyperlink" Id="rId162" Target="https://www.lexology.com/library/detail.aspx?g=d1573be9-6f96-4d97-ad56-fc7e7a192d31" TargetMode="External" /><Relationship Type="http://schemas.openxmlformats.org/officeDocument/2006/relationships/hyperlink" Id="rId194" Target="https://www.lexology.com/library/detail.aspx?g=e644c9ae-68a6-4385-8f89-dfcde0beb54c" TargetMode="External" /><Relationship Type="http://schemas.openxmlformats.org/officeDocument/2006/relationships/hyperlink" Id="rId152" Target="https://www.lexology.com/library/detail.aspx?g=e85300c9-e1fb-4745-b007-b94eefa97005" TargetMode="External" /><Relationship Type="http://schemas.openxmlformats.org/officeDocument/2006/relationships/hyperlink" Id="rId125" Target="https://www.lisungroup.com/news/technology-news/requirements-and-judgment-standards-for-glow-wire-testing.html" TargetMode="External" /><Relationship Type="http://schemas.openxmlformats.org/officeDocument/2006/relationships/hyperlink" Id="rId207" Target="https://www.lisungroup.com/standards/cie-s-025-e2015-test-method-for-led-lamps-led-luminaires-and-led-modules-and-its-supplement.html" TargetMode="External" /><Relationship Type="http://schemas.openxmlformats.org/officeDocument/2006/relationships/hyperlink" Id="rId12" Target="https://www.livelaw.in/articles/india-data-protection-board-established-law-543751" TargetMode="External" /><Relationship Type="http://schemas.openxmlformats.org/officeDocument/2006/relationships/hyperlink" Id="rId101" Target="https://www.livelaw.in/high-court/delhi-high-court/passing-off-action-for-product-registered-under-design-act-maintainable-delhi-high-court-restores-crocs-pleas-against-liberty-bata-relaxo-296204" TargetMode="External" /><Relationship Type="http://schemas.openxmlformats.org/officeDocument/2006/relationships/hyperlink" Id="rId94" Target="https://www.livelawbiz.com/amp/design/delhi-high-court-orders-crocs-to-pay-2463-lakh-costs-to-bata-after-design-registration-cancelled-540490" TargetMode="External" /><Relationship Type="http://schemas.openxmlformats.org/officeDocument/2006/relationships/hyperlink" Id="rId203" Target="https://www.lkslaw.com/insights/articles/prevention-of-misleading-advertisements-analysis-of-guidelines-issued-by-central-consumer-protection-authority" TargetMode="External" /><Relationship Type="http://schemas.openxmlformats.org/officeDocument/2006/relationships/hyperlink" Id="rId126" Target="https://www.lvt.com.tr/en/makale/ts-en-60598-1-aydinlatma-armaturleri" TargetMode="External" /><Relationship Type="http://schemas.openxmlformats.org/officeDocument/2006/relationships/hyperlink" Id="rId72" Target="https://www.maheshwariandco.com/blog/non-compete-clauses-india-is-it-enforceable/" TargetMode="External" /><Relationship Type="http://schemas.openxmlformats.org/officeDocument/2006/relationships/hyperlink" Id="rId23" Target="https://www.matters.ai/article/dpdp-breach-notification" TargetMode="External" /><Relationship Type="http://schemas.openxmlformats.org/officeDocument/2006/relationships/hyperlink" Id="rId29" Target="https://www.metayage.com/blogs/decoding-the-ferid-allani-case" TargetMode="External" /><Relationship Type="http://schemas.openxmlformats.org/officeDocument/2006/relationships/hyperlink" Id="rId260" Target="https://www.mewburn.com/law-practice-library/grace-periods-for-disclosure-of-a-design-before-applying-for-a-registered-design-right" TargetMode="External" /><Relationship Type="http://schemas.openxmlformats.org/officeDocument/2006/relationships/hyperlink" Id="rId19" Target="https://www.mondaq.com/india/data-protection/1774316/indias-data-protection-board-the-enforcer-that-isnt-there-yet" TargetMode="External" /><Relationship Type="http://schemas.openxmlformats.org/officeDocument/2006/relationships/hyperlink" Id="rId58" Target="https://www.mondaq.com/india/patent/1066932/section-39-of-the-patents-act-1970" TargetMode="External" /><Relationship Type="http://schemas.openxmlformats.org/officeDocument/2006/relationships/hyperlink" Id="rId11" Target="https://www.mondaq.com/india/patent/1663246/a-detailed-analysis-of-indias-new-cri-guidelines-2025" TargetMode="External" /><Relationship Type="http://schemas.openxmlformats.org/officeDocument/2006/relationships/hyperlink" Id="rId254" Target="https://www.mondaq.com/india/patent/247416/what-are-not-anticipations-exceptions-provided-under-the-indian-patents-act" TargetMode="External" /><Relationship Type="http://schemas.openxmlformats.org/officeDocument/2006/relationships/hyperlink" Id="rId84" Target="https://www.mondaq.com/india/trademark/842144/protecting-designs-an-indian-perspective" TargetMode="External" /><Relationship Type="http://schemas.openxmlformats.org/officeDocument/2006/relationships/hyperlink" Id="rId197" Target="https://www.newindia.co.in/product-liability-insurance" TargetMode="External" /><Relationship Type="http://schemas.openxmlformats.org/officeDocument/2006/relationships/hyperlink" Id="rId205" Target="https://www.obhanandassociates.com/blog/ccpa-guidelines-tighten-the-noose-around-misleading-ads/" TargetMode="External" /><Relationship Type="http://schemas.openxmlformats.org/officeDocument/2006/relationships/hyperlink" Id="rId231" Target="https://www.patronaccounting.com/blog/slump-sale-tax-rules-section-50b" TargetMode="External" /><Relationship Type="http://schemas.openxmlformats.org/officeDocument/2006/relationships/hyperlink" Id="rId192" Target="https://www.pib.gov.in/PressReleasePage.aspx?PRID=1786342&amp;reg=48&amp;lang=2" TargetMode="External" /><Relationship Type="http://schemas.openxmlformats.org/officeDocument/2006/relationships/hyperlink" Id="rId13" Target="https://www.pib.gov.in/PressReleasePage.aspx?PRID=2085748&amp;reg=48&amp;lang=2" TargetMode="External" /><Relationship Type="http://schemas.openxmlformats.org/officeDocument/2006/relationships/hyperlink" Id="rId34" Target="https://www.pib.gov.in/PressReleasePage.aspx?PRID=2149719" TargetMode="External" /><Relationship Type="http://schemas.openxmlformats.org/officeDocument/2006/relationships/hyperlink" Id="rId179" Target="https://www.pib.gov.in/PressReleasePage.aspx?PRID=2163560&amp;reg=48&amp;lang=2" TargetMode="External" /><Relationship Type="http://schemas.openxmlformats.org/officeDocument/2006/relationships/hyperlink" Id="rId17" Target="https://www.privacyworld.blog/2025/11/india-passes-the-digital-personal-data-protection-rules-ushering-in-a-new-digital-age-in-india/" TargetMode="External" /><Relationship Type="http://schemas.openxmlformats.org/officeDocument/2006/relationships/hyperlink" Id="rId134" Target="https://www.psrcompliance.com/blog/bis-certification-lithium-ion-batteries-ev-packs-is-16046" TargetMode="External" /><Relationship Type="http://schemas.openxmlformats.org/officeDocument/2006/relationships/hyperlink" Id="rId105" Target="https://www.registerkaro.in/post/trademark-class-11-lighting-heating-and-cooking" TargetMode="External" /><Relationship Type="http://schemas.openxmlformats.org/officeDocument/2006/relationships/hyperlink" Id="rId108" Target="https://www.registerkaro.in/post/well-known-trademarks" TargetMode="External" /><Relationship Type="http://schemas.openxmlformats.org/officeDocument/2006/relationships/hyperlink" Id="rId89" Target="https://www.rvrattorneys.com/navigating-section-15-of-the-copyright-act-understanding-the-boundary-between-copyright-and-design-protection-in-india/" TargetMode="External" /><Relationship Type="http://schemas.openxmlformats.org/officeDocument/2006/relationships/hyperlink" Id="rId212" Target="https://www.scconline.com/blog/post/2021/02/17/compliance-checklist/" TargetMode="External" /><Relationship Type="http://schemas.openxmlformats.org/officeDocument/2006/relationships/hyperlink" Id="rId193" Target="https://www.scconline.com/blog/post/2022/01/03/pecuniary-jurisdiction-of-district-state-and-national-commissions-revised-vide-consumer-protection-jurisdiction-of-the-district-commission-the-state-commission-and-the-national-commission-rules-2/" TargetMode="External" /><Relationship Type="http://schemas.openxmlformats.org/officeDocument/2006/relationships/hyperlink" Id="rId41" Target="https://www.sciencedirect.com/science/article/abs/pii/S0378778813005331" TargetMode="External" /><Relationship Type="http://schemas.openxmlformats.org/officeDocument/2006/relationships/hyperlink" Id="rId26" Target="https://www.seclore.com/fundamentals/dpdp-rules-2025-compliance-guide/" TargetMode="External" /><Relationship Type="http://schemas.openxmlformats.org/officeDocument/2006/relationships/hyperlink" Id="rId147" Target="https://www.sgs.com.tw/en/news-media-resources-content/page?id=1630" TargetMode="External" /><Relationship Type="http://schemas.openxmlformats.org/officeDocument/2006/relationships/hyperlink" Id="rId122" Target="https://www.ssglobalservices.in/news-updates/bis-crs-led-luminaires-is-10322-series-2026-update" TargetMode="External" /><Relationship Type="http://schemas.openxmlformats.org/officeDocument/2006/relationships/hyperlink" Id="rId133" Target="https://www.standphillindia.in/bis-certification-battery-operated-devices-is-16046.php" TargetMode="External" /><Relationship Type="http://schemas.openxmlformats.org/officeDocument/2006/relationships/hyperlink" Id="rId132" Target="https://www.standphillindia.in/product/lithium-ion-cells-and-batteries.php" TargetMode="External" /><Relationship Type="http://schemas.openxmlformats.org/officeDocument/2006/relationships/hyperlink" Id="rId174" Target="https://www.taxmanagementindia.com/visitor/Detail_Schedule.asp?ID=10178" TargetMode="External" /><Relationship Type="http://schemas.openxmlformats.org/officeDocument/2006/relationships/hyperlink" Id="rId216" Target="https://www.teamleaseregtech.com/blogs/117/white-category-industries-in-india-an-overview/" TargetMode="External" /><Relationship Type="http://schemas.openxmlformats.org/officeDocument/2006/relationships/hyperlink" Id="rId163" Target="https://www.teamleaseregtech.com/updates/article/52716/legal-metrology-packaged-commodities-amendment-rules-2026/" TargetMode="External" /><Relationship Type="http://schemas.openxmlformats.org/officeDocument/2006/relationships/hyperlink" Id="rId59" Target="https://www.theippress.com/2020/07/10/failure-to-obtain-foreign-filing-permit-in-india-illegality-or-irregularity/" TargetMode="External" /><Relationship Type="http://schemas.openxmlformats.org/officeDocument/2006/relationships/hyperlink" Id="rId124" Target="https://www.trilux.com/en/lighting-practice/lighting-equipment/luminaires/fire-protection/resistance-to-glow-wire/" TargetMode="External" /><Relationship Type="http://schemas.openxmlformats.org/officeDocument/2006/relationships/hyperlink" Id="rId116" Target="https://www.vincular.in/led-lighting-crs-bis-regulatory-updates" TargetMode="External" /><Relationship Type="http://schemas.openxmlformats.org/officeDocument/2006/relationships/hyperlink" Id="rId98" Target="https://www.wipo.int/classifications/locarno/its4loc/ITSupport_and_download_area/20210101/revision_files/loc-20210101-E-revision_file.pdf" TargetMode="External" /><Relationship Type="http://schemas.openxmlformats.org/officeDocument/2006/relationships/hyperlink" Id="rId60" Target="https://www.wipo.int/pct/en/docs/fees.pdf" TargetMode="External" /><Relationship Type="http://schemas.openxmlformats.org/officeDocument/2006/relationships/hyperlink" Id="rId70" Target="https://www.worldtrademarkreview.com/guide/india-managing-the-ip-lifecycle/2025/article/practical-guide-protecting-and-enforcing-trade-secrets-in-india-new-bill-the-horizon" TargetMode="External" /><Relationship Type="http://schemas.openxmlformats.org/officeDocument/2006/relationships/hyperlink" Id="rId206" Target="https://www.xal.com/en/services/know-how/cri-colour-rendering-index" TargetMode="External" /><Relationship Type="http://schemas.openxmlformats.org/officeDocument/2006/relationships/hyperlink" Id="rId184" Target="https://www.xflowpay.com/blog/e-invoice-limit" TargetMode="External" /><Relationship Type="http://schemas.openxmlformats.org/officeDocument/2006/relationships/hyperlink" Id="rId137" Target="https://x.com/IndiaPostOffice/status/1957742383182786578?lang=en" TargetMode="External" /></Relationships>
</file>

<file path=word/_rels/footnotes.xml.rels><?xml version="1.0" encoding="UTF-8"?><Relationships xmlns="http://schemas.openxmlformats.org/package/2006/relationships"><Relationship Type="http://schemas.openxmlformats.org/officeDocument/2006/relationships/hyperlink" Id="rId256" Target="https://abhijitbhand.com/blog/form-31-grace-period" TargetMode="External" /><Relationship Type="http://schemas.openxmlformats.org/officeDocument/2006/relationships/hyperlink" Id="rId121" Target="https://absoluteveritas.com/bis-amendment-to-the-electronics-and-information-technology-goods-/" TargetMode="External" /><Relationship Type="http://schemas.openxmlformats.org/officeDocument/2006/relationships/hyperlink" Id="rId166" Target="https://afleo.com/chip-import-monitoring-system-chims/" TargetMode="External" /><Relationship Type="http://schemas.openxmlformats.org/officeDocument/2006/relationships/hyperlink" Id="rId73" Target="https://amlegals.com/navigating-the-legality-of-non-compete-agreements/" TargetMode="External" /><Relationship Type="http://schemas.openxmlformats.org/officeDocument/2006/relationships/hyperlink" Id="rId36" Target="https://asiaiplaw.com/article/india-the-delhi-high-courts-decision-in-opentv" TargetMode="External" /><Relationship Type="http://schemas.openxmlformats.org/officeDocument/2006/relationships/hyperlink" Id="rId49" Target="https://assets.lutron.com/a/documents/daylighting_white-paper.pdf" TargetMode="External" /><Relationship Type="http://schemas.openxmlformats.org/officeDocument/2006/relationships/hyperlink" Id="rId221" Target="https://authbridge.com/blog/rbi-payment-aggregator-master-direction-2025/" TargetMode="External" /><Relationship Type="http://schemas.openxmlformats.org/officeDocument/2006/relationships/hyperlink" Id="rId155" Target="https://avigroup.in/2026/03/18/epr-e-waste-annual-return-fy-2025-26-complete-compliance-checklist/" TargetMode="External" /><Relationship Type="http://schemas.openxmlformats.org/officeDocument/2006/relationships/hyperlink" Id="rId232" Target="https://bcasonline.org/wp-content/uploads/2023/04/Taxation-of-slump-sale-Sec-50B-and-Rule-11UAE.pdf" TargetMode="External" /><Relationship Type="http://schemas.openxmlformats.org/officeDocument/2006/relationships/hyperlink" Id="rId177" Target="https://bizfoc.com/hsn-code/led-bulb-electric-filament-discharge-lamps-8539-gst-rates/" TargetMode="External" /><Relationship Type="http://schemas.openxmlformats.org/officeDocument/2006/relationships/hyperlink" Id="rId77" Target="https://blog.adafruit.com/2019/11/18/esp32-flash-encryption-and-sec-boot-keys-extraction-esp32-encryption-pwn-limitedresults/" TargetMode="External" /><Relationship Type="http://schemas.openxmlformats.org/officeDocument/2006/relationships/hyperlink" Id="rId257" Target="https://blog.ipleaders.in/anticipation-invention-india/" TargetMode="External" /><Relationship Type="http://schemas.openxmlformats.org/officeDocument/2006/relationships/hyperlink" Id="rId170" Target="https://busy.in/hsn/led-light-hsn-code/" TargetMode="External" /><Relationship Type="http://schemas.openxmlformats.org/officeDocument/2006/relationships/hyperlink" Id="rId175" Target="https://busy.in/hsn/light-hsn-code/" TargetMode="External" /><Relationship Type="http://schemas.openxmlformats.org/officeDocument/2006/relationships/hyperlink" Id="rId114" Target="https://c-prav.com/2026/03/15/bis-issues-implementation-guidelines-for-revised-standard-is-16102-part-12026-for-self-ballasted-led-lamps/" TargetMode="External" /><Relationship Type="http://schemas.openxmlformats.org/officeDocument/2006/relationships/hyperlink" Id="rId110" Target="https://cfomatrix.in/insight/trademarks-ip/trademark-symbols-tm-r-sm-india" TargetMode="External" /><Relationship Type="http://schemas.openxmlformats.org/officeDocument/2006/relationships/hyperlink" Id="rId255" Target="https://chambers.com/articles/grace-period-exemptions-on-scientific-publications-under-the-indian-patent-law" TargetMode="External" /><Relationship Type="http://schemas.openxmlformats.org/officeDocument/2006/relationships/hyperlink" Id="rId164" Target="https://chambers.com/articles/lmpc-rules-amended-new-compliance-for-e-commerce" TargetMode="External" /><Relationship Type="http://schemas.openxmlformats.org/officeDocument/2006/relationships/hyperlink" Id="rId153" Target="https://clarityupsc.com/environment-upsc-notes/e-waste-management-rules-recycling-india-upsc" TargetMode="External" /><Relationship Type="http://schemas.openxmlformats.org/officeDocument/2006/relationships/hyperlink" Id="rId230" Target="https://cleartax.in/s/slump-sale" TargetMode="External" /><Relationship Type="http://schemas.openxmlformats.org/officeDocument/2006/relationships/hyperlink" Id="rId150" Target="https://cliniexperts.com/regulatory-update/safety-of-household-commercial-and-similar-electrical-appliances-quality-control-order-2026/" TargetMode="External" /><Relationship Type="http://schemas.openxmlformats.org/officeDocument/2006/relationships/hyperlink" Id="rId160" Target="https://cmet.gov.in/rohs-services" TargetMode="External" /><Relationship Type="http://schemas.openxmlformats.org/officeDocument/2006/relationships/hyperlink" Id="rId25" Target="https://consentos.in/learn/dpdp-vs-it-act/" TargetMode="External" /><Relationship Type="http://schemas.openxmlformats.org/officeDocument/2006/relationships/hyperlink" Id="rId167" Target="https://corpbiz.io/chims-registration" TargetMode="External" /><Relationship Type="http://schemas.openxmlformats.org/officeDocument/2006/relationships/hyperlink" Id="rId159" Target="https://cpcb.nic.in/uploads/Projects/E-Waste/FAQ_ewaste_23012024.pdf" TargetMode="External" /><Relationship Type="http://schemas.openxmlformats.org/officeDocument/2006/relationships/hyperlink" Id="rId178" Target="https://d23z1tp9il9etb.cloudfront.net/download/gstlaw/NOTIFICATION%20NO.%209_2025-CENTRAL%20TAX%20(RATE)1759486688.pdf" TargetMode="External" /><Relationship Type="http://schemas.openxmlformats.org/officeDocument/2006/relationships/hyperlink" Id="rId37" Target="https://depenning.com/blog/robert-bosch-limited-v-deputy-controller-of-patents-and-designs-interpretation-of-sec-3m/" TargetMode="External" /><Relationship Type="http://schemas.openxmlformats.org/officeDocument/2006/relationships/hyperlink" Id="rId40" Target="https://dl.acm.org/doi/10.1145/166117.166135" TargetMode="External" /><Relationship Type="http://schemas.openxmlformats.org/officeDocument/2006/relationships/hyperlink" Id="rId146" Target="https://documentation.espressif.com/ETA-SD-20200704087%20ESP32-PICO-V3-ZERO%20WPC.pdf" TargetMode="External" /><Relationship Type="http://schemas.openxmlformats.org/officeDocument/2006/relationships/hyperlink" Id="rId24" Target="https://dpdpact.net/dpdp-vs-spdi-rules" TargetMode="External" /><Relationship Type="http://schemas.openxmlformats.org/officeDocument/2006/relationships/hyperlink" Id="rId198" Target="https://ecom.insure/lithium-battery-insurance/" TargetMode="External" /><Relationship Type="http://schemas.openxmlformats.org/officeDocument/2006/relationships/hyperlink" Id="rId80" Target="https://en.wikipedia.org/wiki/Defensive_publication" TargetMode="External" /><Relationship Type="http://schemas.openxmlformats.org/officeDocument/2006/relationships/hyperlink" Id="rId222" Target="https://enterslice.com/learning/rbi-2025-guidelines-for-payment-aggregators/" TargetMode="External" /><Relationship Type="http://schemas.openxmlformats.org/officeDocument/2006/relationships/hyperlink" Id="rId157" Target="https://eprbattery.cpcb.gov.in/upload/adminDoc/Frequently%20Asked%20Questions%20(General).pdf" TargetMode="External" /><Relationship Type="http://schemas.openxmlformats.org/officeDocument/2006/relationships/hyperlink" Id="rId141" Target="https://eservices.dot.gov.in/saral/wpc-eta-self-declaration" TargetMode="External" /><Relationship Type="http://schemas.openxmlformats.org/officeDocument/2006/relationships/hyperlink" Id="rId173" Target="https://eximpe.com/hsn/led-light-hsn-code" TargetMode="External" /><Relationship Type="http://schemas.openxmlformats.org/officeDocument/2006/relationships/hyperlink" Id="rId129" Target="https://forerunner3d.com/wp-content/uploads/2024/09/HP-PA12-glass-bead-UL94-and-UL-746A-certification.pdf" TargetMode="External" /><Relationship Type="http://schemas.openxmlformats.org/officeDocument/2006/relationships/hyperlink" Id="rId127" Target="https://forgelabs.com/blog/ul-94-fire-safety-standards-additive-manufacturing" TargetMode="External" /><Relationship Type="http://schemas.openxmlformats.org/officeDocument/2006/relationships/hyperlink" Id="rId154" Target="https://gemrecycling.com/what-is-epr-how-to-calculate-epr-targets-for-e-waste/" TargetMode="External" /><Relationship Type="http://schemas.openxmlformats.org/officeDocument/2006/relationships/hyperlink" Id="rId148" Target="https://gma.caict.ac.cn/en/update/119/845" TargetMode="External" /><Relationship Type="http://schemas.openxmlformats.org/officeDocument/2006/relationships/hyperlink" Id="rId168" Target="https://gstlearn.com/2025/09/17/cgst-r-nn-09-2025-seeks-to-supersede-notification-no-1-2017-central-tax-rate-dated-28-06-2017/" TargetMode="External" /><Relationship Type="http://schemas.openxmlformats.org/officeDocument/2006/relationships/hyperlink" Id="rId76" Target="https://hackaday.com/2020/03/24/breaking-into-a-secure-facility-stm32-flash/" TargetMode="External" /><Relationship Type="http://schemas.openxmlformats.org/officeDocument/2006/relationships/hyperlink" Id="rId75" Target="https://hackmag.com/security/protec-stm32" TargetMode="External" /><Relationship Type="http://schemas.openxmlformats.org/officeDocument/2006/relationships/hyperlink" Id="rId188" Target="https://ibclaw.in/section-84-liability-of-product-manufacturer/" TargetMode="External" /><Relationship Type="http://schemas.openxmlformats.org/officeDocument/2006/relationships/hyperlink" Id="rId190" Target="https://ibclaw.in/section-87-exceptions-to-product-liability-action/" TargetMode="External" /><Relationship Type="http://schemas.openxmlformats.org/officeDocument/2006/relationships/hyperlink" Id="rId210" Target="https://indiacorplaw.in/2017/08/15/object-clause-companies-amendment-bill-flip-flop/" TargetMode="External" /><Relationship Type="http://schemas.openxmlformats.org/officeDocument/2006/relationships/hyperlink" Id="rId202" Target="https://indiankanoon.org/doc/134265065/" TargetMode="External" /><Relationship Type="http://schemas.openxmlformats.org/officeDocument/2006/relationships/hyperlink" Id="rId199" Target="https://indiankanoon.org/doc/62183455/" TargetMode="External" /><Relationship Type="http://schemas.openxmlformats.org/officeDocument/2006/relationships/hyperlink" Id="rId119" Target="https://instacertify.com/blog/led-light-street-light-solar-street-light-compliance/" TargetMode="External" /><Relationship Type="http://schemas.openxmlformats.org/officeDocument/2006/relationships/hyperlink" Id="rId15" Target="https://ipindia.gov.in/the-designs-act-2000" TargetMode="External" /><Relationship Type="http://schemas.openxmlformats.org/officeDocument/2006/relationships/hyperlink" Id="rId31" Target="https://kankrishme.com/analyzing-the-draft-computer-related-inventions-cri-guidelines-2025-part-2-key-judgement/" TargetMode="External" /><Relationship Type="http://schemas.openxmlformats.org/officeDocument/2006/relationships/hyperlink" Id="rId191" Target="https://kanoongpt.in/bare-acts/the-consumer-protection-act-2019/section-87-5c530d3a7b90d971" TargetMode="External" /><Relationship Type="http://schemas.openxmlformats.org/officeDocument/2006/relationships/hyperlink" Id="rId79" Target="https://kb.ip.com/pad/knowledge-base/introduction-to-defensive-publishing-and-the-prior-art-database-pad/" TargetMode="External" /><Relationship Type="http://schemas.openxmlformats.org/officeDocument/2006/relationships/hyperlink" Id="rId97" Target="https://khuranaandkhurana.com/2023/01/19/diageo-brands-v-alcobrew-distillerie-why-did-the-court-digress-from-the-judgement-of-the-great-galleon" TargetMode="External" /><Relationship Type="http://schemas.openxmlformats.org/officeDocument/2006/relationships/hyperlink" Id="rId27" Target="https://ksandk.com/data-protection-and-data-privacy/dpdp-rule-6-and-indias-new-cybersecurity-compliance-standard/" TargetMode="External" /><Relationship Type="http://schemas.openxmlformats.org/officeDocument/2006/relationships/hyperlink" Id="rId189" Target="https://lawgist.in/consumer-protection-act/84" TargetMode="External" /><Relationship Type="http://schemas.openxmlformats.org/officeDocument/2006/relationships/hyperlink" Id="rId83" Target="https://lawgist.in/designs-act/21" TargetMode="External" /><Relationship Type="http://schemas.openxmlformats.org/officeDocument/2006/relationships/hyperlink" Id="rId67" Target="https://lawschoolpolicyreview.com/2019/12/22/sui-generis-database-right-a-long-last-road-for-india/" TargetMode="External" /><Relationship Type="http://schemas.openxmlformats.org/officeDocument/2006/relationships/hyperlink" Id="rId53" Target="https://legismith.com/provisional-patent-application-in-india/" TargetMode="External" /><Relationship Type="http://schemas.openxmlformats.org/officeDocument/2006/relationships/hyperlink" Id="rId21" Target="https://nyaaya.org/legal-explainer/punishments-for-consumer-rights-violations/" TargetMode="External" /><Relationship Type="http://schemas.openxmlformats.org/officeDocument/2006/relationships/hyperlink" Id="rId243" Target="https://obhanmason.com/blog/proof-of-right-requirement-in-patents-law/" TargetMode="External" /><Relationship Type="http://schemas.openxmlformats.org/officeDocument/2006/relationships/hyperlink" Id="rId47" Target="https://patents.google.com/patent/US10009978" TargetMode="External" /><Relationship Type="http://schemas.openxmlformats.org/officeDocument/2006/relationships/hyperlink" Id="rId46" Target="https://patents.google.com/patent/US20130173064A1/en" TargetMode="External" /><Relationship Type="http://schemas.openxmlformats.org/officeDocument/2006/relationships/hyperlink" Id="rId43" Target="https://patents.google.com/patent/US8457793B2/en" TargetMode="External" /><Relationship Type="http://schemas.openxmlformats.org/officeDocument/2006/relationships/hyperlink" Id="rId42" Target="https://patents.google.com/patent/US9439260B2/en" TargetMode="External" /><Relationship Type="http://schemas.openxmlformats.org/officeDocument/2006/relationships/hyperlink" Id="rId45" Target="https://patents.google.com/patent/WO2017029368A1/fr" TargetMode="External" /><Relationship Type="http://schemas.openxmlformats.org/officeDocument/2006/relationships/hyperlink" Id="rId48" Target="https://patents.justia.com/patent/11419197" TargetMode="External" /><Relationship Type="http://schemas.openxmlformats.org/officeDocument/2006/relationships/hyperlink" Id="rId131" Target="https://pcnindiaglobal.com/2026/07/20/bis-crs-registration-lithium-ion-batteries-india/" TargetMode="External" /><Relationship Type="http://schemas.openxmlformats.org/officeDocument/2006/relationships/hyperlink" Id="rId78" Target="https://raelize.com/blog/espressif-esp32-bypassing-encrypted-secure-boot-cve-2020-13629/" TargetMode="External" /><Relationship Type="http://schemas.openxmlformats.org/officeDocument/2006/relationships/hyperlink" Id="rId55" Target="https://razorpay.com/learn/patent-cost-in-india/" TargetMode="External" /><Relationship Type="http://schemas.openxmlformats.org/officeDocument/2006/relationships/hyperlink" Id="rId96" Target="https://rnaip.com/wp-content/uploads/2023/01/design-case-on-liquor-bottle.pdf" TargetMode="External" /><Relationship Type="http://schemas.openxmlformats.org/officeDocument/2006/relationships/hyperlink" Id="rId219" Target="https://sarafpartners.com/rbi-issues-the-rbi-regulation-of-payment-aggregators-directions-2025/" TargetMode="External" /><Relationship Type="http://schemas.openxmlformats.org/officeDocument/2006/relationships/hyperlink" Id="rId244" Target="https://selvams.com/blog/proof-of-right-for-indian-patent-applications/" TargetMode="External" /><Relationship Type="http://schemas.openxmlformats.org/officeDocument/2006/relationships/hyperlink" Id="rId87" Target="https://selvams.com/insights/indias-proposed-changes-to-design-law-what-you-should-know/" TargetMode="External" /><Relationship Type="http://schemas.openxmlformats.org/officeDocument/2006/relationships/hyperlink" Id="rId38" Target="https://selvams.com/insights/madras-high-court-holds-that-not-all-inventions-must-yield-physical-products-to-be-patentable/" TargetMode="External" /><Relationship Type="http://schemas.openxmlformats.org/officeDocument/2006/relationships/hyperlink" Id="rId32" Target="https://sflc.in/say-no-to-software-patents-i-the-2025-cri-guidelines/" TargetMode="External" /><Relationship Type="http://schemas.openxmlformats.org/officeDocument/2006/relationships/hyperlink" Id="rId142" Target="https://siacc.co.in/blog/wpc-eta-approval-iot-wireless-devices-india-2026" TargetMode="External" /><Relationship Type="http://schemas.openxmlformats.org/officeDocument/2006/relationships/hyperlink" Id="rId215" Target="https://spans.co.in/knowledge/cpcb-industry-categorization-red-orange-green-white/" TargetMode="External" /><Relationship Type="http://schemas.openxmlformats.org/officeDocument/2006/relationships/hyperlink" Id="rId90" Target="https://spicyip.com/2013/03/full-bench-delhi-hc-design-act-reckitt.html" TargetMode="External" /><Relationship Type="http://schemas.openxmlformats.org/officeDocument/2006/relationships/hyperlink" Id="rId241" Target="https://spicyip.com/2021/05/the-dilemma-of-employer-employee-patent-ownership-in-india.html" TargetMode="External" /><Relationship Type="http://schemas.openxmlformats.org/officeDocument/2006/relationships/hyperlink" Id="rId95" Target="https://spicyip.com/2022/12/monopolizing-the-hipster-test-of-design-infringement-by-the-delhi-high-court.html" TargetMode="External" /><Relationship Type="http://schemas.openxmlformats.org/officeDocument/2006/relationships/hyperlink" Id="rId99" Target="https://ssrana.in/ip-laws/design-law-india/piracy-registered-design-india/" TargetMode="External" /><Relationship Type="http://schemas.openxmlformats.org/officeDocument/2006/relationships/hyperlink" Id="rId237" Target="https://ssrana.in/ip-laws/patents/patent-assignment-cost-india-inr-1600/" TargetMode="External" /><Relationship Type="http://schemas.openxmlformats.org/officeDocument/2006/relationships/hyperlink" Id="rId107" Target="https://ssrana.in/ip-laws/trademarks-in-india/well-known-trademarks-india/" TargetMode="External" /><Relationship Type="http://schemas.openxmlformats.org/officeDocument/2006/relationships/hyperlink" Id="rId238" Target="https://stratjuris.com/decoding-indian-stamp-duty-requirement/" TargetMode="External" /><Relationship Type="http://schemas.openxmlformats.org/officeDocument/2006/relationships/hyperlink" Id="rId180" Target="https://tallysolutions.com/gst/hsn-code-8507-product-classification-gst-rate-battery-classification-itc-guide/" TargetMode="External" /><Relationship Type="http://schemas.openxmlformats.org/officeDocument/2006/relationships/hyperlink" Id="rId169" Target="https://tallysolutions.com/gst/hsn-code-9405-product-classification-gst-rate-business-filing-guide/" TargetMode="External" /><Relationship Type="http://schemas.openxmlformats.org/officeDocument/2006/relationships/hyperlink" Id="rId181" Target="https://tax2win.in/guide/gst-on-battery" TargetMode="External" /><Relationship Type="http://schemas.openxmlformats.org/officeDocument/2006/relationships/hyperlink" Id="rId183" Target="https://tax2win.in/guide/gst-registration-limit" TargetMode="External" /><Relationship Type="http://schemas.openxmlformats.org/officeDocument/2006/relationships/hyperlink" Id="rId165" Target="https://taxguru.in/custom-duty/cbic-imposes-10-bcd-populated-loaded-stuffed-printed-circuit-boards.html" TargetMode="External" /><Relationship Type="http://schemas.openxmlformats.org/officeDocument/2006/relationships/hyperlink" Id="rId182" Target="https://taxguru.in/goods-and-service-tax/section-8-gst-act-tax-liability-composite-mixed-supplies.html" TargetMode="External" /><Relationship Type="http://schemas.openxmlformats.org/officeDocument/2006/relationships/hyperlink" Id="rId220" Target="https://taxguru.in/rbi/rbi-regulation-payment-aggregators-directions-2025.html" TargetMode="External" /><Relationship Type="http://schemas.openxmlformats.org/officeDocument/2006/relationships/hyperlink" Id="rId66" Target="https://thedataeconomylab.com/2021/06/14/understanding-intellectual-property-rights-issues-around-non-personal-databases/" TargetMode="External" /><Relationship Type="http://schemas.openxmlformats.org/officeDocument/2006/relationships/hyperlink" Id="rId100" Target="https://thelegalschool.in/blog/section-22-of-design-act" TargetMode="External" /><Relationship Type="http://schemas.openxmlformats.org/officeDocument/2006/relationships/hyperlink" Id="rId128" Target="https://uk.store.sunlu.com/blogs/product-knowledge/sunlu-abs-fr-filament-ul94-v-0-flame-retardant-glass-fiber-abs-for-high-safety-engineering-applications" TargetMode="External" /><Relationship Type="http://schemas.openxmlformats.org/officeDocument/2006/relationships/hyperlink" Id="rId217" Target="https://uncomplycate.com/wp-content/uploads/2025/06/GPCB-exempts-White-Category-Industries-from-Requirement-of-Consent-to-Establish-and-Consent-to-Operate-June192025.pdf" TargetMode="External" /><Relationship Type="http://schemas.openxmlformats.org/officeDocument/2006/relationships/hyperlink" Id="rId106" Target="https://vakilsearch.com/article/trademark-class-ecommerce-saas-mobile-app-india-2026/" TargetMode="External" /><Relationship Type="http://schemas.openxmlformats.org/officeDocument/2006/relationships/hyperlink" Id="rId14" Target="https://vidhijudicial.com/sec-88-to-93-chapter-vii-(offences-and-penalties)-the-consumer-protection-act,-2019.html" TargetMode="External" /><Relationship Type="http://schemas.openxmlformats.org/officeDocument/2006/relationships/hyperlink" Id="rId22" Target="https://www.aaptaxlaw.com/cpa-2019/section-88-89-90-91-92-93-consumer-protection-act-2019-chapter-vii-offences-and-penalties.html" TargetMode="External" /><Relationship Type="http://schemas.openxmlformats.org/officeDocument/2006/relationships/hyperlink" Id="rId172" Target="https://www.adityabirlacapital.com/abc-of-money/chapter-94-gst-rate-hsn-code-for-lamps-and-lighting-fittings" TargetMode="External" /><Relationship Type="http://schemas.openxmlformats.org/officeDocument/2006/relationships/hyperlink" Id="rId65" Target="https://www.amade-tech.com/battery-test-equipment-for-iec62133-2/" TargetMode="External" /><Relationship Type="http://schemas.openxmlformats.org/officeDocument/2006/relationships/hyperlink" Id="rId18" Target="https://www.amsshardul.com/insight/enforcement-of-the-dpdp-act-and-notification-of-the-dpdp-rules/" TargetMode="External" /><Relationship Type="http://schemas.openxmlformats.org/officeDocument/2006/relationships/hyperlink" Id="rId86" Target="https://www.anandandanand.com/news-insights/proposed-reforms-to-indias-design-protection-framework/" TargetMode="External" /><Relationship Type="http://schemas.openxmlformats.org/officeDocument/2006/relationships/hyperlink" Id="rId200" Target="https://www.argus-p.com/papers-publications/thought-paper/exclusion-clauses-in-contracts-barring-a-claim-for-damages-a-study-on-the-enforceability-of-such-clauses-in-india/" TargetMode="External" /><Relationship Type="http://schemas.openxmlformats.org/officeDocument/2006/relationships/hyperlink" Id="rId225" Target="https://www.argus-p.com/updates/updates/rbi-digital-lending-directions-2025-an-overview/" TargetMode="External" /><Relationship Type="http://schemas.openxmlformats.org/officeDocument/2006/relationships/hyperlink" Id="rId144" Target="https://www.ascgroup.in/service/equipment-type-approval-eta-licensing-from-wpc-department/" TargetMode="External" /><Relationship Type="http://schemas.openxmlformats.org/officeDocument/2006/relationships/hyperlink" Id="rId204" Target="https://www.ascionline.in/wp-content/uploads/guidelines/ASCI_Codes_Guidelines_Book.pdf" TargetMode="External" /><Relationship Type="http://schemas.openxmlformats.org/officeDocument/2006/relationships/hyperlink" Id="rId16" Target="https://www.azbpartners.com/bank/indias-digital-personal-data-protection-act-phased-rollout-and-key-compliance-milestones/" TargetMode="External" /><Relationship Type="http://schemas.openxmlformats.org/officeDocument/2006/relationships/hyperlink" Id="rId223" Target="https://www.azbpartners.com/bank/payment-aggregators-and-gateways-indias-regulatory-framework/" TargetMode="External" /><Relationship Type="http://schemas.openxmlformats.org/officeDocument/2006/relationships/hyperlink" Id="rId226" Target="https://www.azbpartners.com/wp-content/uploads/2025/05/AZB-Update-Digital-Lending-Directions-2025.pdf" TargetMode="External" /><Relationship Type="http://schemas.openxmlformats.org/officeDocument/2006/relationships/hyperlink" Id="rId185" Target="https://www.bajajfinserv.in/eway-bill-limit" TargetMode="External" /><Relationship Type="http://schemas.openxmlformats.org/officeDocument/2006/relationships/hyperlink" Id="rId35" Target="https://www.bananaip.com/intellepedia/cri-guidelines-2025-version-2/" TargetMode="External" /><Relationship Type="http://schemas.openxmlformats.org/officeDocument/2006/relationships/hyperlink" Id="rId92" Target="https://www.bananaip.com/intellepedia/crocs-bata-design-cancellation-costs/" TargetMode="External" /><Relationship Type="http://schemas.openxmlformats.org/officeDocument/2006/relationships/hyperlink" Id="rId102" Target="https://www.bananaip.com/intellepedia/crocs-passing-off-suit-delhi-high-court-shape-trademark/" TargetMode="External" /><Relationship Type="http://schemas.openxmlformats.org/officeDocument/2006/relationships/hyperlink" Id="rId196" Target="https://www.bimakavach.com/blog/product-liability-insurance-in-india-a-comprehensive-guide/" TargetMode="External" /><Relationship Type="http://schemas.openxmlformats.org/officeDocument/2006/relationships/hyperlink" Id="rId149" Target="https://www.bl-india.com/notifications/isi-bis-certification/bis-qco-for-electrical-appliances-2026" TargetMode="External" /><Relationship Type="http://schemas.openxmlformats.org/officeDocument/2006/relationships/hyperlink" Id="rId136" Target="https://www.bluedart.com/banned-commodities" TargetMode="External" /><Relationship Type="http://schemas.openxmlformats.org/officeDocument/2006/relationships/hyperlink" Id="rId214" Target="https://www.business-standard.com/industry/news/white-category-industries-no-longer-need-state-pollution-board-approval-124111302019_1.html" TargetMode="External" /><Relationship Type="http://schemas.openxmlformats.org/officeDocument/2006/relationships/hyperlink" Id="rId233" Target="https://www.caclubindia.com/articles/transfer-of-going-concern-under-gst-how-gst-exemption-applies-but-itc-reversal-and-documentation-still-matter-55371.asp" TargetMode="External" /><Relationship Type="http://schemas.openxmlformats.org/officeDocument/2006/relationships/hyperlink" Id="rId236" Target="https://www.candcip.com/formal-requirements" TargetMode="External" /><Relationship Type="http://schemas.openxmlformats.org/officeDocument/2006/relationships/hyperlink" Id="rId93" Target="https://www.candcip.com/single-post/invalidated-ip-rights-cost-liabilities-lessons-from-crocs-v-bata" TargetMode="External" /><Relationship Type="http://schemas.openxmlformats.org/officeDocument/2006/relationships/hyperlink" Id="rId74" Target="https://www.casemine.com/commentary/in/enforceability-of-post-employment-restrictive-covenants-under-indian-contract-law%3A-analysis-of-american-express-bank%2C-ltd.-v.-ms.-priya-puri/view" TargetMode="External" /><Relationship Type="http://schemas.openxmlformats.org/officeDocument/2006/relationships/hyperlink" Id="rId158" Target="https://www.certification-india.com/en/battery-waste-management-and-epr/" TargetMode="External" /><Relationship Type="http://schemas.openxmlformats.org/officeDocument/2006/relationships/hyperlink" Id="rId135" Target="https://www.certification-india.com/en/ministry-of-electronics-and-information-technology-meity-introduces-mandatory-rated-capacity-testing-for-portable-lithium-ion-batteries/" TargetMode="External" /><Relationship Type="http://schemas.openxmlformats.org/officeDocument/2006/relationships/hyperlink" Id="rId138" Target="https://www.compliancegate.com/un-38-3-guide/" TargetMode="External" /><Relationship Type="http://schemas.openxmlformats.org/officeDocument/2006/relationships/hyperlink" Id="rId176" Target="https://www.credlix.com/hsn-code/85390000" TargetMode="External" /><Relationship Type="http://schemas.openxmlformats.org/officeDocument/2006/relationships/hyperlink" Id="rId118" Target="https://www.crsbis.in/BIS/app_srv/tdc/gl/docs/FAQ_16_11_2018_Rev_13.pdf" TargetMode="External" /><Relationship Type="http://schemas.openxmlformats.org/officeDocument/2006/relationships/hyperlink" Id="rId117" Target="https://www.crsbis.in/BIS/app_srv/tdc/gl/docs/Revised_FAQs.pdf" TargetMode="External" /><Relationship Type="http://schemas.openxmlformats.org/officeDocument/2006/relationships/hyperlink" Id="rId62" Target="https://www.cyrilshroff.com/wp-content/uploads/2024/03/Client-Alert-Patent-Amendment-Rules-2024.pdf" TargetMode="External" /><Relationship Type="http://schemas.openxmlformats.org/officeDocument/2006/relationships/hyperlink" Id="rId44" Target="https://www.dali-alliance.org/standards/IEC62386.html" TargetMode="External" /><Relationship Type="http://schemas.openxmlformats.org/officeDocument/2006/relationships/hyperlink" Id="rId161" Target="https://www.diligencecertification.com/rule-27-legal-metrology-act-2009/" TargetMode="External" /><Relationship Type="http://schemas.openxmlformats.org/officeDocument/2006/relationships/hyperlink" Id="rId85" Target="https://www.dpiit.gov.in/static/uploads/2026/01/791a71ebde47d93b67560f7394be2fec.pdf" TargetMode="External" /><Relationship Type="http://schemas.openxmlformats.org/officeDocument/2006/relationships/hyperlink" Id="rId113" Target="https://www.elitasrcs.com/products/bis-registration-for-fixed-general-purpose-led-luminaries-10322-part-5-sec-1" TargetMode="External" /><Relationship Type="http://schemas.openxmlformats.org/officeDocument/2006/relationships/hyperlink" Id="rId171" Target="https://www.gimbooks.com/blog/led-light-hsn-code-9405-gst-rate-lamps-lighting-fittings-fixtures/" TargetMode="External" /><Relationship Type="http://schemas.openxmlformats.org/officeDocument/2006/relationships/hyperlink" Id="rId54" Target="https://www.globalpatentfiling.com/blog/Navigating-Provisional-and-Complete-Specifications-under-Section-9-of-the-Patents-Act-1970-Insights-for-Innovators-in-2025" TargetMode="External" /><Relationship Type="http://schemas.openxmlformats.org/officeDocument/2006/relationships/hyperlink" Id="rId145" Target="https://www.graniteriverlabs.com/en-us/market-access-services/country/india/wpc-mark" TargetMode="External" /><Relationship Type="http://schemas.openxmlformats.org/officeDocument/2006/relationships/hyperlink" Id="rId71" Target="https://www.iam-media.com/article/closer-look-protecting-trade-secrets-in-india-new-legislation-could-be-the-horizon" TargetMode="External" /><Relationship Type="http://schemas.openxmlformats.org/officeDocument/2006/relationships/hyperlink" Id="rId139" Target="https://www.iata.org/contentassets/05e6d8742b0047259bf3a700bc9d42b9/lithium-battery-guidance-document.pdf" TargetMode="External" /><Relationship Type="http://schemas.openxmlformats.org/officeDocument/2006/relationships/hyperlink" Id="rId156" Target="https://www.iea.org/policies/25166-battery-waste-management-rules-2022" TargetMode="External" /><Relationship Type="http://schemas.openxmlformats.org/officeDocument/2006/relationships/hyperlink" Id="rId69" Target="https://www.ijllr.com/post/originality-after-eastern-book-company-v-d-b-modak-has-india-found-its-own-copyright-threshold" TargetMode="External" /><Relationship Type="http://schemas.openxmlformats.org/officeDocument/2006/relationships/hyperlink" Id="rId143" Target="https://www.imarcengineering.com/blog/how-to-get-a-wpc-import-licence-in-india-for-wireless-equipment" TargetMode="External" /><Relationship Type="http://schemas.openxmlformats.org/officeDocument/2006/relationships/hyperlink" Id="rId224" Target="https://www.incorpx.io/blog/payment-gateway-compliance-rbi-gst-requirements" TargetMode="External" /><Relationship Type="http://schemas.openxmlformats.org/officeDocument/2006/relationships/hyperlink" Id="rId104" Target="https://www.incorpx.io/blog/trademark-classes-explained-india" TargetMode="External" /><Relationship Type="http://schemas.openxmlformats.org/officeDocument/2006/relationships/hyperlink" Id="rId120" Target="https://www.indialaw.in/blog/cro-rules-2026-specialized-equipment/" TargetMode="External" /><Relationship Type="http://schemas.openxmlformats.org/officeDocument/2006/relationships/hyperlink" Id="rId33" Target="https://www.intepat.com/blog/cri-guidelines-2025-patent-india-3k" TargetMode="External" /><Relationship Type="http://schemas.openxmlformats.org/officeDocument/2006/relationships/hyperlink" Id="rId57" Target="https://www.intepat.com/blog/foreign-filing-license-permission" TargetMode="External" /><Relationship Type="http://schemas.openxmlformats.org/officeDocument/2006/relationships/hyperlink" Id="rId68" Target="https://www.intepat.com/blog/originality-in-database-understanding-copyright-thresholds" TargetMode="External" /><Relationship Type="http://schemas.openxmlformats.org/officeDocument/2006/relationships/hyperlink" Id="rId61" Target="https://www.intepat.com/blog/patent-amendment-rules-2024-a-comprehensive-overview" TargetMode="External" /><Relationship Type="http://schemas.openxmlformats.org/officeDocument/2006/relationships/hyperlink" Id="rId239" Target="https://www.intepat.com/blog/patent-fees-cost-india" TargetMode="External" /><Relationship Type="http://schemas.openxmlformats.org/officeDocument/2006/relationships/hyperlink" Id="rId50" Target="https://www.intepat.com/blog/pct-filing-india" TargetMode="External" /><Relationship Type="http://schemas.openxmlformats.org/officeDocument/2006/relationships/hyperlink" Id="rId52" Target="https://www.intepat.com/blog/provisional-patent-application" TargetMode="External" /><Relationship Type="http://schemas.openxmlformats.org/officeDocument/2006/relationships/hyperlink" Id="rId109" Target="https://www.intepat.com/blog/trademark-search" TargetMode="External" /><Relationship Type="http://schemas.openxmlformats.org/officeDocument/2006/relationships/hyperlink" Id="rId30" Target="https://www.investindia.gov.in/team-india-blogs/evolution-patentability-computer-program-based-innovations-india-through-ferid" TargetMode="External" /><Relationship Type="http://schemas.openxmlformats.org/officeDocument/2006/relationships/hyperlink" Id="rId235" Target="https://www.jsalaw.com/wp-content/uploads/2021/07/Intellectual-property-right-assignments-QAndA-India.pdf" TargetMode="External" /><Relationship Type="http://schemas.openxmlformats.org/officeDocument/2006/relationships/hyperlink" Id="rId195" Target="https://www.juscorpus.com/offences-and-penalties-under-the-consumer-protection-act-an-overview/" TargetMode="External" /><Relationship Type="http://schemas.openxmlformats.org/officeDocument/2006/relationships/hyperlink" Id="rId242" Target="https://www.khaitanco.com/sites/default/files/2021-07/Intellectual%20property%20clause%20(employment)%20QAndA%20India.pdf" TargetMode="External" /><Relationship Type="http://schemas.openxmlformats.org/officeDocument/2006/relationships/hyperlink" Id="rId20" Target="https://www.khaitanco.com/thought-leaderships/CCPA-releases-guidelines-for-Prevention-of-Misleading-Advertisements-and-Endorsements-for-Misleading-Advertisements-2022" TargetMode="External" /><Relationship Type="http://schemas.openxmlformats.org/officeDocument/2006/relationships/hyperlink" Id="rId201" Target="https://www.khaitanco.com/thought-leaderships/Stricter-Regulations-on-E-Commerce-The-Consumer-Protection-E-Commerce-Rules-2020" TargetMode="External" /><Relationship Type="http://schemas.openxmlformats.org/officeDocument/2006/relationships/hyperlink" Id="rId88" Target="https://www.khuranaandkhurana.com/2024/10/09/the-intersection-of-industrial-design-and-copyright-law" TargetMode="External" /><Relationship Type="http://schemas.openxmlformats.org/officeDocument/2006/relationships/hyperlink" Id="rId228" Target="https://www.lawrbit.com/article/reserve-bank-of-india-digital-lending-directions-2025/" TargetMode="External" /><Relationship Type="http://schemas.openxmlformats.org/officeDocument/2006/relationships/hyperlink" Id="rId213" Target="https://www.legalwiz.in/blog/form-mgt-14-filing-requirements" TargetMode="External" /><Relationship Type="http://schemas.openxmlformats.org/officeDocument/2006/relationships/hyperlink" Id="rId261" Target="https://www.lexology.com/library/detail.aspx?g=46619cc6-e211-4bc6-b78c-3e1f2ab4f310" TargetMode="External" /><Relationship Type="http://schemas.openxmlformats.org/officeDocument/2006/relationships/hyperlink" Id="rId211" Target="https://www.lexology.com/library/detail.aspx?g=96e04bfc-2f10-4fbd-bef1-57cfeee2e1af" TargetMode="External" /><Relationship Type="http://schemas.openxmlformats.org/officeDocument/2006/relationships/hyperlink" Id="rId245" Target="https://www.lexology.com/library/detail.aspx?g=b2a831c7-dc4a-4b62-8597-3139079809d2" TargetMode="External" /><Relationship Type="http://schemas.openxmlformats.org/officeDocument/2006/relationships/hyperlink" Id="rId227" Target="https://www.lexology.com/library/detail.aspx?g=b5bc9efb-1199-41ee-bc2d-4a149573793b" TargetMode="External" /><Relationship Type="http://schemas.openxmlformats.org/officeDocument/2006/relationships/hyperlink" Id="rId91" Target="https://www.lexology.com/library/detail.aspx?g=c9b43321-f888-40b0-a20a-30ec6b316085" TargetMode="External" /><Relationship Type="http://schemas.openxmlformats.org/officeDocument/2006/relationships/hyperlink" Id="rId162" Target="https://www.lexology.com/library/detail.aspx?g=d1573be9-6f96-4d97-ad56-fc7e7a192d31" TargetMode="External" /><Relationship Type="http://schemas.openxmlformats.org/officeDocument/2006/relationships/hyperlink" Id="rId194" Target="https://www.lexology.com/library/detail.aspx?g=e644c9ae-68a6-4385-8f89-dfcde0beb54c" TargetMode="External" /><Relationship Type="http://schemas.openxmlformats.org/officeDocument/2006/relationships/hyperlink" Id="rId152" Target="https://www.lexology.com/library/detail.aspx?g=e85300c9-e1fb-4745-b007-b94eefa97005" TargetMode="External" /><Relationship Type="http://schemas.openxmlformats.org/officeDocument/2006/relationships/hyperlink" Id="rId125" Target="https://www.lisungroup.com/news/technology-news/requirements-and-judgment-standards-for-glow-wire-testing.html" TargetMode="External" /><Relationship Type="http://schemas.openxmlformats.org/officeDocument/2006/relationships/hyperlink" Id="rId207" Target="https://www.lisungroup.com/standards/cie-s-025-e2015-test-method-for-led-lamps-led-luminaires-and-led-modules-and-its-supplement.html" TargetMode="External" /><Relationship Type="http://schemas.openxmlformats.org/officeDocument/2006/relationships/hyperlink" Id="rId12" Target="https://www.livelaw.in/articles/india-data-protection-board-established-law-543751" TargetMode="External" /><Relationship Type="http://schemas.openxmlformats.org/officeDocument/2006/relationships/hyperlink" Id="rId101" Target="https://www.livelaw.in/high-court/delhi-high-court/passing-off-action-for-product-registered-under-design-act-maintainable-delhi-high-court-restores-crocs-pleas-against-liberty-bata-relaxo-296204" TargetMode="External" /><Relationship Type="http://schemas.openxmlformats.org/officeDocument/2006/relationships/hyperlink" Id="rId94" Target="https://www.livelawbiz.com/amp/design/delhi-high-court-orders-crocs-to-pay-2463-lakh-costs-to-bata-after-design-registration-cancelled-540490" TargetMode="External" /><Relationship Type="http://schemas.openxmlformats.org/officeDocument/2006/relationships/hyperlink" Id="rId203" Target="https://www.lkslaw.com/insights/articles/prevention-of-misleading-advertisements-analysis-of-guidelines-issued-by-central-consumer-protection-authority" TargetMode="External" /><Relationship Type="http://schemas.openxmlformats.org/officeDocument/2006/relationships/hyperlink" Id="rId126" Target="https://www.lvt.com.tr/en/makale/ts-en-60598-1-aydinlatma-armaturleri" TargetMode="External" /><Relationship Type="http://schemas.openxmlformats.org/officeDocument/2006/relationships/hyperlink" Id="rId72" Target="https://www.maheshwariandco.com/blog/non-compete-clauses-india-is-it-enforceable/" TargetMode="External" /><Relationship Type="http://schemas.openxmlformats.org/officeDocument/2006/relationships/hyperlink" Id="rId23" Target="https://www.matters.ai/article/dpdp-breach-notification" TargetMode="External" /><Relationship Type="http://schemas.openxmlformats.org/officeDocument/2006/relationships/hyperlink" Id="rId29" Target="https://www.metayage.com/blogs/decoding-the-ferid-allani-case" TargetMode="External" /><Relationship Type="http://schemas.openxmlformats.org/officeDocument/2006/relationships/hyperlink" Id="rId260" Target="https://www.mewburn.com/law-practice-library/grace-periods-for-disclosure-of-a-design-before-applying-for-a-registered-design-right" TargetMode="External" /><Relationship Type="http://schemas.openxmlformats.org/officeDocument/2006/relationships/hyperlink" Id="rId19" Target="https://www.mondaq.com/india/data-protection/1774316/indias-data-protection-board-the-enforcer-that-isnt-there-yet" TargetMode="External" /><Relationship Type="http://schemas.openxmlformats.org/officeDocument/2006/relationships/hyperlink" Id="rId58" Target="https://www.mondaq.com/india/patent/1066932/section-39-of-the-patents-act-1970" TargetMode="External" /><Relationship Type="http://schemas.openxmlformats.org/officeDocument/2006/relationships/hyperlink" Id="rId11" Target="https://www.mondaq.com/india/patent/1663246/a-detailed-analysis-of-indias-new-cri-guidelines-2025" TargetMode="External" /><Relationship Type="http://schemas.openxmlformats.org/officeDocument/2006/relationships/hyperlink" Id="rId254" Target="https://www.mondaq.com/india/patent/247416/what-are-not-anticipations-exceptions-provided-under-the-indian-patents-act" TargetMode="External" /><Relationship Type="http://schemas.openxmlformats.org/officeDocument/2006/relationships/hyperlink" Id="rId84" Target="https://www.mondaq.com/india/trademark/842144/protecting-designs-an-indian-perspective" TargetMode="External" /><Relationship Type="http://schemas.openxmlformats.org/officeDocument/2006/relationships/hyperlink" Id="rId197" Target="https://www.newindia.co.in/product-liability-insurance" TargetMode="External" /><Relationship Type="http://schemas.openxmlformats.org/officeDocument/2006/relationships/hyperlink" Id="rId205" Target="https://www.obhanandassociates.com/blog/ccpa-guidelines-tighten-the-noose-around-misleading-ads/" TargetMode="External" /><Relationship Type="http://schemas.openxmlformats.org/officeDocument/2006/relationships/hyperlink" Id="rId231" Target="https://www.patronaccounting.com/blog/slump-sale-tax-rules-section-50b" TargetMode="External" /><Relationship Type="http://schemas.openxmlformats.org/officeDocument/2006/relationships/hyperlink" Id="rId192" Target="https://www.pib.gov.in/PressReleasePage.aspx?PRID=1786342&amp;reg=48&amp;lang=2" TargetMode="External" /><Relationship Type="http://schemas.openxmlformats.org/officeDocument/2006/relationships/hyperlink" Id="rId13" Target="https://www.pib.gov.in/PressReleasePage.aspx?PRID=2085748&amp;reg=48&amp;lang=2" TargetMode="External" /><Relationship Type="http://schemas.openxmlformats.org/officeDocument/2006/relationships/hyperlink" Id="rId34" Target="https://www.pib.gov.in/PressReleasePage.aspx?PRID=2149719" TargetMode="External" /><Relationship Type="http://schemas.openxmlformats.org/officeDocument/2006/relationships/hyperlink" Id="rId179" Target="https://www.pib.gov.in/PressReleasePage.aspx?PRID=2163560&amp;reg=48&amp;lang=2" TargetMode="External" /><Relationship Type="http://schemas.openxmlformats.org/officeDocument/2006/relationships/hyperlink" Id="rId17" Target="https://www.privacyworld.blog/2025/11/india-passes-the-digital-personal-data-protection-rules-ushering-in-a-new-digital-age-in-india/" TargetMode="External" /><Relationship Type="http://schemas.openxmlformats.org/officeDocument/2006/relationships/hyperlink" Id="rId134" Target="https://www.psrcompliance.com/blog/bis-certification-lithium-ion-batteries-ev-packs-is-16046" TargetMode="External" /><Relationship Type="http://schemas.openxmlformats.org/officeDocument/2006/relationships/hyperlink" Id="rId105" Target="https://www.registerkaro.in/post/trademark-class-11-lighting-heating-and-cooking" TargetMode="External" /><Relationship Type="http://schemas.openxmlformats.org/officeDocument/2006/relationships/hyperlink" Id="rId108" Target="https://www.registerkaro.in/post/well-known-trademarks" TargetMode="External" /><Relationship Type="http://schemas.openxmlformats.org/officeDocument/2006/relationships/hyperlink" Id="rId89" Target="https://www.rvrattorneys.com/navigating-section-15-of-the-copyright-act-understanding-the-boundary-between-copyright-and-design-protection-in-india/" TargetMode="External" /><Relationship Type="http://schemas.openxmlformats.org/officeDocument/2006/relationships/hyperlink" Id="rId212" Target="https://www.scconline.com/blog/post/2021/02/17/compliance-checklist/" TargetMode="External" /><Relationship Type="http://schemas.openxmlformats.org/officeDocument/2006/relationships/hyperlink" Id="rId193" Target="https://www.scconline.com/blog/post/2022/01/03/pecuniary-jurisdiction-of-district-state-and-national-commissions-revised-vide-consumer-protection-jurisdiction-of-the-district-commission-the-state-commission-and-the-national-commission-rules-2/" TargetMode="External" /><Relationship Type="http://schemas.openxmlformats.org/officeDocument/2006/relationships/hyperlink" Id="rId41" Target="https://www.sciencedirect.com/science/article/abs/pii/S0378778813005331" TargetMode="External" /><Relationship Type="http://schemas.openxmlformats.org/officeDocument/2006/relationships/hyperlink" Id="rId26" Target="https://www.seclore.com/fundamentals/dpdp-rules-2025-compliance-guide/" TargetMode="External" /><Relationship Type="http://schemas.openxmlformats.org/officeDocument/2006/relationships/hyperlink" Id="rId147" Target="https://www.sgs.com.tw/en/news-media-resources-content/page?id=1630" TargetMode="External" /><Relationship Type="http://schemas.openxmlformats.org/officeDocument/2006/relationships/hyperlink" Id="rId122" Target="https://www.ssglobalservices.in/news-updates/bis-crs-led-luminaires-is-10322-series-2026-update" TargetMode="External" /><Relationship Type="http://schemas.openxmlformats.org/officeDocument/2006/relationships/hyperlink" Id="rId133" Target="https://www.standphillindia.in/bis-certification-battery-operated-devices-is-16046.php" TargetMode="External" /><Relationship Type="http://schemas.openxmlformats.org/officeDocument/2006/relationships/hyperlink" Id="rId132" Target="https://www.standphillindia.in/product/lithium-ion-cells-and-batteries.php" TargetMode="External" /><Relationship Type="http://schemas.openxmlformats.org/officeDocument/2006/relationships/hyperlink" Id="rId174" Target="https://www.taxmanagementindia.com/visitor/Detail_Schedule.asp?ID=10178" TargetMode="External" /><Relationship Type="http://schemas.openxmlformats.org/officeDocument/2006/relationships/hyperlink" Id="rId216" Target="https://www.teamleaseregtech.com/blogs/117/white-category-industries-in-india-an-overview/" TargetMode="External" /><Relationship Type="http://schemas.openxmlformats.org/officeDocument/2006/relationships/hyperlink" Id="rId163" Target="https://www.teamleaseregtech.com/updates/article/52716/legal-metrology-packaged-commodities-amendment-rules-2026/" TargetMode="External" /><Relationship Type="http://schemas.openxmlformats.org/officeDocument/2006/relationships/hyperlink" Id="rId59" Target="https://www.theippress.com/2020/07/10/failure-to-obtain-foreign-filing-permit-in-india-illegality-or-irregularity/" TargetMode="External" /><Relationship Type="http://schemas.openxmlformats.org/officeDocument/2006/relationships/hyperlink" Id="rId124" Target="https://www.trilux.com/en/lighting-practice/lighting-equipment/luminaires/fire-protection/resistance-to-glow-wire/" TargetMode="External" /><Relationship Type="http://schemas.openxmlformats.org/officeDocument/2006/relationships/hyperlink" Id="rId116" Target="https://www.vincular.in/led-lighting-crs-bis-regulatory-updates" TargetMode="External" /><Relationship Type="http://schemas.openxmlformats.org/officeDocument/2006/relationships/hyperlink" Id="rId98" Target="https://www.wipo.int/classifications/locarno/its4loc/ITSupport_and_download_area/20210101/revision_files/loc-20210101-E-revision_file.pdf" TargetMode="External" /><Relationship Type="http://schemas.openxmlformats.org/officeDocument/2006/relationships/hyperlink" Id="rId60" Target="https://www.wipo.int/pct/en/docs/fees.pdf" TargetMode="External" /><Relationship Type="http://schemas.openxmlformats.org/officeDocument/2006/relationships/hyperlink" Id="rId70" Target="https://www.worldtrademarkreview.com/guide/india-managing-the-ip-lifecycle/2025/article/practical-guide-protecting-and-enforcing-trade-secrets-in-india-new-bill-the-horizon" TargetMode="External" /><Relationship Type="http://schemas.openxmlformats.org/officeDocument/2006/relationships/hyperlink" Id="rId206" Target="https://www.xal.com/en/services/know-how/cri-colour-rendering-index" TargetMode="External" /><Relationship Type="http://schemas.openxmlformats.org/officeDocument/2006/relationships/hyperlink" Id="rId184" Target="https://www.xflowpay.com/blog/e-invoice-limit" TargetMode="External" /><Relationship Type="http://schemas.openxmlformats.org/officeDocument/2006/relationships/hyperlink" Id="rId137" Target="https://x.com/IndiaPostOffice/status/1957742383182786578?lang=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Modulark Lighting — India Legal and Regulatory Roadmap</dc:title>
  <dc:creator>Prepared for Modulark Tech Labs Pvt Ltd · working document</dc:creator>
  <dc:language>en-IN</dc:language>
  <cp:keywords/>
  <dcterms:created xsi:type="dcterms:W3CDTF">2026-09-22T14:05:57Z</dcterms:created>
  <dcterms:modified xsi:type="dcterms:W3CDTF">2026-09-22T14:05:57Z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22 September 2026</vt:lpwstr>
  </property>
  <property fmtid="{D5CDD505-2E9C-101B-9397-08002B2CF9AE}" pid="3" name="subtitle">
    <vt:lpwstr>IP, certification, data protection, product liability and corporate structure for the lighting hardware division</vt:lpwstr>
  </property>
</Properties>
</file>