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Statement of Work (SOW)</w:t>
      </w:r>
    </w:p>
    <w:p>
      <w:r>
        <w:t>For: Resource Augmentation Services for Technology Development</w:t>
      </w:r>
    </w:p>
    <w:p>
      <w:r>
        <w:t>This Statement of Work (“SOW”) is made between the following parties:</w:t>
      </w:r>
    </w:p>
    <w:p>
      <w:pPr>
        <w:pStyle w:val="Heading2"/>
      </w:pPr>
      <w:r>
        <w:t>Client (Bank):</w:t>
      </w:r>
    </w:p>
    <w:p>
      <w:r>
        <w:t>[Name of the Bank]</w:t>
      </w:r>
    </w:p>
    <w:p>
      <w:pPr>
        <w:pStyle w:val="Heading2"/>
      </w:pPr>
      <w:r>
        <w:t>Vendor (Service Provider):</w:t>
      </w:r>
    </w:p>
    <w:p>
      <w:r>
        <w:t>[Your Company Name]</w:t>
      </w:r>
    </w:p>
    <w:p>
      <w:pPr>
        <w:pStyle w:val="Heading2"/>
      </w:pPr>
      <w:r>
        <w:t>Effective Date:</w:t>
      </w:r>
    </w:p>
    <w:p>
      <w:r>
        <w:t>[DD/MM/YYYY]</w:t>
      </w:r>
    </w:p>
    <w:p>
      <w:pPr>
        <w:pStyle w:val="Heading2"/>
      </w:pPr>
      <w:r>
        <w:t>1. Background and Purpose</w:t>
      </w:r>
    </w:p>
    <w:p>
      <w:r>
        <w:t>The Bank is engaged in multiple technology transformation initiatives, including modernization of applications, digital channel enhancement, data platform upliftment, and cybersecurity improvements. To support these initiatives, the Bank requires skilled technology professionals to augment its in-house teams. The Vendor shall provide qualified technical resources on a time-and-materials (T&amp;M) basis to support the Bank’s technology development, testing, and maintenance activities.</w:t>
      </w:r>
    </w:p>
    <w:p>
      <w:pPr>
        <w:pStyle w:val="Heading2"/>
      </w:pPr>
      <w:r>
        <w:t>2. Scope of Services</w:t>
      </w:r>
    </w:p>
    <w:p>
      <w:r>
        <w:t>The Vendor will deploy technical professionals (“Augmented Resources”) to work under the Bank’s direction in the following areas:</w:t>
        <w:br/>
        <w:t>• Application development (Java, .NET, Python, etc.)</w:t>
        <w:br/>
        <w:t>• Cloud migration and DevOps enablement</w:t>
        <w:br/>
        <w:t>• API and microservices development</w:t>
        <w:br/>
        <w:t>• Data engineering and analytics</w:t>
        <w:br/>
        <w:t>• Quality assurance / test automation</w:t>
        <w:br/>
        <w:t>• UI/UX and mobile app development</w:t>
        <w:br/>
        <w:t>• Production support and maintenance</w:t>
        <w:br/>
        <w:t>• Cybersecurity and compliance engineering</w:t>
      </w:r>
    </w:p>
    <w:p>
      <w:pPr>
        <w:pStyle w:val="Heading2"/>
      </w:pPr>
      <w:r>
        <w:t>3. Resource Profiles and Roles</w:t>
      </w:r>
    </w:p>
    <w:p>
      <w:r>
        <w:t>Example resource profiles:</w:t>
        <w:br/>
        <w:t>• Senior Software Engineer – Java, Microservices (6+ years)</w:t>
        <w:br/>
        <w:t>• DevOps Engineer – Jenkins, Kubernetes, AWS (5+ years)</w:t>
        <w:br/>
        <w:t>• Data Engineer – SQL, Python, ETL (4+ years)</w:t>
        <w:br/>
        <w:t>• QA Engineer – Selenium, API Testing (3+ years)</w:t>
      </w:r>
    </w:p>
    <w:p>
      <w:pPr>
        <w:pStyle w:val="Heading2"/>
      </w:pPr>
      <w:r>
        <w:t>4. Engagement Model</w:t>
      </w:r>
    </w:p>
    <w:p>
      <w:r>
        <w:t>Resources shall work under the functional supervision of the Bank’s project manager. Vendor shall ensure compliance with payroll, benefits, and legal obligations.</w:t>
      </w:r>
    </w:p>
    <w:p>
      <w:pPr>
        <w:pStyle w:val="Heading2"/>
      </w:pPr>
      <w:r>
        <w:t>5. Deliverables</w:t>
      </w:r>
    </w:p>
    <w:p>
      <w:r>
        <w:t>• Resource Onboarding documentation</w:t>
        <w:br/>
        <w:t>• Weekly and Monthly Status Reports</w:t>
        <w:br/>
        <w:t>• Monthly Invoices with approved timesheets</w:t>
        <w:br/>
        <w:t>• Offboarding and knowledge transfer documentation</w:t>
      </w:r>
    </w:p>
    <w:p>
      <w:pPr>
        <w:pStyle w:val="Heading2"/>
      </w:pPr>
      <w:r>
        <w:t>6. Service Levels</w:t>
      </w:r>
    </w:p>
    <w:p>
      <w:r>
        <w:t>Key SLAs include timely onboarding, resource continuity, and compliance with Bank’s security and attendance policies.</w:t>
      </w:r>
    </w:p>
    <w:p>
      <w:pPr>
        <w:pStyle w:val="Heading2"/>
      </w:pPr>
      <w:r>
        <w:t>7. Duration</w:t>
      </w:r>
    </w:p>
    <w:p>
      <w:r>
        <w:t>This SOW shall remain valid for 12 months from the effective date unless extended by mutual agreement.</w:t>
      </w:r>
    </w:p>
    <w:p>
      <w:pPr>
        <w:pStyle w:val="Heading2"/>
      </w:pPr>
      <w:r>
        <w:t>8. Commercials and Payment Terms</w:t>
      </w:r>
    </w:p>
    <w:p>
      <w:r>
        <w:t>Billing will be on a time-and-materials basis as per the approved rate card. Payment terms are Net 30 days from invoice acceptance.</w:t>
      </w:r>
    </w:p>
    <w:p>
      <w:pPr>
        <w:pStyle w:val="Heading2"/>
      </w:pPr>
      <w:r>
        <w:t>9. Governance</w:t>
      </w:r>
    </w:p>
    <w:p>
      <w:r>
        <w:t>Monthly governance reviews will be held between Vendor and Bank to review performance and utilization.</w:t>
      </w:r>
    </w:p>
    <w:p>
      <w:pPr>
        <w:pStyle w:val="Heading2"/>
      </w:pPr>
      <w:r>
        <w:t>10. Confidentiality and Compliance</w:t>
      </w:r>
    </w:p>
    <w:p>
      <w:r>
        <w:t>Vendor personnel shall adhere to the Bank’s information security, confidentiality, and regulatory compliance standards.</w:t>
      </w:r>
    </w:p>
    <w:p>
      <w:pPr>
        <w:pStyle w:val="Heading2"/>
      </w:pPr>
      <w:r>
        <w:t>11. Termination</w:t>
      </w:r>
    </w:p>
    <w:p>
      <w:r>
        <w:t>Either party may terminate this SOW with 30 days’ written notice or immediately for cause.</w:t>
      </w:r>
    </w:p>
    <w:p>
      <w:pPr>
        <w:pStyle w:val="Heading2"/>
      </w:pPr>
      <w:r>
        <w:t>12. Ownership of Work</w:t>
      </w:r>
    </w:p>
    <w:p>
      <w:r>
        <w:t>All deliverables and intellectual property created under this SOW will be the sole property of the Bank.</w:t>
      </w:r>
    </w:p>
    <w:p>
      <w:pPr>
        <w:pStyle w:val="Heading2"/>
      </w:pPr>
      <w:r>
        <w:t>13. Change Management</w:t>
      </w:r>
    </w:p>
    <w:p>
      <w:r>
        <w:t>Any changes to scope or duration will require a mutually approved Change Request (CR).</w:t>
      </w:r>
    </w:p>
    <w:p>
      <w:pPr>
        <w:pStyle w:val="Heading2"/>
      </w:pPr>
      <w:r>
        <w:t>14. Acceptance</w:t>
      </w:r>
    </w:p>
    <w:p>
      <w:r>
        <w:t>For [Bank Name]: ________________________        Date: ___________</w:t>
        <w:br/>
        <w:t>For [Vendor Name]: ______________________        Date: 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