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i w:val="0"/>
          <w:color w:val="2F5D44"/>
          <w:sz w:val="22"/>
        </w:rPr>
        <w:t>CCF 软件大会 2026 · Rust 软件原型开发竞赛</w:t>
      </w:r>
    </w:p>
    <w:p>
      <w:pPr>
        <w:spacing w:before="0" w:after="800" w:line="348" w:lineRule="auto"/>
      </w:pPr>
      <w:r>
        <w:rPr>
          <w:rFonts w:ascii="微软雅黑" w:hAnsi="微软雅黑" w:eastAsia="微软雅黑"/>
          <w:b w:val="0"/>
          <w:i w:val="0"/>
          <w:color w:val="5F7266"/>
          <w:sz w:val="22"/>
        </w:rPr>
        <w:t>参赛作品技术文档</w:t>
      </w:r>
    </w:p>
    <w:p>
      <w:pPr>
        <w:spacing w:before="0" w:after="160" w:line="348" w:lineRule="auto"/>
      </w:pPr>
      <w:r>
        <w:rPr>
          <w:rFonts w:ascii="微软雅黑" w:hAnsi="微软雅黑" w:eastAsia="微软雅黑"/>
          <w:b/>
          <w:i w:val="0"/>
          <w:color w:val="1F3329"/>
          <w:sz w:val="68"/>
        </w:rPr>
        <w:t>AgentFence Lite</w:t>
      </w:r>
    </w:p>
    <w:p>
      <w:pPr>
        <w:spacing w:before="0" w:after="360" w:line="348" w:lineRule="auto"/>
      </w:pPr>
      <w:r>
        <w:rPr>
          <w:rFonts w:ascii="微软雅黑" w:hAnsi="微软雅黑" w:eastAsia="微软雅黑"/>
          <w:b w:val="0"/>
          <w:i w:val="0"/>
          <w:color w:val="2F5D44"/>
          <w:sz w:val="32"/>
        </w:rPr>
        <w:t>面向 AI Agent 的任务感知工具权限网关</w:t>
      </w:r>
    </w:p>
    <w:p>
      <w:pPr>
        <w:spacing w:before="0" w:after="1800" w:line="348" w:lineRule="auto"/>
      </w:pPr>
      <w:r>
        <w:rPr>
          <w:rFonts w:ascii="宋体" w:hAnsi="宋体" w:eastAsia="宋体"/>
          <w:b w:val="0"/>
          <w:i w:val="0"/>
          <w:color w:val="5F7266"/>
          <w:sz w:val="22"/>
        </w:rPr>
        <w:t>让 Agent 的每一次文件读写，都可授权、可审计、可复现。</w:t>
      </w:r>
    </w:p>
    <w:p>
      <w:pPr>
        <w:spacing w:before="0" w:after="40" w:line="348" w:lineRule="auto"/>
      </w:pPr>
      <w:r>
        <w:rPr>
          <w:rFonts w:ascii="宋体" w:hAnsi="宋体" w:eastAsia="宋体"/>
          <w:b w:val="0"/>
          <w:i w:val="0"/>
          <w:color w:val="1F3329"/>
          <w:sz w:val="20"/>
        </w:rPr>
        <w:t>评审版本  ccf2026-final</w:t>
      </w:r>
    </w:p>
    <w:p>
      <w:pPr>
        <w:spacing w:before="0" w:after="40" w:line="348" w:lineRule="auto"/>
      </w:pPr>
      <w:r>
        <w:rPr>
          <w:rFonts w:ascii="宋体" w:hAnsi="宋体" w:eastAsia="宋体"/>
          <w:b w:val="0"/>
          <w:i w:val="0"/>
          <w:color w:val="1F3329"/>
          <w:sz w:val="20"/>
        </w:rPr>
        <w:t>对应提交  f1193a6</w:t>
      </w:r>
    </w:p>
    <w:p>
      <w:pPr>
        <w:spacing w:before="0" w:after="40" w:line="348" w:lineRule="auto"/>
      </w:pPr>
      <w:r>
        <w:rPr>
          <w:rFonts w:ascii="宋体" w:hAnsi="宋体" w:eastAsia="宋体"/>
          <w:b w:val="0"/>
          <w:i w:val="0"/>
          <w:color w:val="1F3329"/>
          <w:sz w:val="20"/>
        </w:rPr>
        <w:t>项目仓库  github.com/shishuishuia/AgentFence</w:t>
      </w:r>
    </w:p>
    <w:p>
      <w:pPr>
        <w:spacing w:before="0" w:after="40" w:line="348" w:lineRule="auto"/>
      </w:pPr>
      <w:r>
        <w:rPr>
          <w:rFonts w:ascii="宋体" w:hAnsi="宋体" w:eastAsia="宋体"/>
          <w:b w:val="0"/>
          <w:i w:val="0"/>
          <w:color w:val="1F3329"/>
          <w:sz w:val="20"/>
        </w:rPr>
        <w:t>文档日期  2026 年 10 月 30 日</w:t>
      </w:r>
    </w:p>
    <w:p>
      <w:pPr>
        <w:spacing w:before="320" w:after="80" w:line="348" w:lineRule="auto"/>
      </w:pPr>
      <w:r>
        <w:rPr>
          <w:rFonts w:ascii="宋体" w:hAnsi="宋体" w:eastAsia="宋体"/>
          <w:b w:val="0"/>
          <w:i w:val="0"/>
          <w:color w:val="7B8F80"/>
          <w:sz w:val="18"/>
        </w:rPr>
        <w:t>团队与成员信息见报名表。</w:t>
      </w:r>
    </w:p>
    <w:p>
      <w:r>
        <w:br w:type="page"/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摘要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AgentFence Lite 是一个用 Rust 实现的任务感知工具权限网关。它不生产 Agent，而是为外部 AI Agent 的文件工具调用提供统一入口：每次读写在服务端依次通过身份、阶段、精确路径与写租约四项判定，执行前后分别写入 intent 与 result 审计；工作区以不可变快照或隔离副本的形式提供，修改必须由管理员逐文件确认后才写回原项目。当前版本通过 MCP stdio 接入 DeepSeek Harness，Rust 与前端测试合计 170 项、Python 单测 162 项，主分支 CI 全绿，评审版本为 tag ccf2026-final。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5F7266"/>
          <w:sz w:val="20"/>
        </w:rPr>
        <w:t>关键词：AI Agent；最小权限；MCP；写租约；审计；Rust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1  项目简介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1.1  一句话定位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/>
          <w:i w:val="0"/>
          <w:color w:val="2F5D44"/>
          <w:sz w:val="21"/>
        </w:rPr>
        <w:t>把“Agent 能做什么”从提示词里的承诺，变成服务端可执行、可验证的约束。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在大模型开始直接修改代码的今天，团队真正缺的不是更强的 Agent，而是让 Agent 安全落地的中间层：既能表达“这个任务、这段时间、只能改这个文件”，又能在事后拿出逐条证据。AgentFence Lite 就是这一层。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1.2  一页看懂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474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维度</w:t>
            </w:r>
          </w:p>
        </w:tc>
        <w:tc>
          <w:tcPr>
            <w:tcW w:type="dxa" w:w="7710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面向对象</w:t>
            </w:r>
          </w:p>
        </w:tc>
        <w:tc>
          <w:tcPr>
            <w:tcW w:type="dxa" w:w="771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需要让 AI Agent 读写本地代码，但不愿直接授予文件系统权限的团队与个人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交付形态</w:t>
            </w:r>
          </w:p>
        </w:tc>
        <w:tc>
          <w:tcPr>
            <w:tcW w:type="dxa" w:w="771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Rust 工具网关 + MCP stdio 适配器 + Vue 控制台 + 本地只读代理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核心约束</w:t>
            </w:r>
          </w:p>
        </w:tc>
        <w:tc>
          <w:tcPr>
            <w:tcW w:type="dxa" w:w="771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阶段权限、精确路径白名单、限时限次写租约、intent/result 双审计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可验证性</w:t>
            </w:r>
          </w:p>
        </w:tc>
        <w:tc>
          <w:tcPr>
            <w:tcW w:type="dxa" w:w="771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快照 SHA-256、租约状态快照、request_id 请求关联、按实例隔离的事件游标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运行方式</w:t>
            </w:r>
          </w:p>
        </w:tc>
        <w:tc>
          <w:tcPr>
            <w:tcW w:type="dxa" w:w="771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本机回环；Admin Token 与管理接口隔离；外部 Agent 只获得任务级 Token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1.3  它不是 Agent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项目刻意不实现模型推理与任务规划：Agent 可以是 DeepSeek Harness、其他 MCP 客户端，甚至自研运行时。AgentFence 只负责三件事——把文件操作收敛到唯一入口、在入口处做权限判定、把判定与执行结果写成可核对的证据。内置执行器仅用于隔离修改的过渡路径和断网演示，不作为产品的 Agent 能力宣传。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2  研发背景与问题定义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2.1  从“读”到“写”的风险跃迁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只读场景下，Agent 的越权最多带来信息泄露；一旦获得写权限，一次错误的路径、一次过期未撤销的授权、一次并发覆盖，都可能造成不可逆的损失。传统做法把风险寄托在三处：提示词里的“不要改别的文件”、前端隐藏的写按钮、以及人工盯着看。这三者都无法在事后证明“它确实没做”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2.2  现有约束为何不够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前端隐藏：只是界面行为，直接调用 HTTP 或 MCP 即可绕过。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提示词约束：是概率性的，模型不遵守时没有强制手段，也没有拒绝记录。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操作系统沙箱：隔离强，但部署重，且难以表达任务语义——“这个任务在 60 秒内只能写这个文件一次”。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通用策略引擎：擅长表达“谁能否访问什么”，但与文件执行、租约生命周期和审计证据是分离的。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因此需要一层位于 Agent 与文件系统之间的“任务感知”中间件：权限随任务创建、随阶段变化、随租约到期而失效，并且每次判定都留下证据。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2.3  设计目标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1. </w:t>
      </w:r>
      <w:r>
        <w:rPr>
          <w:rFonts w:ascii="宋体" w:hAnsi="宋体" w:eastAsia="宋体"/>
          <w:b w:val="0"/>
          <w:i w:val="0"/>
          <w:color w:val="1F3329"/>
          <w:sz w:val="21"/>
        </w:rPr>
        <w:t>服务端判定：所有授权在 Rust Broker 内完成，前端隐藏不构成安全。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2. </w:t>
      </w:r>
      <w:r>
        <w:rPr>
          <w:rFonts w:ascii="宋体" w:hAnsi="宋体" w:eastAsia="宋体"/>
          <w:b w:val="0"/>
          <w:i w:val="0"/>
          <w:color w:val="1F3329"/>
          <w:sz w:val="21"/>
        </w:rPr>
        <w:t>最小权限可表达：精确到相对路径、有效秒数与使用次数。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3. </w:t>
      </w:r>
      <w:r>
        <w:rPr>
          <w:rFonts w:ascii="宋体" w:hAnsi="宋体" w:eastAsia="宋体"/>
          <w:b w:val="0"/>
          <w:i w:val="0"/>
          <w:color w:val="1F3329"/>
          <w:sz w:val="21"/>
        </w:rPr>
        <w:t>全链路可审计：意图与结果成对记录，可按请求关联、按实例隔离。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4. </w:t>
      </w:r>
      <w:r>
        <w:rPr>
          <w:rFonts w:ascii="宋体" w:hAnsi="宋体" w:eastAsia="宋体"/>
          <w:b w:val="0"/>
          <w:i w:val="0"/>
          <w:color w:val="1F3329"/>
          <w:sz w:val="21"/>
        </w:rPr>
        <w:t>不侵入 Agent：以 MCP 标准接入，外部运行时无需改代码。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2.4  明确的非目标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不实现操作系统级沙箱、通用 MCP 透明代理、多 Agent 调度、Shell 执行、网络代理或模型推理优化。它保护的是“经过 Broker 的调用”，而不是整个 Agent 进程。这一边界在文档、界面与答辩中都被明确标注，避免把工具网关宣传成系统级隔离。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3  核心功能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3.1  四阶段任务模型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任务从创建起绑定一个工作区快照和一种权限配置。阶段只能按顺序推进，Agent 无法自行跳转；只读任务的合法路径是 inspect → verify → done，永远不会进入 edit。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阶段</w:t>
            </w:r>
          </w:p>
        </w:tc>
        <w:tc>
          <w:tcPr>
            <w:tcW w:type="dxa" w:w="2948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允许的工具</w:t>
            </w:r>
          </w:p>
        </w:tc>
        <w:tc>
          <w:tcPr>
            <w:tcW w:type="dxa" w:w="4989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inspect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read_file</w:t>
            </w:r>
          </w:p>
        </w:tc>
        <w:tc>
          <w:tcPr>
            <w:tcW w:type="dxa" w:w="4989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读取已批准的快照文件，不可写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edit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read_file / write_file（需租约）</w:t>
            </w:r>
          </w:p>
        </w:tc>
        <w:tc>
          <w:tcPr>
            <w:tcW w:type="dxa" w:w="4989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仅 controlled_edit 任务；写操作必须持有绑定该路径的有效租约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verify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read_file</w:t>
            </w:r>
          </w:p>
        </w:tc>
        <w:tc>
          <w:tcPr>
            <w:tcW w:type="dxa" w:w="4989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读回修改结果，核对内容与哈希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done</w:t>
            </w:r>
          </w:p>
        </w:tc>
        <w:tc>
          <w:tcPr>
            <w:tcW w:type="dxa" w:w="294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无</w:t>
            </w:r>
          </w:p>
        </w:tc>
        <w:tc>
          <w:tcPr>
            <w:tcW w:type="dxa" w:w="4989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任务关闭，任何工具调用都被拒绝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3.2  快照、只读任务与隔离副本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导入项目时，管理员先预览允许与排除的文件，确认后由 Broker 生成不可变快照；预览 300 秒有效且只能确认一次，源文件变化会被 SNAPSHOT_CHANGED 拒绝。默认上限为 1000 个文件、单文件 64 KiB、总计 20 MiB、20000 个遍历项与 64 层目录，超限明确报错而不是静默截断。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只读任务只读快照；受控修改任务基于快照创建独立副本，模型只能改副本中的已授权现有文件。任务完成后，管理员逐文件查看原内容与修改后内容，确认后才写回原项目；写入前会重新校验副本哈希与原文件是否仍与导入时一致，冲突即拒绝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3.3  外部 Agent 接入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外部 Harness 通过 MCP stdio 调用三个只读工具：列出文件、读取文件、查询任务状态；在隔离副本任务中额外开放写工具。Agent 进程拿不到任务 Token——它只看到命名管道名，由本机中继在转发时注入凭证。守护插件把可用工具收敛到白名单，模型自带的文件与 Shell 工具被拒绝。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3.4  审计与可关联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每次调用在审计中至少留下两条记录：执行前的 intent 与执行后的 result，共享同一个 request_id。前者说明“打算做什么”，后者说明“是否允许、是否执行”。管理员操作（阶段推进、租约签发/撤销、工作区导入）同样带 request_id，因此状态变化也能对回审计。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3.5  控制台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Vue 控制台提供工作区导入、任务列表与详情、差异确认、审计查询和模型凭证入口。审查进行时按秒刷新状态；其余页面每 60 秒轮询，避免字段闪烁。凭证面板只写不读：页面只显示“已配置/未配置”，密钥保存到服务端用户目录，不回显、不写入浏览器存储。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4  技术实现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4.1  分层与职责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模块</w:t>
            </w:r>
          </w:p>
        </w:tc>
        <w:tc>
          <w:tcPr>
            <w:tcW w:type="dxa" w:w="3742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职责</w:t>
            </w:r>
          </w:p>
        </w:tc>
        <w:tc>
          <w:tcPr>
            <w:tcW w:type="dxa" w:w="3515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关键设计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crates/core</w:t>
            </w:r>
          </w:p>
        </w:tc>
        <w:tc>
          <w:tcPr>
            <w:tcW w:type="dxa" w:w="374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纯策略：阶段、路径、租约、错误码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无 HTTP、无文件 I/O，可单独基准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crates/server</w:t>
            </w:r>
          </w:p>
        </w:tc>
        <w:tc>
          <w:tcPr>
            <w:tcW w:type="dxa" w:w="374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HTTP、任务状态机、文件执行、审计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Axum；任务级锁；原子替换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crates/mcp-server</w:t>
            </w:r>
          </w:p>
        </w:tc>
        <w:tc>
          <w:tcPr>
            <w:tcW w:type="dxa" w:w="374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MCP stdio 适配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官方 rmcp 3.8.0；只转发，不直接读写文件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front/</w:t>
            </w:r>
          </w:p>
        </w:tc>
        <w:tc>
          <w:tcPr>
            <w:tcW w:type="dxa" w:w="374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Vue 3 控制台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轮询与实例恢复；差异逐项确认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web_proxy/</w:t>
            </w:r>
          </w:p>
        </w:tc>
        <w:tc>
          <w:tcPr>
            <w:tcW w:type="dxa" w:w="374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本地管理代理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仅回环；同源/CSRF；不向浏览器吐 Token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744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4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48" w:lineRule="auto"/>
        <w:jc w:val="center"/>
      </w:pPr>
      <w:r>
        <w:rPr>
          <w:rFonts w:ascii="宋体" w:hAnsi="宋体" w:eastAsia="宋体"/>
          <w:b w:val="0"/>
          <w:i w:val="0"/>
          <w:color w:val="5F7266"/>
          <w:sz w:val="18"/>
        </w:rPr>
        <w:t>图 1  分层架构与信任边界：外部 Agent 只经 MCP 访问 Broker，凭证不进入浏览器或模型上下文。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4.2  一次工具调用的判定流水线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1. </w:t>
      </w:r>
      <w:r>
        <w:rPr>
          <w:rFonts w:ascii="宋体" w:hAnsi="宋体" w:eastAsia="宋体"/>
          <w:b w:val="0"/>
          <w:i w:val="0"/>
          <w:color w:val="1F3329"/>
          <w:sz w:val="21"/>
        </w:rPr>
        <w:t>认证：Admin Token 与任务 Token 分离；只存 SHA-256 摘要，常量时间比较。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2. </w:t>
      </w:r>
      <w:r>
        <w:rPr>
          <w:rFonts w:ascii="宋体" w:hAnsi="宋体" w:eastAsia="宋体"/>
          <w:b w:val="0"/>
          <w:i w:val="0"/>
          <w:color w:val="1F3329"/>
          <w:sz w:val="21"/>
        </w:rPr>
        <w:t>阶段：done 一律拒绝；write_file 仅在 edit 阶段允许。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3. </w:t>
      </w:r>
      <w:r>
        <w:rPr>
          <w:rFonts w:ascii="宋体" w:hAnsi="宋体" w:eastAsia="宋体"/>
          <w:b w:val="0"/>
          <w:i w:val="0"/>
          <w:color w:val="1F3329"/>
          <w:sz w:val="21"/>
        </w:rPr>
        <w:t>路径：先做可移植语法校验，再做白名单精确匹配，最后逐段检查符号链接、重解析点与普通文件，并比较规范路径前缀。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4. </w:t>
      </w:r>
      <w:r>
        <w:rPr>
          <w:rFonts w:ascii="宋体" w:hAnsi="宋体" w:eastAsia="宋体"/>
          <w:b w:val="0"/>
          <w:i w:val="0"/>
          <w:color w:val="1F3329"/>
          <w:sz w:val="21"/>
        </w:rPr>
        <w:t>租约：必须显式提供 grant_id；按“存在→绑定→撤销→过期→次数”的固定顺序判定。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5. </w:t>
      </w:r>
      <w:r>
        <w:rPr>
          <w:rFonts w:ascii="宋体" w:hAnsi="宋体" w:eastAsia="宋体"/>
          <w:b w:val="0"/>
          <w:i w:val="0"/>
          <w:color w:val="1F3329"/>
          <w:sz w:val="21"/>
        </w:rPr>
        <w:t>执行：同目录临时文件写入、复制原权限、fsync，再原子替换目标文件。</w:t>
      </w:r>
    </w:p>
    <w:p>
      <w:pPr>
        <w:spacing w:before="0" w:after="60" w:line="348" w:lineRule="auto"/>
        <w:ind w:left="420" w:hanging="420"/>
      </w:pPr>
      <w:r>
        <w:rPr>
          <w:rFonts w:ascii="宋体" w:hAnsi="宋体" w:eastAsia="宋体"/>
          <w:b w:val="0"/>
          <w:i w:val="0"/>
          <w:color w:val="1F3329"/>
          <w:sz w:val="21"/>
        </w:rPr>
        <w:t xml:space="preserve">6. </w:t>
      </w:r>
      <w:r>
        <w:rPr>
          <w:rFonts w:ascii="宋体" w:hAnsi="宋体" w:eastAsia="宋体"/>
          <w:b w:val="0"/>
          <w:i w:val="0"/>
          <w:color w:val="1F3329"/>
          <w:sz w:val="21"/>
        </w:rPr>
        <w:t>审计：intent 先落盘，result 后落盘；审计不可用时关闭后续执行，避免“改了但没证据”。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判定与执行在同一任务锁内完成，文件 I/O 与审计放在阻塞线程池，避免占用异步运行时。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4.3  写租约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租约绑定任务、工具与精确路径，有效期 1–300 秒、最多使用 1–10 次。过期使用单调时钟判定，不受系统时间调整影响；展示用的 UTC 截止时间只用于界面。租约状态按“阶段失效 → 撤销 → 过期 → 次数耗尽 → 有效”的优先级计算，成功写入后扣减一次，失败或拒绝不扣减。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4.4  原子写入与审计一致性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写入使用同目录临时文件，保留原权限并 fsync 后原子替换。替换失败时临时文件被清理，目标文件保持原样，租约也不扣减。审计采用按行追加的 JSONL；若 result 写入失败，服务进入失败关闭状态，后续工具调用被拒绝，直到人工检查并重启。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4.5  外部 Agent 的租约注入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模型调用写工具时只提供 path 与 content，不提供 grant_id。管道中继解析 JSON-RPC 帧，在转发前按路径向 Broker 申请一次性租约（TTL 120 秒、1 次），把 grant_id 注入后原样转发给 MCP 子进程；模型伪造的 grant_id 会被覆盖。租约申请失败时原样转发，由 Broker 返回 LEASE_REQUIRED。模型全程接触不到任务 Token 与管理员凭证。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4.6  并发与容错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每个任务持有独立互斥锁，授权、文件操作与租约扣减在同一临界区内完成。单次写入在 10 个并发请求下只会有一个成功；撤销与过期不会取消已进入替换阶段的写操作，但会阻止后续写入。请求超时或断连不能推断“未写入”，调用方必须核对文件、租约与审计后再决定是否重试。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5  Rust 的核心作用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5.1  为什么选择 Rust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这个项目对“确定性”的要求高于对开发速度的要求：权限判定不能被 GC 暂停打乱，租约过期必须与单调时钟严格对应，文件替换必须可控且可清理，审计失败必须立即关闭执行。Rust 的所有权与类型系统让这些约束在编译期成立，而不是靠代码评审去保证。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无 GC：延迟可预测，权限判定是纯函数，基准可稳定复现。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所有权与借用：任务、租约、审计存储的并发访问由类型系统约束，避免数据竞争。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Result 与显式错误：每个拒绝都有稳定错误码，不以异常或字符串表达安全结果。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零成本抽象：策略层保持纯函数，HTTP 层与执行层可独立测量。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5.2  以类型表达安全约束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工作区声明 #![forbid(unsafe_code)]，缺失文档会产生警告；阶段、权限配置、租约状态、错误码都是枚举而非字符串，未知取值无法反序列化。路径校验、租约判定、审计写入分别由独立模块承担，调用方必须显式组合，不能“忘记检查”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5.3  实测性能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4082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场景</w:t>
            </w:r>
          </w:p>
        </w:tc>
        <w:tc>
          <w:tcPr>
            <w:tcW w:type="dxa" w:w="1247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指标</w:t>
            </w:r>
          </w:p>
        </w:tc>
        <w:tc>
          <w:tcPr>
            <w:tcW w:type="dxa" w:w="3855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观测值</w:t>
            </w:r>
          </w:p>
        </w:tc>
      </w:tr>
      <w:tr>
        <w:tc>
          <w:tcPr>
            <w:tcW w:type="dxa" w:w="408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纯策略判定（allow / deny）</w:t>
            </w:r>
          </w:p>
        </w:tc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P50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0.093 µs / 0.024 µs</w:t>
            </w:r>
          </w:p>
        </w:tc>
      </w:tr>
      <w:tr>
        <w:tc>
          <w:tcPr>
            <w:tcW w:type="dxa" w:w="408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HTTP 读取（enforced，4 KiB）</w:t>
            </w:r>
          </w:p>
        </w:tc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P50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0.866 ms</w:t>
            </w:r>
          </w:p>
        </w:tc>
      </w:tr>
      <w:tr>
        <w:tc>
          <w:tcPr>
            <w:tcW w:type="dxa" w:w="408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HTTP 写入（enforced，4 KiB）</w:t>
            </w:r>
          </w:p>
        </w:tc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P50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1.346 ms</w:t>
            </w:r>
          </w:p>
        </w:tc>
      </w:tr>
      <w:tr>
        <w:tc>
          <w:tcPr>
            <w:tcW w:type="dxa" w:w="4082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MCP stdio 读取 vs 直接 HTTP</w:t>
            </w:r>
          </w:p>
        </w:tc>
        <w:tc>
          <w:tcPr>
            <w:tcW w:type="dxa" w:w="124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P50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5.63 ms vs 4.31 ms（+1.32 ms）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5F7266"/>
          <w:sz w:val="18"/>
        </w:rPr>
        <w:t>以上数据分别来自纯策略微基准、Ubuntu CI 配对采样与 MCP 适配开销实验；均为单机观测，包含 HTTP、文件与同步审计，不构成生产性能承诺。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5.4  可复现的工程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依赖由 Cargo.lock 与 package-lock.json 固定，工具链由 rust-toolchain.toml 固定为 1.98.1；CI 覆盖 Linux 与 Windows 的格式、Clippy、测试、文档与 release 构建，并运行黑盒、性能与权限窗口实验。仓库以 MIT 发布，第三方依赖与许可证索引一并归档。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6  效果评估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6.1 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层次</w:t>
            </w:r>
          </w:p>
        </w:tc>
        <w:tc>
          <w:tcPr>
            <w:tcW w:type="dxa" w:w="1474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数量</w:t>
            </w:r>
          </w:p>
        </w:tc>
        <w:tc>
          <w:tcPr>
            <w:tcW w:type="dxa" w:w="6350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覆盖内容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Rust</w:t>
            </w:r>
          </w:p>
        </w:tc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102 项</w:t>
            </w:r>
          </w:p>
        </w:tc>
        <w:tc>
          <w:tcPr>
            <w:tcW w:type="dxa" w:w="635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策略与路径、HTTP 契约、快照与只读、隔离副本、MCP stdio、并发与审计故障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前端</w:t>
            </w:r>
          </w:p>
        </w:tc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68 项</w:t>
            </w:r>
          </w:p>
        </w:tc>
        <w:tc>
          <w:tcPr>
            <w:tcW w:type="dxa" w:w="635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轮询与实例恢复、审计分类、工作区导入、任务与凭证、错误与竞争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Python</w:t>
            </w:r>
          </w:p>
        </w:tc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162 项</w:t>
            </w:r>
          </w:p>
        </w:tc>
        <w:tc>
          <w:tcPr>
            <w:tcW w:type="dxa" w:w="635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HTTP 客户端、只读代理、演示流程、基准工具（集成 62 / 代理 38 / 演示 45 / 基准 17）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黑盒</w:t>
            </w:r>
          </w:p>
        </w:tc>
        <w:tc>
          <w:tcPr>
            <w:tcW w:type="dxa" w:w="147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34 场景</w:t>
            </w:r>
          </w:p>
        </w:tc>
        <w:tc>
          <w:tcPr>
            <w:tcW w:type="dxa" w:w="6350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A01–A10 与 D01–D24：鉴权、阶段、路径、租约、分页、重启与并发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5F7266"/>
          <w:sz w:val="18"/>
        </w:rPr>
        <w:t>主分支 CI 的 Dashboard、Rust 与 V2 B 三条流水线均为 success；评审版本 tag 指向提交 f1193a6。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6.2  权限窗口实验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在同一台 Ubuntu 24.04 / WSL2 机器上，以 6 秒静态授权为基线，对比动态授权实际生效的区间长度。动态模式实际执行阶段与租约约束：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061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场景</w:t>
            </w:r>
          </w:p>
        </w:tc>
        <w:tc>
          <w:tcPr>
            <w:tcW w:type="dxa" w:w="1587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静态时长</w:t>
            </w:r>
          </w:p>
        </w:tc>
        <w:tc>
          <w:tcPr>
            <w:tcW w:type="dxa" w:w="3061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动态观测（3 轮）</w:t>
            </w:r>
          </w:p>
        </w:tc>
        <w:tc>
          <w:tcPr>
            <w:tcW w:type="dxa" w:w="1701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缩减率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租约 TTL 到期</w:t>
            </w:r>
          </w:p>
        </w:tc>
        <w:tc>
          <w:tcPr>
            <w:tcW w:type="dxa" w:w="158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6.000 s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3.97–4.04 s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约 33.3%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离开 edit 阶段</w:t>
            </w:r>
          </w:p>
        </w:tc>
        <w:tc>
          <w:tcPr>
            <w:tcW w:type="dxa" w:w="158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6.000 s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1.79–1.81 s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约 70.0%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撤销/再授权后离开 edit</w:t>
            </w:r>
          </w:p>
        </w:tc>
        <w:tc>
          <w:tcPr>
            <w:tcW w:type="dxa" w:w="158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6.000 s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3.28–3.32 s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约 45.0%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写入次数耗尽</w:t>
            </w:r>
          </w:p>
        </w:tc>
        <w:tc>
          <w:tcPr>
            <w:tcW w:type="dxa" w:w="1587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6.000 s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1.88–1.95 s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约 68.1%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6.3  HTTP 配对实验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268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场景</w:t>
            </w:r>
          </w:p>
        </w:tc>
        <w:tc>
          <w:tcPr>
            <w:tcW w:type="dxa" w:w="2154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enforced P50</w:t>
            </w:r>
          </w:p>
        </w:tc>
        <w:tc>
          <w:tcPr>
            <w:tcW w:type="dxa" w:w="2154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baseline P50</w:t>
            </w:r>
          </w:p>
        </w:tc>
        <w:tc>
          <w:tcPr>
            <w:tcW w:type="dxa" w:w="2041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样本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读取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0.866 ms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0.858 ms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各 300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写入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1.346 ms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1.336 ms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各 300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策略拒绝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0.616 ms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0.603 ms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各 300</w:t>
            </w:r>
          </w:p>
        </w:tc>
      </w:tr>
    </w:tbl>
    <w:p>
      <w:pPr>
        <w:spacing w:after="40"/>
      </w:pP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5F7266"/>
          <w:sz w:val="18"/>
        </w:rPr>
        <w:t>两种模式复用同一 HTTP、文件与审计实现，仅授权步骤不同；三轮差值有正有负，不能据此声称策略开销或性能优势。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6.4  真实模型运行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2026 年 10 月 29 日，以 DeepSeek Harness（deepseek-flash）对一份包含 14 个文件的 Python 练习项目执行只读审查：模型经 MCP 读取 13 个文件，生成 9426 字符报告，审计中 13 条 read_file 结果全部 allowed 且 executed，request_id 与报告引用一一对应。随后一次隔离修改任务只改动一个文件，写入租约由启动器签发，模型未接触凭证；任务在 verify → done 后交由管理员逐文件确认。两次运行均由真实 DeepSeek API 驱动，而不是离线复放。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F5D44"/>
          <w:sz w:val="24"/>
        </w:rPr>
        <w:t>6.5  资源占用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在 34 个黑盒场景的完整负载下，Rust 服务进程的 RSS 峰值为 5372 KiB（约 5.2 MiB），说明网关本身的资源开销很小，适合与本机 Agent 同时运行。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7  相关工作与差异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方向</w:t>
            </w:r>
          </w:p>
        </w:tc>
        <w:tc>
          <w:tcPr>
            <w:tcW w:type="dxa" w:w="3175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代表做法</w:t>
            </w:r>
          </w:p>
        </w:tc>
        <w:tc>
          <w:tcPr>
            <w:tcW w:type="dxa" w:w="4195"/>
            <w:shd w:val="clear" w:color="auto" w:fill="EAF0E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color w:val="1F3329"/>
                <w:sz w:val="18"/>
              </w:rPr>
              <w:t>与本项目的差异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MCP 生态</w:t>
            </w:r>
          </w:p>
        </w:tc>
        <w:tc>
          <w:tcPr>
            <w:tcW w:type="dxa" w:w="317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官方 SDK、各类 MCP Server</w:t>
            </w:r>
          </w:p>
        </w:tc>
        <w:tc>
          <w:tcPr>
            <w:tcW w:type="dxa" w:w="419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多数只负责暴露工具；本项目在其前面加任务级租约、路径限制与双审计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策略引擎</w:t>
            </w:r>
          </w:p>
        </w:tc>
        <w:tc>
          <w:tcPr>
            <w:tcW w:type="dxa" w:w="317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OPA / Cedar</w:t>
            </w:r>
          </w:p>
        </w:tc>
        <w:tc>
          <w:tcPr>
            <w:tcW w:type="dxa" w:w="419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通用策略语言，与文件执行和租约生命周期解耦；本项目把策略绑定到一次具体写入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操作系统沙箱</w:t>
            </w:r>
          </w:p>
        </w:tc>
        <w:tc>
          <w:tcPr>
            <w:tcW w:type="dxa" w:w="317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Firecracker / AppContainer</w:t>
            </w:r>
          </w:p>
        </w:tc>
        <w:tc>
          <w:tcPr>
            <w:tcW w:type="dxa" w:w="419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隔离更强，但部署重且无法表达“任务内 60 秒单次写”这类能力约束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终端 Agent 权限</w:t>
            </w:r>
          </w:p>
        </w:tc>
        <w:tc>
          <w:tcPr>
            <w:tcW w:type="dxa" w:w="317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交互式批准、白名单目录</w:t>
            </w:r>
          </w:p>
        </w:tc>
        <w:tc>
          <w:tcPr>
            <w:tcW w:type="dxa" w:w="4195"/>
          </w:tcPr>
          <w:p>
            <w:pPr>
              <w:spacing w:before="40" w:after="40" w:line="312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1F3329"/>
                <w:sz w:val="18"/>
              </w:rPr>
              <w:t>以人工确认或目录粒度为主；本项目提供可编程、可审计的时间与次数边界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本项目的定位不是替代沙箱，而是补上“任务语义”这一层：沙箱回答“进程能碰到什么”，AgentFence 回答“这个任务此刻被允许做什么，做过什么”。两者可以叠加使用。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8  安全边界与已知限制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只保护经过 Broker 与 MCP 的调用；Agent 若自带未禁用的文件或 Shell 工具，仍可绕过网关直接访问宿主机。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路径检查不是无竞态的安全打开：不抵御同权限进程的并发替换、硬链接攻击或 TOCTOU。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外部 Harness 的信任边界是当前操作系统用户；命名管道只限制其他用户访问。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服务重启后任务、Token 与租约全部失效；JSONL 审计保留，但不在线恢复。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审计文件尾行不完整会阻止启动；写入超时后不能推断“未写入”，必须人工核对。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b w:val="0"/>
          <w:i w:val="0"/>
          <w:color w:val="1F3329"/>
          <w:sz w:val="21"/>
        </w:rPr>
        <w:t>性能与窗口数据来自特定机器与提交，不代表其他环境或生产负载。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5F7266"/>
          <w:sz w:val="18"/>
        </w:rPr>
        <w:t>这些限制写在威胁模型、接口文档和界面提示中，并在答辩中主动说明，而不是等评委追问。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9  总结与后续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AgentFence Lite 用 102 项 Rust 测试、68 项前端测试、162 项 Python 测试和 34 个黑盒场景，验证了一条可落地的路径：把 Agent 的文件操作收敛到服务端网关，用阶段、路径、租约与审计四道约束表达最小权限，并用真实模型运行证明它可与现成 Harness 协同工作。</w:t>
      </w:r>
    </w:p>
    <w:p>
      <w:pPr>
        <w:spacing w:before="0" w:after="80" w:line="348" w:lineRule="auto"/>
        <w:ind w:firstLine="420"/>
      </w:pPr>
      <w:r>
        <w:rPr>
          <w:rFonts w:ascii="宋体" w:hAnsi="宋体" w:eastAsia="宋体"/>
          <w:b w:val="0"/>
          <w:i w:val="0"/>
          <w:color w:val="1F3329"/>
          <w:sz w:val="21"/>
        </w:rPr>
        <w:t>后续工作包括：任务与审计的持久化恢复、Linux 原生运行与更细的进程隔离、面向团队的策略描述格式、更多 Agent 运行时适配，以及在真实开发流程中积累使用数据。</w:t>
      </w:r>
    </w:p>
    <w:p>
      <w:pPr>
        <w:keepNext/>
        <w:spacing w:before="320" w:after="160"/>
        <w:pBdr>
          <w:bottom w:val="single" w:sz="6" w:space="4" w:color="2F5D44"/>
        </w:pBdr>
      </w:pPr>
      <w:r>
        <w:rPr>
          <w:rFonts w:ascii="微软雅黑" w:hAnsi="微软雅黑" w:eastAsia="微软雅黑"/>
          <w:b/>
          <w:i w:val="0"/>
          <w:color w:val="1F3329"/>
          <w:sz w:val="30"/>
        </w:rPr>
        <w:t>附录  复现方式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1F3329"/>
          <w:sz w:val="19"/>
        </w:rPr>
        <w:t>仓库：github.com/shishuishuia/AgentFence    评审版本：tag ccf2026-final（commit f1193a6）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1F3329"/>
          <w:sz w:val="19"/>
        </w:rPr>
        <w:t>最小验证：cargo test -p agentfence-server --test tcp --locked，成功输出 BACKEND_TCP_MINIMAL_PASS。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1F3329"/>
          <w:sz w:val="19"/>
        </w:rPr>
        <w:t>完整演示：构建 target/v2 与 front/dist 后运行 python -m demo.run_v2_dashboard，访问 127.0.0.1:4174/workspaces。</w:t>
      </w:r>
    </w:p>
    <w:p>
      <w:pPr>
        <w:spacing w:before="0" w:after="80" w:line="348" w:lineRule="auto"/>
      </w:pPr>
      <w:r>
        <w:rPr>
          <w:rFonts w:ascii="宋体" w:hAnsi="宋体" w:eastAsia="宋体"/>
          <w:b w:val="0"/>
          <w:i w:val="0"/>
          <w:color w:val="1F3329"/>
          <w:sz w:val="19"/>
        </w:rPr>
        <w:t>外部 Agent：按 docs/external-harness-integration.md 准备固定版本 Harness，运行 --harness-check 验证 ACP 握手。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91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7B8F80"/>
        <w:sz w:val="18"/>
      </w:rPr>
      <w:t xml:space="preserve">第 </w:t>
    </w:r>
    <w:r>
      <w:rPr>
        <w:rFonts w:ascii="宋体" w:hAnsi="宋体" w:eastAsia="宋体"/>
        <w:b w:val="0"/>
        <w:i w:val="0"/>
        <w:color w:val="7B8F8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7B8F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7B8F80"/>
        <w:sz w:val="17"/>
      </w:rPr>
      <w:t>AgentFence Lite · CCF 软件大会 2026 Rust 软件原型开发竞赛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