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160"/>
        <w:jc w:val="center"/>
      </w:pPr>
      <w:r>
        <w:rPr>
          <w:rFonts w:ascii="Arial" w:cs="Arial" w:eastAsia="Arial" w:hAnsi="Arial"/>
          <w:b/>
          <w:bCs/>
          <w:color w:val="1F3864"/>
          <w:sz w:val="64"/>
          <w:szCs w:val="64"/>
        </w:rPr>
        <w:t xml:space="preserve">TanoBox</w:t>
      </w:r>
    </w:p>
    <w:p>
      <w:pPr>
        <w:spacing w:after="80"/>
        <w:jc w:val="center"/>
      </w:pPr>
      <w:r>
        <w:rPr>
          <w:rFonts w:ascii="Arial" w:cs="Arial" w:eastAsia="Arial" w:hAnsi="Arial"/>
          <w:color w:val="2E75B6"/>
          <w:sz w:val="32"/>
          <w:szCs w:val="32"/>
        </w:rPr>
        <w:t xml:space="preserve">Tip-to-Tail Business Plan — v3</w:t>
      </w:r>
    </w:p>
    <w:p>
      <w:pPr>
        <w:spacing w:after="80"/>
        <w:jc w:val="center"/>
      </w:pPr>
      <w:r>
        <w:rPr>
          <w:rFonts w:ascii="Arial" w:cs="Arial" w:eastAsia="Arial" w:hAnsi="Arial"/>
          <w:i/>
          <w:iCs/>
          <w:color w:val="555555"/>
          <w:sz w:val="24"/>
          <w:szCs w:val="24"/>
        </w:rPr>
        <w:t xml:space="preserve">Financial Modeling Software · One-Time Purchase · No Subscription</w:t>
      </w:r>
    </w:p>
    <w:p>
      <w:pPr>
        <w:pBdr>
          <w:bottom w:val="single" w:color="2E75B6" w:sz="6" w:space="1"/>
        </w:pBdr>
        <w:spacing w:after="80" w:before="80"/>
      </w:pPr>
      <w:r>
        <w:t xml:space="preserve"/>
      </w:r>
    </w:p>
    <w:p>
      <w:pPr>
        <w:spacing w:after="80"/>
        <w:jc w:val="center"/>
      </w:pPr>
      <w:r>
        <w:rPr>
          <w:rFonts w:ascii="Arial" w:cs="Arial" w:eastAsia="Arial" w:hAnsi="Arial"/>
          <w:color w:val="555555"/>
          <w:sz w:val="22"/>
          <w:szCs w:val="22"/>
        </w:rPr>
        <w:t xml:space="preserve">Tano Studio LLC · Georgetown, TX · April 2026</w:t>
      </w:r>
    </w:p>
    <w:p>
      <w:pPr>
        <w:spacing w:after="160"/>
      </w:pPr>
      <w:r>
        <w:t xml:space="preserve"/>
      </w:r>
    </w:p>
    <w:p>
      <w:pPr>
        <w:spacing w:after="160"/>
      </w:pPr>
      <w:r>
        <w:t xml:space="preserve"/>
      </w:r>
    </w:p>
    <w:p>
      <w:pPr>
        <w:spacing w:after="120"/>
        <w:jc w:val="center"/>
      </w:pPr>
      <w:r>
        <w:rPr>
          <w:rFonts w:ascii="Arial" w:cs="Arial" w:eastAsia="Arial" w:hAnsi="Arial"/>
          <w:b/>
          <w:bCs/>
          <w:sz w:val="24"/>
          <w:szCs w:val="24"/>
        </w:rPr>
        <w:t xml:space="preserve">What This Plan Covers</w:t>
      </w:r>
    </w:p>
    <w:p>
      <w:pPr>
        <w:pStyle w:val="ListParagraph"/>
        <w:numPr>
          <w:ilvl w:val="0"/>
          <w:numId w:val="2"/>
        </w:numPr>
        <w:spacing w:after="80"/>
      </w:pPr>
      <w:r>
        <w:rPr>
          <w:rFonts w:ascii="Arial" w:cs="Arial" w:eastAsia="Arial" w:hAnsi="Arial"/>
          <w:sz w:val="22"/>
          <w:szCs w:val="22"/>
        </w:rPr>
        <w:t xml:space="preserve">Product Definition &amp; Technical Architecture</w:t>
      </w:r>
    </w:p>
    <w:p>
      <w:pPr>
        <w:pStyle w:val="ListParagraph"/>
        <w:numPr>
          <w:ilvl w:val="0"/>
          <w:numId w:val="2"/>
        </w:numPr>
        <w:spacing w:after="80"/>
      </w:pPr>
      <w:r>
        <w:rPr>
          <w:rFonts w:ascii="Arial" w:cs="Arial" w:eastAsia="Arial" w:hAnsi="Arial"/>
          <w:sz w:val="22"/>
          <w:szCs w:val="22"/>
        </w:rPr>
        <w:t xml:space="preserve">Custom Calculation Engine (replacing HyperFormula)</w:t>
      </w:r>
    </w:p>
    <w:p>
      <w:pPr>
        <w:pStyle w:val="ListParagraph"/>
        <w:numPr>
          <w:ilvl w:val="0"/>
          <w:numId w:val="2"/>
        </w:numPr>
        <w:spacing w:after="80"/>
      </w:pPr>
      <w:r>
        <w:rPr>
          <w:rFonts w:ascii="Arial" w:cs="Arial" w:eastAsia="Arial" w:hAnsi="Arial"/>
          <w:sz w:val="22"/>
          <w:szCs w:val="22"/>
        </w:rPr>
        <w:t xml:space="preserve">All Known Issues &amp; Solutions</w:t>
      </w:r>
    </w:p>
    <w:p>
      <w:pPr>
        <w:pStyle w:val="ListParagraph"/>
        <w:numPr>
          <w:ilvl w:val="0"/>
          <w:numId w:val="2"/>
        </w:numPr>
        <w:spacing w:after="80"/>
      </w:pPr>
      <w:r>
        <w:rPr>
          <w:rFonts w:ascii="Arial" w:cs="Arial" w:eastAsia="Arial" w:hAnsi="Arial"/>
          <w:sz w:val="22"/>
          <w:szCs w:val="22"/>
        </w:rPr>
        <w:t xml:space="preserve">Windows Imaging Workflow</w:t>
      </w:r>
    </w:p>
    <w:p>
      <w:pPr>
        <w:pStyle w:val="ListParagraph"/>
        <w:numPr>
          <w:ilvl w:val="0"/>
          <w:numId w:val="2"/>
        </w:numPr>
        <w:spacing w:after="80"/>
      </w:pPr>
      <w:r>
        <w:rPr>
          <w:rFonts w:ascii="Arial" w:cs="Arial" w:eastAsia="Arial" w:hAnsi="Arial"/>
          <w:sz w:val="22"/>
          <w:szCs w:val="22"/>
        </w:rPr>
        <w:t xml:space="preserve">Cost Structure &amp; Pricing</w:t>
      </w:r>
    </w:p>
    <w:p>
      <w:pPr>
        <w:pStyle w:val="ListParagraph"/>
        <w:numPr>
          <w:ilvl w:val="0"/>
          <w:numId w:val="2"/>
        </w:numPr>
        <w:spacing w:after="80"/>
      </w:pPr>
      <w:r>
        <w:rPr>
          <w:rFonts w:ascii="Arial" w:cs="Arial" w:eastAsia="Arial" w:hAnsi="Arial"/>
          <w:sz w:val="22"/>
          <w:szCs w:val="22"/>
        </w:rPr>
        <w:t xml:space="preserve">Revenue Projections — Three Partner Scenarios</w:t>
      </w:r>
    </w:p>
    <w:p>
      <w:pPr>
        <w:pStyle w:val="ListParagraph"/>
        <w:numPr>
          <w:ilvl w:val="0"/>
          <w:numId w:val="2"/>
        </w:numPr>
        <w:spacing w:after="80"/>
      </w:pPr>
      <w:r>
        <w:rPr>
          <w:rFonts w:ascii="Arial" w:cs="Arial" w:eastAsia="Arial" w:hAnsi="Arial"/>
          <w:sz w:val="22"/>
          <w:szCs w:val="22"/>
        </w:rPr>
        <w:t xml:space="preserve">Customer Acquisition</w:t>
      </w:r>
    </w:p>
    <w:p>
      <w:pPr>
        <w:pStyle w:val="ListParagraph"/>
        <w:numPr>
          <w:ilvl w:val="0"/>
          <w:numId w:val="2"/>
        </w:numPr>
        <w:spacing w:after="80"/>
      </w:pPr>
      <w:r>
        <w:rPr>
          <w:rFonts w:ascii="Arial" w:cs="Arial" w:eastAsia="Arial" w:hAnsi="Arial"/>
          <w:sz w:val="22"/>
          <w:szCs w:val="22"/>
        </w:rPr>
        <w:t xml:space="preserve">Support Model</w:t>
      </w:r>
    </w:p>
    <w:p>
      <w:pPr>
        <w:pStyle w:val="ListParagraph"/>
        <w:numPr>
          <w:ilvl w:val="0"/>
          <w:numId w:val="2"/>
        </w:numPr>
        <w:spacing w:after="80"/>
      </w:pPr>
      <w:r>
        <w:rPr>
          <w:rFonts w:ascii="Arial" w:cs="Arial" w:eastAsia="Arial" w:hAnsi="Arial"/>
          <w:sz w:val="22"/>
          <w:szCs w:val="22"/>
        </w:rPr>
        <w:t xml:space="preserve">Year 1 Validation Framework</w:t>
      </w:r>
    </w:p>
    <w:p>
      <w:pPr>
        <w:pStyle w:val="ListParagraph"/>
        <w:numPr>
          <w:ilvl w:val="0"/>
          <w:numId w:val="2"/>
        </w:numPr>
        <w:spacing w:after="80"/>
      </w:pPr>
      <w:r>
        <w:rPr>
          <w:rFonts w:ascii="Arial" w:cs="Arial" w:eastAsia="Arial" w:hAnsi="Arial"/>
          <w:sz w:val="22"/>
          <w:szCs w:val="22"/>
        </w:rPr>
        <w:t xml:space="preserve">Founder Risk Register</w:t>
      </w:r>
    </w:p>
    <w:p>
      <w:pPr>
        <w:pStyle w:val="ListParagraph"/>
        <w:numPr>
          <w:ilvl w:val="0"/>
          <w:numId w:val="2"/>
        </w:numPr>
        <w:spacing w:after="80"/>
      </w:pPr>
      <w:r>
        <w:rPr>
          <w:rFonts w:ascii="Arial" w:cs="Arial" w:eastAsia="Arial" w:hAnsi="Arial"/>
          <w:sz w:val="22"/>
          <w:szCs w:val="22"/>
        </w:rPr>
        <w:t xml:space="preserve">Competitive Response Scenarios</w:t>
      </w:r>
    </w:p>
    <w:p>
      <w:pPr>
        <w:pStyle w:val="ListParagraph"/>
        <w:numPr>
          <w:ilvl w:val="0"/>
          <w:numId w:val="2"/>
        </w:numPr>
        <w:spacing w:after="80"/>
      </w:pPr>
      <w:r>
        <w:rPr>
          <w:rFonts w:ascii="Arial" w:cs="Arial" w:eastAsia="Arial" w:hAnsi="Arial"/>
          <w:sz w:val="22"/>
          <w:szCs w:val="22"/>
        </w:rPr>
        <w:t xml:space="preserve">Launch Checklist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120"/>
              <w:left w:type="dxa" w:w="180"/>
              <w:bottom w:type="dxa" w:w="120"/>
              <w:right w:type="dxa" w:w="180"/>
            </w:tcMar>
          </w:tcPr>
          <w:p>
            <w:pPr>
              <w:spacing w:after="0"/>
            </w:pPr>
            <w:r>
              <w:rPr>
                <w:rFonts w:ascii="Arial" w:cs="Arial" w:eastAsia="Arial" w:hAnsi="Arial"/>
                <w:i/>
                <w:iCs/>
                <w:sz w:val="22"/>
                <w:szCs w:val="22"/>
              </w:rPr>
              <w:t xml:space="preserve">This is v3 of the plan. Key changes from v2: (1) HyperFormula replaced by a custom Claude Code–generated calculation engine — no GPL licensing exposure, no third-party dependency; (2) Year 1 projections revised to reflect validation-phase realities; (3) Three new sections added: Year 1 Validation Framework, Founder Risk Register, and Competitive Response Scenarios.</w:t>
            </w:r>
          </w:p>
        </w:tc>
      </w:tr>
    </w:tbl>
    <w:p>
      <w:r>
        <w:br/>
        <w:t xml:space="preserve"/>
      </w:r>
      <w:r>
        <w:br w:type="page"/>
      </w:r>
    </w:p>
    <w:p>
      <w:pPr>
        <w:pStyle w:val="Heading1"/>
      </w:pPr>
      <w:r>
        <w:rPr>
          <w:rFonts w:ascii="Arial" w:cs="Arial" w:eastAsia="Arial" w:hAnsi="Arial"/>
        </w:rPr>
        <w:t xml:space="preserve">1. Executive Summary</w:t>
      </w:r>
    </w:p>
    <w:p>
      <w:pPr>
        <w:pBdr>
          <w:bottom w:val="single" w:color="2E75B6" w:sz="6" w:space="1"/>
        </w:pBdr>
        <w:spacing w:after="80" w:before="80"/>
      </w:pPr>
      <w:r>
        <w:t xml:space="preserve"/>
      </w:r>
    </w:p>
    <w:p>
      <w:pPr>
        <w:spacing w:after="120"/>
      </w:pPr>
      <w:r>
        <w:rPr>
          <w:rFonts w:ascii="Arial" w:cs="Arial" w:eastAsia="Arial" w:hAnsi="Arial"/>
          <w:sz w:val="22"/>
          <w:szCs w:val="22"/>
        </w:rPr>
        <w:t xml:space="preserve">TanoBox is a one-time-purchase financial modeling tool built on BizBox, sold either as a pre-configured Windows mini PC or as a software license installable on a customer's existing Windows machine. It targets small businesses — architecture firms, restaurants, professional services shops — that need real 3-statement financial modeling without a $12,000/yr enterprise contract and without a recurring subscription.</w:t>
      </w:r>
    </w:p>
    <w:p>
      <w:pPr>
        <w:spacing w:after="160"/>
      </w:pPr>
      <w:r>
        <w:t xml:space="preserve"/>
      </w:r>
    </w:p>
    <w:p>
      <w:pPr>
        <w:spacing w:after="120"/>
      </w:pPr>
      <w:r>
        <w:rPr>
          <w:rFonts w:ascii="Arial" w:cs="Arial" w:eastAsia="Arial" w:hAnsi="Arial"/>
          <w:sz w:val="22"/>
          <w:szCs w:val="22"/>
        </w:rPr>
        <w:t xml:space="preserve">The market is bifurcated between expensive enterprise software (Jirav, Mosaic, Vena — $12K–$30K/yr) and basic tools (LivePlan, Fathom — $250–$3,600/yr) that lack full 3-statement modeling. A perpetual-license, self-hosted, AEC-focused modeling tool does not exist. TanoBox, priced at $799–$1,349 one-time, occupies a genuinely empty space.</w:t>
      </w:r>
    </w:p>
    <w:p>
      <w:pPr>
        <w:spacing w:after="160"/>
      </w:pPr>
      <w:r>
        <w:t xml:space="preserve"/>
      </w:r>
    </w:p>
    <w:p>
      <w:pPr>
        <w:pStyle w:val="Heading2"/>
      </w:pPr>
      <w:r>
        <w:rPr>
          <w:rFonts w:ascii="Arial" w:cs="Arial" w:eastAsia="Arial" w:hAnsi="Arial"/>
        </w:rPr>
        <w:t xml:space="preserve">The No-Subscription Advantage</w:t>
      </w:r>
    </w:p>
    <w:p>
      <w:pPr>
        <w:spacing w:after="120"/>
      </w:pPr>
      <w:r>
        <w:rPr>
          <w:rFonts w:ascii="Arial" w:cs="Arial" w:eastAsia="Arial" w:hAnsi="Arial"/>
          <w:sz w:val="22"/>
          <w:szCs w:val="22"/>
        </w:rPr>
        <w:t xml:space="preserve">The 'no subscription' framing is a genuine differentiator in 2026. The anti-SaaS movement (37signals' ONCE, Satya Nadella's 'SaaS is dead' declaration, Broadcom/VMware backlash) has created real customer demand for ownership models at a moment when virtually all FP&amp;A competitors are doubling down on subscriptions.</w:t>
      </w:r>
    </w:p>
    <w:p>
      <w:pPr>
        <w:spacing w:after="160"/>
      </w:pPr>
      <w:r>
        <w:t xml:space="preserve"/>
      </w:r>
    </w:p>
    <w:p>
      <w:pPr>
        <w:pStyle w:val="Heading2"/>
      </w:pPr>
      <w:r>
        <w:rPr>
          <w:rFonts w:ascii="Arial" w:cs="Arial" w:eastAsia="Arial" w:hAnsi="Arial"/>
        </w:rPr>
        <w:t xml:space="preserve">Partner Scenario Key</w:t>
      </w:r>
    </w:p>
    <w:p>
      <w:pPr>
        <w:spacing w:after="120"/>
      </w:pPr>
      <w:r>
        <w:rPr>
          <w:rFonts w:ascii="Arial" w:cs="Arial" w:eastAsia="Arial" w:hAnsi="Arial"/>
          <w:sz w:val="22"/>
          <w:szCs w:val="22"/>
        </w:rPr>
        <w:t xml:space="preserve">Solo (you only) · +1 Partner (Portland) · +2 Partners (+Honolulu). Every revenue section shows all three configurations. Partners are not yet committed — the Solo column is the only fully de-risked scenario.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2498"/>
        <w:gridCol w:w="2497"/>
      </w:tblGrid>
      <w:tr>
        <w:trPr>
          <w:tblHeader/>
        </w:trPr>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1665"/>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Solo — You Only</w:t>
            </w:r>
          </w:p>
        </w:tc>
        <w:tc>
          <w:tcPr>
            <w:tcW w:type="dxa" w:w="249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 Partner (Portland)</w:t>
            </w:r>
          </w:p>
        </w:tc>
        <w:tc>
          <w:tcPr>
            <w:tcW w:type="dxa" w:w="2497"/>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+2 Partners (+Honolulu)</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Year 1 Gross Revenue</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$18K–$35K</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$40K–$80K</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$65K–$120K</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Year 2 Gross Revenue</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$60K–$120K</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$130K–$240K</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$200K–$380K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Year 3 Gross Revenue</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$160K–$320K</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$380K–$680K</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$560K–$1.0M</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Active Selling Markets</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Texas only</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Texas + Oregon</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TX + OR + HI</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Demos/Month (Yr 1)</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2–4</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6–12</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10–18</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Realistic Close Rate</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8–15%</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15–25%*</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20–30%*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Break-Even (# units)</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5–10 units</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4–8 units</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3–7 units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Support Burden (hrs/wk)</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3–6 hrs</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2–4 hrs each</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1–3 hrs each</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120"/>
              <w:left w:type="dxa" w:w="180"/>
              <w:bottom w:type="dxa" w:w="120"/>
              <w:right w:type="dxa" w:w="180"/>
            </w:tcMar>
          </w:tcPr>
          <w:p>
            <w:pPr>
              <w:spacing w:after="0"/>
            </w:pPr>
            <w:r>
              <w:rPr>
                <w:rFonts w:ascii="Arial" w:cs="Arial" w:eastAsia="Arial" w:hAnsi="Arial"/>
                <w:i/>
                <w:iCs/>
                <w:sz w:val="22"/>
                <w:szCs w:val="22"/>
              </w:rPr>
              <w:t xml:space="preserve">* Higher close rates with architect partners reflect peer credibility. These rates are aspirational in Year 1 and should be treated as Year 2 targets once partners have established selling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120"/>
              <w:left w:type="dxa" w:w="180"/>
              <w:bottom w:type="dxa" w:w="120"/>
              <w:right w:type="dxa" w:w="180"/>
            </w:tcMar>
          </w:tcPr>
          <w:p>
            <w:pPr>
              <w:spacing w:after="0"/>
            </w:pPr>
            <w:r>
              <w:rPr>
                <w:rFonts w:ascii="Arial" w:cs="Arial" w:eastAsia="Arial" w:hAnsi="Arial"/>
                <w:i/>
                <w:iCs/>
                <w:sz w:val="22"/>
                <w:szCs w:val="22"/>
              </w:rPr>
              <w:t xml:space="preserve">NOTE: Year 1 revenue projections in v3 are materially lower than v2. The v2 numbers assumed market-ready product, active partners, and validated close rates — none of which exist at launch. Year 1 is a validation phase. See Section 12.</w:t>
            </w:r>
          </w:p>
        </w:tc>
      </w:tr>
    </w:tbl>
    <w:p>
      <w:r>
        <w:br/>
        <w:t xml:space="preserve"/>
      </w:r>
      <w:r>
        <w:br w:type="page"/>
      </w:r>
    </w:p>
    <w:p>
      <w:pPr>
        <w:pStyle w:val="Heading1"/>
      </w:pPr>
      <w:r>
        <w:rPr>
          <w:rFonts w:ascii="Arial" w:cs="Arial" w:eastAsia="Arial" w:hAnsi="Arial"/>
        </w:rPr>
        <w:t xml:space="preserve">2. Product Definition</w:t>
      </w:r>
    </w:p>
    <w:p>
      <w:pPr>
        <w:pBdr>
          <w:bottom w:val="single" w:color="2E75B6" w:sz="6" w:space="1"/>
        </w:pBdr>
        <w:spacing w:after="80" w:before="80"/>
      </w:pPr>
      <w:r>
        <w:t xml:space="preserve"/>
      </w:r>
    </w:p>
    <w:p>
      <w:pPr>
        <w:pStyle w:val="Heading2"/>
      </w:pPr>
      <w:r>
        <w:rPr>
          <w:rFonts w:ascii="Arial" w:cs="Arial" w:eastAsia="Arial" w:hAnsi="Arial"/>
        </w:rPr>
        <w:t xml:space="preserve">What You Are Selling</w:t>
      </w:r>
    </w:p>
    <w:p>
      <w:pPr>
        <w:spacing w:after="120"/>
      </w:pPr>
      <w:r>
        <w:rPr>
          <w:rFonts w:ascii="Arial" w:cs="Arial" w:eastAsia="Arial" w:hAnsi="Arial"/>
          <w:sz w:val="22"/>
          <w:szCs w:val="22"/>
        </w:rPr>
        <w:t xml:space="preserve">TanoBox is BizBox/FinModel packaged for distribution to end customers. The software is complete: 3-statement financial model (Income Statement, Balance Sheet, Cash Flow), 8 operational schedules, DCF valuation, scenario switching, executive dashboard, 10 industry templates, QuickBooks import, Excel/PDF export, and an AI-powered setup wizard.</w:t>
      </w:r>
    </w:p>
    <w:p>
      <w:pPr>
        <w:spacing w:after="160"/>
      </w:pPr>
      <w:r>
        <w:t xml:space="preserve"/>
      </w:r>
    </w:p>
    <w:p>
      <w:pPr>
        <w:spacing w:after="120"/>
      </w:pPr>
      <w:r>
        <w:rPr>
          <w:rFonts w:ascii="Arial" w:cs="Arial" w:eastAsia="Arial" w:hAnsi="Arial"/>
          <w:sz w:val="22"/>
          <w:szCs w:val="22"/>
        </w:rPr>
        <w:t xml:space="preserve">Two SKUs:</w:t>
      </w:r>
    </w:p>
    <w:p>
      <w:pPr>
        <w:pStyle w:val="ListParagraph"/>
        <w:numPr>
          <w:ilvl w:val="0"/>
          <w:numId w:val="2"/>
        </w:numPr>
        <w:spacing w:after="80"/>
      </w:pPr>
      <w:r>
        <w:rPr>
          <w:rFonts w:ascii="Arial" w:cs="Arial" w:eastAsia="Arial" w:hAnsi="Arial"/>
          <w:sz w:val="22"/>
          <w:szCs w:val="22"/>
        </w:rPr>
        <w:t xml:space="preserve">TanoBox Hardware — A pre-configured Windows 11 mini PC with TanoBox pre-installed. Priced at $1,200–$1,349.</w:t>
      </w:r>
    </w:p>
    <w:p>
      <w:pPr>
        <w:pStyle w:val="ListParagraph"/>
        <w:numPr>
          <w:ilvl w:val="0"/>
          <w:numId w:val="2"/>
        </w:numPr>
        <w:spacing w:after="80"/>
      </w:pPr>
      <w:r>
        <w:rPr>
          <w:rFonts w:ascii="Arial" w:cs="Arial" w:eastAsia="Arial" w:hAnsi="Arial"/>
          <w:sz w:val="22"/>
          <w:szCs w:val="22"/>
        </w:rPr>
        <w:t xml:space="preserve">TanoBox Software — A license for the customer's own Windows machine. Priced at $699–$799.</w:t>
      </w:r>
    </w:p>
    <w:p>
      <w:pPr>
        <w:spacing w:after="160"/>
      </w:pPr>
      <w:r>
        <w:t xml:space="preserve"/>
      </w:r>
    </w:p>
    <w:p>
      <w:pPr>
        <w:pStyle w:val="Heading2"/>
      </w:pPr>
      <w:r>
        <w:rPr>
          <w:rFonts w:ascii="Arial" w:cs="Arial" w:eastAsia="Arial" w:hAnsi="Arial"/>
        </w:rPr>
        <w:t xml:space="preserve">What It Is Not</w:t>
      </w:r>
    </w:p>
    <w:p>
      <w:pPr>
        <w:pStyle w:val="ListParagraph"/>
        <w:numPr>
          <w:ilvl w:val="0"/>
          <w:numId w:val="2"/>
        </w:numPr>
        <w:spacing w:after="80"/>
      </w:pPr>
      <w:r>
        <w:rPr>
          <w:rFonts w:ascii="Arial" w:cs="Arial" w:eastAsia="Arial" w:hAnsi="Arial"/>
          <w:sz w:val="22"/>
          <w:szCs w:val="22"/>
        </w:rPr>
        <w:t xml:space="preserve">Not a cloud product. All data lives on the customer's machine — a feature, not a limitation.</w:t>
      </w:r>
    </w:p>
    <w:p>
      <w:pPr>
        <w:pStyle w:val="ListParagraph"/>
        <w:numPr>
          <w:ilvl w:val="0"/>
          <w:numId w:val="2"/>
        </w:numPr>
        <w:spacing w:after="80"/>
      </w:pPr>
      <w:r>
        <w:rPr>
          <w:rFonts w:ascii="Arial" w:cs="Arial" w:eastAsia="Arial" w:hAnsi="Arial"/>
          <w:sz w:val="22"/>
          <w:szCs w:val="22"/>
        </w:rPr>
        <w:t xml:space="preserve">Not a subscription. Pay once. No monthly fees, no renewals, no usage caps.</w:t>
      </w:r>
    </w:p>
    <w:p>
      <w:pPr>
        <w:pStyle w:val="ListParagraph"/>
        <w:numPr>
          <w:ilvl w:val="0"/>
          <w:numId w:val="2"/>
        </w:numPr>
        <w:spacing w:after="80"/>
      </w:pPr>
      <w:r>
        <w:rPr>
          <w:rFonts w:ascii="Arial" w:cs="Arial" w:eastAsia="Arial" w:hAnsi="Arial"/>
          <w:sz w:val="22"/>
          <w:szCs w:val="22"/>
        </w:rPr>
        <w:t xml:space="preserve">Not accounting software. It imports from QuickBooks and models the future from historical actuals.</w:t>
      </w:r>
    </w:p>
    <w:p>
      <w:pPr>
        <w:pStyle w:val="ListParagraph"/>
        <w:numPr>
          <w:ilvl w:val="0"/>
          <w:numId w:val="2"/>
        </w:numPr>
        <w:spacing w:after="80"/>
      </w:pPr>
      <w:r>
        <w:rPr>
          <w:rFonts w:ascii="Arial" w:cs="Arial" w:eastAsia="Arial" w:hAnsi="Arial"/>
          <w:sz w:val="22"/>
          <w:szCs w:val="22"/>
        </w:rPr>
        <w:t xml:space="preserve">Not intended for frequent updates. Goal is reliable operation for 3–5 years without intervention.</w:t>
      </w:r>
    </w:p>
    <w:p>
      <w:pPr>
        <w:spacing w:after="160"/>
      </w:pPr>
      <w:r>
        <w:t xml:space="preserve"/>
      </w:r>
    </w:p>
    <w:p>
      <w:pPr>
        <w:pStyle w:val="Heading2"/>
      </w:pPr>
      <w:r>
        <w:rPr>
          <w:rFonts w:ascii="Arial" w:cs="Arial" w:eastAsia="Arial" w:hAnsi="Arial"/>
        </w:rPr>
        <w:t xml:space="preserve">Technical Stack</w:t>
      </w:r>
    </w:p>
    <w:p>
      <w:pPr>
        <w:spacing w:after="120"/>
      </w:pPr>
      <w:r>
        <w:rPr>
          <w:rFonts w:ascii="Arial" w:cs="Arial" w:eastAsia="Arial" w:hAnsi="Arial"/>
          <w:sz w:val="22"/>
          <w:szCs w:val="22"/>
        </w:rPr>
        <w:t xml:space="preserve">Next.js 15 · PostgreSQL 16 · tRPC · Drizzle ORM · shadcn/ui · Tailwind CSS · Custom Calculation Engine (see Section 12) · AG Grid Community (MIT) · Caddy · PM2 · Claude API (model: claude-sonnet-4-6).</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DDBD8" w:val="clear"/>
            <w:tcMar>
              <w:top w:type="dxa" w:w="120"/>
              <w:left w:type="dxa" w:w="180"/>
              <w:bottom w:type="dxa" w:w="120"/>
              <w:right w:type="dxa" w:w="180"/>
            </w:tcMar>
          </w:tcPr>
          <w:p>
            <w:pPr>
              <w:spacing w:after="0"/>
            </w:pPr>
            <w:r>
              <w:rPr>
                <w:rFonts w:ascii="Arial" w:cs="Arial" w:eastAsia="Arial" w:hAnsi="Arial"/>
                <w:i/>
                <w:iCs/>
                <w:sz w:val="22"/>
                <w:szCs w:val="22"/>
              </w:rPr>
              <w:t xml:space="preserve">The Claude API model string 'claude-sonnet-4-6' must never be changed in production configuration files.</w:t>
            </w:r>
          </w:p>
        </w:tc>
      </w:tr>
    </w:tbl>
    <w:p>
      <w:r>
        <w:br/>
        <w:t xml:space="preserve"/>
      </w:r>
      <w:r>
        <w:br w:type="page"/>
      </w:r>
    </w:p>
    <w:p>
      <w:pPr>
        <w:pStyle w:val="Heading1"/>
      </w:pPr>
      <w:r>
        <w:rPr>
          <w:rFonts w:ascii="Arial" w:cs="Arial" w:eastAsia="Arial" w:hAnsi="Arial"/>
        </w:rPr>
        <w:t xml:space="preserve">3. All Potential Issues &amp; Solutions</w:t>
      </w:r>
    </w:p>
    <w:p>
      <w:pPr>
        <w:pBdr>
          <w:bottom w:val="single" w:color="2E75B6" w:sz="6" w:space="1"/>
        </w:pBdr>
        <w:spacing w:after="80" w:before="80"/>
      </w:pPr>
      <w:r>
        <w:t xml:space="preserve"/>
      </w:r>
    </w:p>
    <w:p>
      <w:pPr>
        <w:spacing w:after="120"/>
      </w:pPr>
      <w:r>
        <w:rPr>
          <w:rFonts w:ascii="Arial" w:cs="Arial" w:eastAsia="Arial" w:hAnsi="Arial"/>
          <w:sz w:val="22"/>
          <w:szCs w:val="22"/>
        </w:rPr>
        <w:t xml:space="preserve">Every issue below has a concrete solution. Address these before the first sale.</w:t>
      </w:r>
    </w:p>
    <w:p>
      <w:pPr>
        <w:spacing w:after="160"/>
      </w:pPr>
      <w:r>
        <w:t xml:space="preserve"/>
      </w:r>
    </w:p>
    <w:p>
      <w:pPr>
        <w:pStyle w:val="Heading2"/>
      </w:pPr>
      <w:r>
        <w:rPr>
          <w:rFonts w:ascii="Arial" w:cs="Arial" w:eastAsia="Arial" w:hAnsi="Arial"/>
        </w:rPr>
        <w:t xml:space="preserve">3.1 Legal &amp; Licensing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HyperFormula GPL v3 License</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RESOLVED</w:t>
            </w:r>
          </w:p>
        </w:tc>
        <w:tc>
          <w:tcPr>
            <w:tcW w:type="dxa" w:w="6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HyperFormula has been removed entirely. TanoBox now uses a custom Claude Code–generated calculation engine (TypeScript/Node.js, MIT-compatible). No third-party formula engine dependency. See Section 12 for full technical specification.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AG Grid Community vs Enterprise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LOW</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AG Grid Community (MIT) is fully licensed for commercial distribution. Audit the codebase before distribution to confirm no Enterprise imports exist.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Windows Licensing per Unit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Source mini PCs with Windows 11 Pro OEM (UEFI-embedded license). Sysprep + restore to identical hardware model reactivates automatically. Never mix hardware SKUs.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QuickBooks OAuth for Desktop Apps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Register as a Desktop OAuth 2.0 app at developer.intuit.com. Production redirect URIs require HTTPS — implement a lightweight cloud callback relay endpoint. Production review takes 4–8 weeks. The new Intuit App Partner Program (July 2025) does not take a revenue share — developers keep 100%. Builder tier is free (500K API calls/month).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Business Entity &amp; Liability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Operate as single-member LLC (Tano Studio LLC already exists). EULA must disclaim financial advice. Liability cap at purchase price. Texas franchise tax: no tax due below $2.47M revenue — only Public Information Report required annually by May 15.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Software Sales Tax — Multi-State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Texas treats perpetual software licenses differently from SaaS. 24 states now tax SaaS in some form. Once sales cross $100K or 200 transactions in any state, economic nexus triggers. Implement TaxJar or Anrok ($50–$200/mo) before scaling beyond Texas.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EULA / Software License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Single-machine license, no warranty on financial accuracy, liability cap at purchase price, governing law (Texas). Explicit disclaimer: TanoBox outputs are projections only, not financial advice. Attorney review: $200–$400.</w:t>
            </w:r>
          </w:p>
        </w:tc>
      </w:tr>
    </w:tbl>
    <w:p>
      <w:pPr>
        <w:spacing w:after="160"/>
      </w:pPr>
      <w:r>
        <w:t xml:space="preserve"/>
      </w:r>
    </w:p>
    <w:p>
      <w:pPr>
        <w:pStyle w:val="Heading2"/>
      </w:pPr>
      <w:r>
        <w:rPr>
          <w:rFonts w:ascii="Arial" w:cs="Arial" w:eastAsia="Arial" w:hAnsi="Arial"/>
        </w:rPr>
        <w:t xml:space="preserve">3.2 Technical Issues — Windows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WSL2 Does Not Auto-Start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Windows Task Scheduler task: trigger 'At startup', action 'wsl -d Ubuntu-24.04 -- bash -c "pm2 resurrect"', run as SYSTEM. Include in installer, verify survives full power cycle.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Windows Updates Breaking WSL2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Defer feature updates 365 days via Group Policy. Include 'Repair TanoBox.bat' on desktop. Weekly WSL2 export job (wsl --export) to C:\TanoBox\backup.tar.gz.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Windows Firewall Blocking Port 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Installer runs: netsh advfirewall firewall add rule name="TanoBox" protocol=TCP dir=in localport=4000 action=allow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Antivirus False Positives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Include AV exclusion instructions: exclude WSL2 package directory and virtual disk. Windows Defender coexists fine with WSL2.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Port 4000 Already In Use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Installer checks 'netstat -ano | findstr :4000' before proceeding. Offer port 4001 or 4002 if needed.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PostgreSQL Data Loss on WSL2 Reset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Weekly backup exports DB to Windows filesystem (C:\TanoBox\db-backup.sql), survives any WSL2 issue.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Hardware Model Lock-In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Commit to one SKU. Never mix models. If discontinued, rebuild reference image on replacement before selling more units.</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Non-Technical End Users</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6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This is the single largest underestimated risk. Small firm principals are not IT staff. Budget 1–3 hours of support per customer in the first 90 days regardless of self-service tooling. See Section 9 (Support Model) and Section 13 (Risk Register).</w:t>
            </w:r>
          </w:p>
        </w:tc>
      </w:tr>
    </w:tbl>
    <w:p>
      <w:r>
        <w:br/>
        <w:t xml:space="preserve"/>
      </w:r>
      <w:r>
        <w:br w:type="page"/>
      </w:r>
    </w:p>
    <w:p>
      <w:pPr>
        <w:pStyle w:val="Heading1"/>
      </w:pPr>
      <w:r>
        <w:rPr>
          <w:rFonts w:ascii="Arial" w:cs="Arial" w:eastAsia="Arial" w:hAnsi="Arial"/>
        </w:rPr>
        <w:t xml:space="preserve">4. The Windows Imaging Workflow</w:t>
      </w:r>
    </w:p>
    <w:p>
      <w:pPr>
        <w:pBdr>
          <w:bottom w:val="single" w:color="2E75B6" w:sz="6" w:space="1"/>
        </w:pBdr>
        <w:spacing w:after="80" w:before="80"/>
      </w:pPr>
      <w:r>
        <w:t xml:space="preserve"/>
      </w:r>
    </w:p>
    <w:p>
      <w:pPr>
        <w:spacing w:after="120"/>
      </w:pPr>
      <w:r>
        <w:rPr>
          <w:rFonts w:ascii="Arial" w:cs="Arial" w:eastAsia="Arial" w:hAnsi="Arial"/>
          <w:sz w:val="22"/>
          <w:szCs w:val="22"/>
        </w:rPr>
        <w:t xml:space="preserve">A complete step-by-step guide for creating the gold master image and restoring it per sale. After the first image is created, a new unit takes approximately 45 minutes to prepare.</w:t>
      </w:r>
    </w:p>
    <w:p>
      <w:pPr>
        <w:spacing w:after="160"/>
      </w:pPr>
      <w:r>
        <w:t xml:space="preserve"/>
      </w:r>
    </w:p>
    <w:p>
      <w:pPr>
        <w:pStyle w:val="Heading2"/>
      </w:pPr>
      <w:r>
        <w:rPr>
          <w:rFonts w:ascii="Arial" w:cs="Arial" w:eastAsia="Arial" w:hAnsi="Arial"/>
        </w:rPr>
        <w:t xml:space="preserve">Step 1: Choose and Lock Your Hardware SKU</w:t>
      </w:r>
    </w:p>
    <w:p>
      <w:pPr>
        <w:spacing w:after="120"/>
      </w:pPr>
      <w:r>
        <w:rPr>
          <w:rFonts w:ascii="Arial" w:cs="Arial" w:eastAsia="Arial" w:hAnsi="Arial"/>
          <w:sz w:val="22"/>
          <w:szCs w:val="22"/>
        </w:rPr>
        <w:t xml:space="preserve">Commit to one hardware model and never deviate. Recommended primary SKU:</w:t>
      </w:r>
    </w:p>
    <w:p>
      <w:pPr>
        <w:pStyle w:val="ListParagraph"/>
        <w:numPr>
          <w:ilvl w:val="0"/>
          <w:numId w:val="2"/>
        </w:numPr>
        <w:spacing w:after="80"/>
      </w:pPr>
      <w:r>
        <w:rPr>
          <w:rFonts w:ascii="Arial" w:cs="Arial" w:eastAsia="Arial" w:hAnsi="Arial"/>
          <w:sz w:val="22"/>
          <w:szCs w:val="22"/>
        </w:rPr>
        <w:t xml:space="preserve">Beelink EQ12 or Mini S12 Pro — 16GB RAM, 500GB SSD, Windows 11 Pro OEM, ~$180–$190. Intel N100. Dual 2.5GbE (EQ12), quiet, low power, reliable. UEFI-embedded Windows license — no separate key purchase.</w:t>
      </w:r>
    </w:p>
    <w:p>
      <w:pPr>
        <w:pStyle w:val="ListParagraph"/>
        <w:numPr>
          <w:ilvl w:val="0"/>
          <w:numId w:val="2"/>
        </w:numPr>
        <w:spacing w:after="80"/>
      </w:pPr>
      <w:r>
        <w:rPr>
          <w:rFonts w:ascii="Arial" w:cs="Arial" w:eastAsia="Arial" w:hAnsi="Arial"/>
          <w:sz w:val="22"/>
          <w:szCs w:val="22"/>
        </w:rPr>
        <w:t xml:space="preserve">Backup SKU (if EQ12 discontinued): MinisForum UN100 — same Intel N100 platform, same driver profile.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2F2F2" w:val="clear"/>
            <w:tcMar>
              <w:top w:type="dxa" w:w="120"/>
              <w:left w:type="dxa" w:w="180"/>
              <w:bottom w:type="dxa" w:w="120"/>
              <w:right w:type="dxa" w:w="180"/>
            </w:tcMar>
          </w:tcPr>
          <w:p>
            <w:pPr>
              <w:spacing w:after="0"/>
            </w:pPr>
            <w:r>
              <w:rPr>
                <w:rFonts w:ascii="Arial" w:cs="Arial" w:eastAsia="Arial" w:hAnsi="Arial"/>
                <w:i/>
                <w:iCs/>
                <w:sz w:val="22"/>
                <w:szCs w:val="22"/>
              </w:rPr>
              <w:t xml:space="preserve">Buy two units immediately: one reference machine, one for imaging validation. At wholesale (50–100 unit MOQ from Shenzhen OEM), the N100 platform costs $90–$130 delivered, versus $170–$190 retail. At scale, this is meaningful margin improvement.</w:t>
            </w:r>
          </w:p>
        </w:tc>
      </w:tr>
    </w:tbl>
    <w:p>
      <w:pPr>
        <w:spacing w:after="160"/>
      </w:pPr>
      <w:r>
        <w:t xml:space="preserve"/>
      </w:r>
    </w:p>
    <w:p>
      <w:pPr>
        <w:pStyle w:val="Heading2"/>
      </w:pPr>
      <w:r>
        <w:rPr>
          <w:rFonts w:ascii="Arial" w:cs="Arial" w:eastAsia="Arial" w:hAnsi="Arial"/>
        </w:rPr>
        <w:t xml:space="preserve">Step 2: Set Up the Reference Machine</w:t>
      </w:r>
    </w:p>
    <w:p>
      <w:pPr>
        <w:spacing w:after="120"/>
      </w:pPr>
      <w:r>
        <w:rPr>
          <w:rFonts w:ascii="Arial" w:cs="Arial" w:eastAsia="Arial" w:hAnsi="Arial"/>
          <w:sz w:val="22"/>
          <w:szCs w:val="22"/>
        </w:rPr>
        <w:t xml:space="preserve">Build this once. Partners receive the exported WSL2 tarball — they do not rebuild from scratch.</w:t>
      </w:r>
    </w:p>
    <w:p>
      <w:pPr>
        <w:spacing w:after="160"/>
      </w:pPr>
      <w:r>
        <w:t xml:space="preserve"/>
      </w:r>
    </w:p>
    <w:p>
      <w:pPr>
        <w:pStyle w:val="Heading2"/>
      </w:pPr>
      <w:r>
        <w:rPr>
          <w:rFonts w:ascii="Arial" w:cs="Arial" w:eastAsia="Arial" w:hAnsi="Arial"/>
        </w:rPr>
        <w:t xml:space="preserve">Step 3: Sysprep the Reference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2F2F2" w:val="clear"/>
            <w:tcMar>
              <w:top w:type="dxa" w:w="120"/>
              <w:left w:type="dxa" w:w="180"/>
              <w:bottom w:type="dxa" w:w="120"/>
              <w:right w:type="dxa" w:w="180"/>
            </w:tcMar>
          </w:tcPr>
          <w:p>
            <w:pPr>
              <w:spacing w:after="0"/>
            </w:pPr>
            <w:r>
              <w:rPr>
                <w:rFonts w:ascii="Arial" w:cs="Arial" w:eastAsia="Arial" w:hAnsi="Arial"/>
                <w:i/>
                <w:iCs/>
                <w:sz w:val="22"/>
                <w:szCs w:val="22"/>
              </w:rPr>
              <w:t xml:space="preserve">Sysprep generalizes Windows so the image can be deployed to other machines. After this step, the machine reboots into OOBE. Do this ONLY when the reference machine is fully configured and tested.</w:t>
            </w:r>
          </w:p>
        </w:tc>
      </w:tr>
    </w:tbl>
    <w:p>
      <w:pPr>
        <w:spacing w:after="160"/>
      </w:pPr>
      <w:r>
        <w:t xml:space="preserve"/>
      </w:r>
    </w:p>
    <w:p>
      <w:pPr>
        <w:spacing w:after="120"/>
      </w:pPr>
      <w:r>
        <w:rPr>
          <w:rFonts w:ascii="Arial" w:cs="Arial" w:eastAsia="Arial" w:hAnsi="Arial"/>
          <w:sz w:val="22"/>
          <w:szCs w:val="22"/>
        </w:rPr>
        <w:t xml:space="preserve">Open Command Prompt as Administrator. Run:</w:t>
      </w:r>
    </w:p>
    <w:p>
      <w:pPr>
        <w:spacing w:after="120"/>
      </w:pPr>
      <w:r>
        <w:rPr>
          <w:rFonts w:ascii="Courier New" w:cs="Courier New" w:eastAsia="Courier New" w:hAnsi="Courier New"/>
          <w:sz w:val="20"/>
          <w:szCs w:val="20"/>
        </w:rPr>
        <w:t xml:space="preserve">C:\Windows\System32\Sysprep\sysprep.exe /oobe /generalize /shutdown</w:t>
      </w:r>
    </w:p>
    <w:p>
      <w:pPr>
        <w:spacing w:after="120"/>
      </w:pPr>
      <w:r>
        <w:rPr>
          <w:rFonts w:ascii="Arial" w:cs="Arial" w:eastAsia="Arial" w:hAnsi="Arial"/>
          <w:sz w:val="22"/>
          <w:szCs w:val="22"/>
        </w:rPr>
        <w:t xml:space="preserve">Machine shuts down. Do NOT boot it again — it is ready to image.</w:t>
      </w:r>
    </w:p>
    <w:p>
      <w:pPr>
        <w:spacing w:after="160"/>
      </w:pPr>
      <w:r>
        <w:t xml:space="preserve"/>
      </w:r>
    </w:p>
    <w:p>
      <w:pPr>
        <w:pStyle w:val="Heading2"/>
      </w:pPr>
      <w:r>
        <w:rPr>
          <w:rFonts w:ascii="Arial" w:cs="Arial" w:eastAsia="Arial" w:hAnsi="Arial"/>
        </w:rPr>
        <w:t xml:space="preserve">Step 4: Create the Image with Clonezilla</w:t>
      </w:r>
    </w:p>
    <w:p>
      <w:pPr>
        <w:spacing w:after="160"/>
      </w:pPr>
      <w:r>
        <w:t xml:space="preserve"/>
      </w:r>
    </w:p>
    <w:p>
      <w:pPr>
        <w:pStyle w:val="Heading2"/>
      </w:pPr>
      <w:r>
        <w:rPr>
          <w:rFonts w:ascii="Arial" w:cs="Arial" w:eastAsia="Arial" w:hAnsi="Arial"/>
        </w:rPr>
        <w:t xml:space="preserve">Step 5: Restore the Image to a New Unit (~45 minutes per sale)</w:t>
      </w:r>
    </w:p>
    <w:p>
      <w:pPr>
        <w:spacing w:after="160"/>
      </w:pPr>
      <w:r>
        <w:t xml:space="preserve"/>
      </w:r>
    </w:p>
    <w:p>
      <w:pPr>
        <w:pStyle w:val="Heading2"/>
      </w:pPr>
      <w:r>
        <w:rPr>
          <w:rFonts w:ascii="Arial" w:cs="Arial" w:eastAsia="Arial" w:hAnsi="Arial"/>
        </w:rPr>
        <w:t xml:space="preserve">Step 6: The Software-Only Installer</w:t>
      </w:r>
    </w:p>
    <w:p>
      <w:pPr>
        <w:spacing w:after="120"/>
      </w:pPr>
      <w:r>
        <w:rPr>
          <w:rFonts w:ascii="Arial" w:cs="Arial" w:eastAsia="Arial" w:hAnsi="Arial"/>
          <w:sz w:val="22"/>
          <w:szCs w:val="22"/>
        </w:rPr>
        <w:t xml:space="preserve">The install-tanobox.ps1 PowerShell script bundles a pre-built WSL2 tarball of the BizBox environment. Customers run it on their Windows machine — no npm install, no build step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2F2F2" w:val="clear"/>
            <w:tcMar>
              <w:top w:type="dxa" w:w="120"/>
              <w:left w:type="dxa" w:w="180"/>
              <w:bottom w:type="dxa" w:w="120"/>
              <w:right w:type="dxa" w:w="180"/>
            </w:tcMar>
          </w:tcPr>
          <w:p>
            <w:pPr>
              <w:spacing w:after="0"/>
            </w:pPr>
            <w:r>
              <w:rPr>
                <w:rFonts w:ascii="Arial" w:cs="Arial" w:eastAsia="Arial" w:hAnsi="Arial"/>
                <w:i/>
                <w:iCs/>
                <w:sz w:val="22"/>
                <w:szCs w:val="22"/>
              </w:rPr>
              <w:t xml:space="preserve">Critical: do NOT run npm install or npm run build on the customer's machine. Export the entire Ubuntu environment using 'wsl --export' and import it with 'wsl --import'. Known-good environment in minutes, zero build failures on customer hardware.</w:t>
            </w:r>
          </w:p>
        </w:tc>
      </w:tr>
    </w:tbl>
    <w:p>
      <w:r>
        <w:br/>
        <w:t xml:space="preserve"/>
      </w:r>
      <w:r>
        <w:br w:type="page"/>
      </w:r>
    </w:p>
    <w:p>
      <w:pPr>
        <w:pStyle w:val="Heading1"/>
      </w:pPr>
      <w:r>
        <w:rPr>
          <w:rFonts w:ascii="Arial" w:cs="Arial" w:eastAsia="Arial" w:hAnsi="Arial"/>
        </w:rPr>
        <w:t xml:space="preserve">5. Cost Structure</w:t>
      </w:r>
    </w:p>
    <w:p>
      <w:pPr>
        <w:pBdr>
          <w:bottom w:val="single" w:color="2E75B6" w:sz="6" w:space="1"/>
        </w:pBdr>
        <w:spacing w:after="80" w:before="80"/>
      </w:pPr>
      <w:r>
        <w:t xml:space="preserve"/>
      </w:r>
    </w:p>
    <w:p>
      <w:pPr>
        <w:pStyle w:val="Heading2"/>
      </w:pPr>
      <w:r>
        <w:rPr>
          <w:rFonts w:ascii="Arial" w:cs="Arial" w:eastAsia="Arial" w:hAnsi="Arial"/>
        </w:rPr>
        <w:t xml:space="preserve">One-Time Setup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85"/>
        <w:gridCol w:w="2098"/>
        <w:gridCol w:w="2077"/>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Item</w:t>
            </w:r>
          </w:p>
        </w:tc>
        <w:tc>
          <w:tcPr>
            <w:tcW w:type="dxa" w:w="1985"/>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Solo — You Only</w:t>
            </w:r>
          </w:p>
        </w:tc>
        <w:tc>
          <w:tcPr>
            <w:tcW w:type="dxa" w:w="209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 Partner (Portland)</w:t>
            </w:r>
          </w:p>
        </w:tc>
        <w:tc>
          <w:tcPr>
            <w:tcW w:type="dxa" w:w="2077"/>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+2 Partners (+Honolulu)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Reference + Validation Units</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 × $190 = $380</w:t>
            </w:r>
          </w:p>
        </w:tc>
        <w:tc>
          <w:tcPr>
            <w:tcW w:type="dxa" w:w="20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 × $190 = $760</w:t>
            </w:r>
          </w:p>
        </w:tc>
        <w:tc>
          <w:tcPr>
            <w:tcW w:type="dxa" w:w="20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 × $190 = $1,140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External Drives (1TB each)</w:t>
            </w:r>
          </w:p>
        </w:tc>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 × $60 = $60</w:t>
            </w:r>
          </w:p>
        </w:tc>
        <w:tc>
          <w:tcPr>
            <w:tcW w:type="dxa" w:w="20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 × $60 = $120</w:t>
            </w:r>
          </w:p>
        </w:tc>
        <w:tc>
          <w:tcPr>
            <w:tcW w:type="dxa" w:w="207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 × $60 = $180</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Custom Calc Engine (development time)</w:t>
            </w:r>
          </w:p>
        </w:tc>
        <w:tc>
          <w:tcPr>
            <w:tcW w:type="dxa" w:w="198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~40–80 hrs (Claude Code)</w:t>
            </w:r>
          </w:p>
        </w:tc>
        <w:tc>
          <w:tcPr>
            <w:tcW w:type="dxa" w:w="2098"/>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Same</w:t>
            </w:r>
          </w:p>
        </w:tc>
        <w:tc>
          <w:tcPr>
            <w:tcW w:type="dxa" w:w="207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Same</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HyperFormula License</w:t>
            </w:r>
          </w:p>
        </w:tc>
        <w:tc>
          <w:tcPr>
            <w:tcW w:type="dxa" w:w="198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 (removed — custom engine)</w:t>
            </w:r>
          </w:p>
        </w:tc>
        <w:tc>
          <w:tcPr>
            <w:tcW w:type="dxa" w:w="2098"/>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w:t>
            </w:r>
          </w:p>
        </w:tc>
        <w:tc>
          <w:tcPr>
            <w:tcW w:type="dxa" w:w="207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LLC Formation (Texas — Tano Studio LLC)</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Already formed (~$300 sunk)</w:t>
            </w:r>
          </w:p>
        </w:tc>
        <w:tc>
          <w:tcPr>
            <w:tcW w:type="dxa" w:w="20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Same entity</w:t>
            </w:r>
          </w:p>
        </w:tc>
        <w:tc>
          <w:tcPr>
            <w:tcW w:type="dxa" w:w="20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Same entity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EULA Attorney Review</w:t>
            </w:r>
          </w:p>
        </w:tc>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$200–$400</w:t>
            </w:r>
          </w:p>
        </w:tc>
        <w:tc>
          <w:tcPr>
            <w:tcW w:type="dxa" w:w="20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$300–$600 (multi-state)</w:t>
            </w:r>
          </w:p>
        </w:tc>
        <w:tc>
          <w:tcPr>
            <w:tcW w:type="dxa" w:w="207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$400–$800 (multi-state)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Marketing Website</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$0–$500</w:t>
            </w:r>
          </w:p>
        </w:tc>
        <w:tc>
          <w:tcPr>
            <w:tcW w:type="dxa" w:w="20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$0–$500</w:t>
            </w:r>
          </w:p>
        </w:tc>
        <w:tc>
          <w:tcPr>
            <w:tcW w:type="dxa" w:w="20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$0–$500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QuickBooks OAuth Cloud Callback Endpoint</w:t>
            </w:r>
          </w:p>
        </w:tc>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~$5–$20/mo (Fly.io or Railway)</w:t>
            </w:r>
          </w:p>
        </w:tc>
        <w:tc>
          <w:tcPr>
            <w:tcW w:type="dxa" w:w="20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Same</w:t>
            </w:r>
          </w:p>
        </w:tc>
        <w:tc>
          <w:tcPr>
            <w:tcW w:type="dxa" w:w="207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Total Setup (est.)</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$640–$1,380</w:t>
            </w:r>
          </w:p>
        </w:tc>
        <w:tc>
          <w:tcPr>
            <w:tcW w:type="dxa" w:w="20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$1,180–$2,000</w:t>
            </w:r>
          </w:p>
        </w:tc>
        <w:tc>
          <w:tcPr>
            <w:tcW w:type="dxa" w:w="20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$1,720–$2,620</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2EFDA" w:val="clear"/>
            <w:tcMar>
              <w:top w:type="dxa" w:w="120"/>
              <w:left w:type="dxa" w:w="180"/>
              <w:bottom w:type="dxa" w:w="120"/>
              <w:right w:type="dxa" w:w="180"/>
            </w:tcMar>
          </w:tcPr>
          <w:p>
            <w:pPr>
              <w:spacing w:after="0"/>
            </w:pPr>
            <w:r>
              <w:rPr>
                <w:rFonts w:ascii="Arial" w:cs="Arial" w:eastAsia="Arial" w:hAnsi="Arial"/>
                <w:i/>
                <w:iCs/>
                <w:sz w:val="22"/>
                <w:szCs w:val="22"/>
              </w:rPr>
              <w:t xml:space="preserve">Setup costs in v3 are materially lower than v2 because HyperFormula licensing ($1,000–$5,000) has been eliminated. The custom engine is built with Claude Code — primary cost is development time, not licensing.</w:t>
            </w:r>
          </w:p>
        </w:tc>
      </w:tr>
    </w:tbl>
    <w:p>
      <w:pPr>
        <w:spacing w:after="160"/>
      </w:pPr>
      <w:r>
        <w:t xml:space="preserve"/>
      </w:r>
    </w:p>
    <w:p>
      <w:pPr>
        <w:pStyle w:val="Heading2"/>
      </w:pPr>
      <w:r>
        <w:rPr>
          <w:rFonts w:ascii="Arial" w:cs="Arial" w:eastAsia="Arial" w:hAnsi="Arial"/>
        </w:rPr>
        <w:t xml:space="preserve">Per-Unit Variable Costs — Hardware SKU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85"/>
        <w:gridCol w:w="2098"/>
        <w:gridCol w:w="2077"/>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Item</w:t>
            </w:r>
          </w:p>
        </w:tc>
        <w:tc>
          <w:tcPr>
            <w:tcW w:type="dxa" w:w="1985"/>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Solo</w:t>
            </w:r>
          </w:p>
        </w:tc>
        <w:tc>
          <w:tcPr>
            <w:tcW w:type="dxa" w:w="209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Partner</w:t>
            </w:r>
          </w:p>
        </w:tc>
        <w:tc>
          <w:tcPr>
            <w:tcW w:type="dxa" w:w="2077"/>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Beelink EQ12 (retail)</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~$190</w:t>
            </w:r>
          </w:p>
        </w:tc>
        <w:tc>
          <w:tcPr>
            <w:tcW w:type="dxa" w:w="20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~$190 each</w:t>
            </w:r>
          </w:p>
        </w:tc>
        <w:tc>
          <w:tcPr>
            <w:tcW w:type="dxa" w:w="20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Partners buy same SKU locally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Beelink EQ12 (wholesale, 50+ units)</w:t>
            </w:r>
          </w:p>
        </w:tc>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~$110–$130</w:t>
            </w:r>
          </w:p>
        </w:tc>
        <w:tc>
          <w:tcPr>
            <w:tcW w:type="dxa" w:w="20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~$110–$130</w:t>
            </w:r>
          </w:p>
        </w:tc>
        <w:tc>
          <w:tcPr>
            <w:tcW w:type="dxa" w:w="207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Significant margin improvement at scale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Shipping to customer</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$20–$40</w:t>
            </w:r>
          </w:p>
        </w:tc>
        <w:tc>
          <w:tcPr>
            <w:tcW w:type="dxa" w:w="20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$15–$35</w:t>
            </w:r>
          </w:p>
        </w:tc>
        <w:tc>
          <w:tcPr>
            <w:tcW w:type="dxa" w:w="20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 shipping higher (~$40–$60)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Packaging</w:t>
            </w:r>
          </w:p>
        </w:tc>
        <w:tc>
          <w:tcPr>
            <w:tcW w:type="dxa" w:w="19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c>
          <w:tcPr>
            <w:tcW w:type="dxa" w:w="20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c>
          <w:tcPr>
            <w:tcW w:type="dxa" w:w="207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Branded box adds ~$3–$8 at volume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Total COGS / HW unit (retail)</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$215–$235</w:t>
            </w:r>
          </w:p>
        </w:tc>
        <w:tc>
          <w:tcPr>
            <w:tcW w:type="dxa" w:w="20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$210–$230</w:t>
            </w:r>
          </w:p>
        </w:tc>
        <w:tc>
          <w:tcPr>
            <w:tcW w:type="dxa" w:w="20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Total COGS / HW unit (wholesale)</w:t>
            </w:r>
          </w:p>
        </w:tc>
        <w:tc>
          <w:tcPr>
            <w:tcW w:type="dxa" w:w="198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$135–$175</w:t>
            </w:r>
          </w:p>
        </w:tc>
        <w:tc>
          <w:tcPr>
            <w:tcW w:type="dxa" w:w="2098"/>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$130–$170</w:t>
            </w:r>
          </w:p>
        </w:tc>
        <w:tc>
          <w:tcPr>
            <w:tcW w:type="dxa" w:w="207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50+ unit threshold</w:t>
            </w:r>
          </w:p>
        </w:tc>
      </w:tr>
    </w:tbl>
    <w:p>
      <w:pPr>
        <w:spacing w:after="160"/>
      </w:pPr>
      <w:r>
        <w:t xml:space="preserve"/>
      </w:r>
    </w:p>
    <w:p>
      <w:pPr>
        <w:pStyle w:val="Heading2"/>
      </w:pPr>
      <w:r>
        <w:rPr>
          <w:rFonts w:ascii="Arial" w:cs="Arial" w:eastAsia="Arial" w:hAnsi="Arial"/>
        </w:rPr>
        <w:t xml:space="preserve">Per-Unit Variable Costs — Software-Only SKU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Item</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Cost</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Stripe processing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~$23/unit at $799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Sales tax collection (TaxJar)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~$5–$10/unit allocated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Varies by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License key / activation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Custom implementation, no third-party DRM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Total COGS / SW unit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~$28–$35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bl>
    <w:p>
      <w:pPr>
        <w:spacing w:after="160"/>
      </w:pPr>
      <w:r>
        <w:t xml:space="preserve"/>
      </w:r>
    </w:p>
    <w:p>
      <w:pPr>
        <w:pStyle w:val="Heading2"/>
      </w:pPr>
      <w:r>
        <w:rPr>
          <w:rFonts w:ascii="Arial" w:cs="Arial" w:eastAsia="Arial" w:hAnsi="Arial"/>
        </w:rPr>
        <w:t xml:space="preserve">Ongoing Annual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Item</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Solo</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Partner(s)</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HyperFormula annual fee</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 (eliminated)</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w:t>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Custom engine — no recurring dependency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Domain + website hosting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$50–$150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Same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tanobox.com or tanoboxapp.com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Backblaze B2 (image storage)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$15–$40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More with partners downloading images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QuickBooks OAuth relay endpoint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$5–$20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Same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Fly.io free tier may suffice initially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Business banking + Stripe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 accounts with partners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Business insurance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$500–$1,000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$700–$1,800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General liability + E&amp;O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Sales tax compliance (TaxJar)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 initially; $60–$240/yr at scale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Activate when crossing state nexus thresholds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LinkedIn Sales Navigator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$80–$120/mo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$80–$120/mo each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Core outreach tool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Total Annual Overhead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$1,445–$2,870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$1,695–$4,840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bl>
    <w:p>
      <w:r>
        <w:br/>
        <w:t xml:space="preserve"/>
      </w:r>
      <w:r>
        <w:br w:type="page"/>
      </w:r>
    </w:p>
    <w:p>
      <w:pPr>
        <w:pStyle w:val="Heading1"/>
      </w:pPr>
      <w:r>
        <w:rPr>
          <w:rFonts w:ascii="Arial" w:cs="Arial" w:eastAsia="Arial" w:hAnsi="Arial"/>
        </w:rPr>
        <w:t xml:space="preserve">6. Pricing Strategy</w:t>
      </w:r>
    </w:p>
    <w:p>
      <w:pPr>
        <w:pBdr>
          <w:bottom w:val="single" w:color="2E75B6" w:sz="6" w:space="1"/>
        </w:pBdr>
        <w:spacing w:after="80" w:before="80"/>
      </w:pPr>
      <w:r>
        <w:t xml:space="preserve"/>
      </w:r>
    </w:p>
    <w:p>
      <w:pPr>
        <w:pStyle w:val="Heading2"/>
      </w:pPr>
      <w:r>
        <w:rPr>
          <w:rFonts w:ascii="Arial" w:cs="Arial" w:eastAsia="Arial" w:hAnsi="Arial"/>
        </w:rPr>
        <w:t xml:space="preserve">Competitive Landscape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900"/>
        <w:gridCol w:w="1500"/>
        <w:gridCol w:w="14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Competitor</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Price</w:t>
            </w:r>
          </w:p>
        </w:tc>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AEC Focus?</w:t>
            </w:r>
          </w:p>
        </w:tc>
        <w:tc>
          <w:tcPr>
            <w:tcW w:type="dxa" w:w="1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One-Time?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Jirav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~$10,000/yr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SMBs, fractional CFOs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Mosaic (HiBob)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$22K–$36K/yr</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SaaS/tech startups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Vena Solutions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$5K–$60K+/yr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Mid-to-large enterprise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Construction only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Cube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$1,250–$2,800/mo</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SMBs to mid-market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Fathom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$42–$555/mo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SMBs, accounting firms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LivePlan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$15–$40/mo</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Solopreneurs, startups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PlanGuru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$99–$299/mo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SMBs (was desktop, now SaaS)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 — dropped perpetual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Clockwork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$199–$959/mo</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SMBs, accounting firms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TanoBox</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$799 / $1,349</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Small AEC + prof. services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Yes — AEC first</w:t>
            </w:r>
          </w:p>
        </w:tc>
        <w:tc>
          <w:tcPr>
            <w:tcW w:type="dxa" w:w="14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2F2F2" w:val="clear"/>
            <w:tcMar>
              <w:top w:type="dxa" w:w="120"/>
              <w:left w:type="dxa" w:w="180"/>
              <w:bottom w:type="dxa" w:w="120"/>
              <w:right w:type="dxa" w:w="180"/>
            </w:tcMar>
          </w:tcPr>
          <w:p>
            <w:pPr>
              <w:spacing w:after="0"/>
            </w:pPr>
            <w:r>
              <w:rPr>
                <w:rFonts w:ascii="Arial" w:cs="Arial" w:eastAsia="Arial" w:hAnsi="Arial"/>
                <w:i/>
                <w:iCs/>
                <w:sz w:val="22"/>
                <w:szCs w:val="22"/>
              </w:rPr>
              <w:t xml:space="preserve">No competitor combines perpetual licensing, self-hosted deployment, and AEC-industry focus. This is confirmed by research across 13 products. PlanGuru was the last desktop holdout and converted to subscriptions — users complained publicly. TanoBox can own the category it abandoned.</w:t>
            </w:r>
          </w:p>
        </w:tc>
      </w:tr>
    </w:tbl>
    <w:p>
      <w:pPr>
        <w:spacing w:after="160"/>
      </w:pPr>
      <w:r>
        <w:t xml:space="preserve"/>
      </w:r>
    </w:p>
    <w:p>
      <w:pPr>
        <w:pStyle w:val="Heading2"/>
      </w:pPr>
      <w:r>
        <w:rPr>
          <w:rFonts w:ascii="Arial" w:cs="Arial" w:eastAsia="Arial" w:hAnsi="Arial"/>
        </w:rPr>
        <w:t xml:space="preserve">Recommended Pricing</w:t>
      </w:r>
    </w:p>
    <w:p>
      <w:pPr>
        <w:pStyle w:val="ListParagraph"/>
        <w:numPr>
          <w:ilvl w:val="0"/>
          <w:numId w:val="2"/>
        </w:numPr>
        <w:spacing w:after="80"/>
      </w:pPr>
      <w:r>
        <w:rPr>
          <w:rFonts w:ascii="Arial" w:cs="Arial" w:eastAsia="Arial" w:hAnsi="Arial"/>
          <w:sz w:val="22"/>
          <w:szCs w:val="22"/>
        </w:rPr>
        <w:t xml:space="preserve">TanoBox Software License: $799 one-time. Under $800 psychological threshold.</w:t>
      </w:r>
    </w:p>
    <w:p>
      <w:pPr>
        <w:pStyle w:val="ListParagraph"/>
        <w:numPr>
          <w:ilvl w:val="0"/>
          <w:numId w:val="2"/>
        </w:numPr>
        <w:spacing w:after="80"/>
      </w:pPr>
      <w:r>
        <w:rPr>
          <w:rFonts w:ascii="Arial" w:cs="Arial" w:eastAsia="Arial" w:hAnsi="Arial"/>
          <w:sz w:val="22"/>
          <w:szCs w:val="22"/>
        </w:rPr>
        <w:t xml:space="preserve">TanoBox Hardware Bundle (Beelink EQ12 + License): $1,349 one-time. ~$1,100+ gross margin at retail, ~$1,200+ at wholesale.</w:t>
      </w:r>
    </w:p>
    <w:p>
      <w:pPr>
        <w:pStyle w:val="ListParagraph"/>
        <w:numPr>
          <w:ilvl w:val="0"/>
          <w:numId w:val="2"/>
        </w:numPr>
        <w:spacing w:after="80"/>
      </w:pPr>
      <w:r>
        <w:rPr>
          <w:rFonts w:ascii="Arial" w:cs="Arial" w:eastAsia="Arial" w:hAnsi="Arial"/>
          <w:sz w:val="22"/>
          <w:szCs w:val="22"/>
        </w:rPr>
        <w:t xml:space="preserve">Priority Support Add-On (optional): $149/yr. Email support, 48-hour guarantee. The only recurring revenue option.</w:t>
      </w:r>
    </w:p>
    <w:p>
      <w:pPr>
        <w:pStyle w:val="ListParagraph"/>
        <w:numPr>
          <w:ilvl w:val="0"/>
          <w:numId w:val="2"/>
        </w:numPr>
        <w:spacing w:after="80"/>
      </w:pPr>
      <w:r>
        <w:rPr>
          <w:rFonts w:ascii="Arial" w:cs="Arial" w:eastAsia="Arial" w:hAnsi="Arial"/>
          <w:sz w:val="22"/>
          <w:szCs w:val="22"/>
        </w:rPr>
        <w:t xml:space="preserve">30-day money-back guarantee on all purchases. No free trial — the guarantee signals confidence without trial management complexity.</w:t>
      </w:r>
    </w:p>
    <w:p>
      <w:pPr>
        <w:spacing w:after="160"/>
      </w:pPr>
      <w:r>
        <w:t xml:space="preserve"/>
      </w:r>
    </w:p>
    <w:p>
      <w:pPr>
        <w:spacing w:after="120"/>
      </w:pPr>
      <w:r>
        <w:rPr>
          <w:rFonts w:ascii="Arial" w:cs="Arial" w:eastAsia="Arial" w:hAnsi="Arial"/>
          <w:sz w:val="22"/>
          <w:szCs w:val="22"/>
        </w:rPr>
        <w:t xml:space="preserve">Anchoring framework: Jirav starts at $10,000/yr. Fathom runs $500–$6,600/yr. TanoBox is $799 once. At $799, the software pays for itself in 1–2 months versus the cheapest subscription competitor. Frame every price conversation this way.</w:t>
      </w:r>
    </w:p>
    <w:p>
      <w:r>
        <w:br/>
        <w:t xml:space="preserve"/>
      </w:r>
      <w:r>
        <w:br w:type="page"/>
      </w:r>
    </w:p>
    <w:p>
      <w:pPr>
        <w:pStyle w:val="Heading1"/>
      </w:pPr>
      <w:r>
        <w:rPr>
          <w:rFonts w:ascii="Arial" w:cs="Arial" w:eastAsia="Arial" w:hAnsi="Arial"/>
        </w:rPr>
        <w:t xml:space="preserve">7. Revenue Model &amp; Projections</w:t>
      </w:r>
    </w:p>
    <w:p>
      <w:pPr>
        <w:pBdr>
          <w:bottom w:val="single" w:color="2E75B6" w:sz="6"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120"/>
              <w:left w:type="dxa" w:w="180"/>
              <w:bottom w:type="dxa" w:w="120"/>
              <w:right w:type="dxa" w:w="180"/>
            </w:tcMar>
          </w:tcPr>
          <w:p>
            <w:pPr>
              <w:spacing w:after="0"/>
            </w:pPr>
            <w:r>
              <w:rPr>
                <w:rFonts w:ascii="Arial" w:cs="Arial" w:eastAsia="Arial" w:hAnsi="Arial"/>
                <w:i/>
                <w:iCs/>
                <w:sz w:val="22"/>
                <w:szCs w:val="22"/>
              </w:rPr>
              <w:t xml:space="preserve">v3 projections are materially more conservative than v2, particularly in Year 1. The v2 numbers assumed active partners, validated close rates, and a market-ready product — none of which exist at launch. Year 1 is explicitly a validation phase. See Section 12 for what Year 1 should actually measure.</w:t>
            </w:r>
          </w:p>
        </w:tc>
      </w:tr>
    </w:tbl>
    <w:p>
      <w:pPr>
        <w:spacing w:after="160"/>
      </w:pPr>
      <w:r>
        <w:t xml:space="preserve"/>
      </w:r>
    </w:p>
    <w:p>
      <w:pPr>
        <w:pStyle w:val="Heading2"/>
      </w:pPr>
      <w:r>
        <w:rPr>
          <w:rFonts w:ascii="Arial" w:cs="Arial" w:eastAsia="Arial" w:hAnsi="Arial"/>
        </w:rPr>
        <w:t xml:space="preserve">Year 1 — Validation Phase (Revised Down from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2498"/>
        <w:gridCol w:w="2497"/>
      </w:tblGrid>
      <w:tr>
        <w:trPr>
          <w:tblHeader/>
        </w:trPr>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1665"/>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Solo — You Only</w:t>
            </w:r>
          </w:p>
        </w:tc>
        <w:tc>
          <w:tcPr>
            <w:tcW w:type="dxa" w:w="249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 Partner (Portland)</w:t>
            </w:r>
          </w:p>
        </w:tc>
        <w:tc>
          <w:tcPr>
            <w:tcW w:type="dxa" w:w="2497"/>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+2 Partners (+Honolulu)</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HW Units Sold (Total)</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8–20</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20–38</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32–60</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SW Units Sold (Total)</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5–12</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12–24</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20–38</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Gross Revenue (Total)</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$18K–$35K</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$40K–$75K</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$65K–$115K</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Your Revenue</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$18K–$35K</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$28K–$53K</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$43K–$76K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 Revenue (Portland)</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N/A</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$12K–$22K</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$12K–$22K</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 Revenue (Honolulu)</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N/A</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N/A</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$10K–$17K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Units/Month (end of year)</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2–3</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4–6</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6–9</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Primary Acquisition Channel</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LinkedIn DM, AIA Texas</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LinkedIn + Portland AIA</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LinkedIn + 2 AIA chapters</w:t>
            </w:r>
          </w:p>
        </w:tc>
      </w:tr>
    </w:tbl>
    <w:p>
      <w:pPr>
        <w:spacing w:after="160"/>
      </w:pPr>
      <w:r>
        <w:t xml:space="preserve"/>
      </w:r>
    </w:p>
    <w:p>
      <w:pPr>
        <w:pStyle w:val="Heading2"/>
      </w:pPr>
      <w:r>
        <w:rPr>
          <w:rFonts w:ascii="Arial" w:cs="Arial" w:eastAsia="Arial" w:hAnsi="Arial"/>
        </w:rPr>
        <w:t xml:space="preserve">Year 2 — Compounding Word-of-Mouth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2498"/>
        <w:gridCol w:w="2497"/>
      </w:tblGrid>
      <w:tr>
        <w:trPr>
          <w:tblHeader/>
        </w:trPr>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1665"/>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Solo — You Only</w:t>
            </w:r>
          </w:p>
        </w:tc>
        <w:tc>
          <w:tcPr>
            <w:tcW w:type="dxa" w:w="249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 Partner (Portland)</w:t>
            </w:r>
          </w:p>
        </w:tc>
        <w:tc>
          <w:tcPr>
            <w:tcW w:type="dxa" w:w="2497"/>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+2 Partners (+Honolulu)</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HW Units Sold (Total)</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30–65</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75–140</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125–240</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SW Units Sold (Total)</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20–45</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55–100</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90–175</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Gross Revenue (Total)</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$60K–$120K</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$130K–$250K</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$215K–$420K</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Your Revenue</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$60K–$120K</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$93K–$180K</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$140K–$275K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QuickBooks App Store Active</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Possibly</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Yes</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Referral Program Active</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Yes (20+ customers)</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Yes</w:t>
            </w:r>
          </w:p>
        </w:tc>
      </w:tr>
    </w:tbl>
    <w:p>
      <w:pPr>
        <w:spacing w:after="160"/>
      </w:pPr>
      <w:r>
        <w:t xml:space="preserve"/>
      </w:r>
    </w:p>
    <w:p>
      <w:pPr>
        <w:pStyle w:val="Heading2"/>
      </w:pPr>
      <w:r>
        <w:rPr>
          <w:rFonts w:ascii="Arial" w:cs="Arial" w:eastAsia="Arial" w:hAnsi="Arial"/>
        </w:rPr>
        <w:t xml:space="preserve">Year 3 — Scaled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2498"/>
        <w:gridCol w:w="2497"/>
      </w:tblGrid>
      <w:tr>
        <w:trPr>
          <w:tblHeader/>
        </w:trPr>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1665"/>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Solo — You Only</w:t>
            </w:r>
          </w:p>
        </w:tc>
        <w:tc>
          <w:tcPr>
            <w:tcW w:type="dxa" w:w="249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 Partner (Portland)</w:t>
            </w:r>
          </w:p>
        </w:tc>
        <w:tc>
          <w:tcPr>
            <w:tcW w:type="dxa" w:w="2497"/>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+2 Partners (+Honolulu)</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HW Units Sold (Total)</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80–160</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200–375</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330–620</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SW Units Sold (Total)</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60–120</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150–290</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250–475</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Gross Revenue (Total)</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$160K–$320K</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$380K–$720K</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$635K–$1.2M</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Your Revenue</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$160K–$320K</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$275K–$520K</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$415K–$790K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Implied NOI (Your Share)</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$110K–$250K</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$210K–$420K</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$320K–$650K</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Support Add-On Revenue</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$3K–$10K</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$10K–$30K</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$18K–$55K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EV/EBITDA (est.)</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3–5×</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4–6×</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5–7×</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Exit / Sale Potential</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$330K–$750K</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$840K–$2.0M</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$1.2M–$3.5M</w:t>
            </w:r>
          </w:p>
        </w:tc>
      </w:tr>
    </w:tbl>
    <w:p>
      <w:pPr>
        <w:spacing w:after="160"/>
      </w:pPr>
      <w:r>
        <w:t xml:space="preserve"/>
      </w:r>
    </w:p>
    <w:p>
      <w:pPr>
        <w:pStyle w:val="Heading2"/>
      </w:pPr>
      <w:r>
        <w:rPr>
          <w:rFonts w:ascii="Arial" w:cs="Arial" w:eastAsia="Arial" w:hAnsi="Arial"/>
        </w:rPr>
        <w:t xml:space="preserve">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326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Solo</w:t>
            </w:r>
          </w:p>
        </w:tc>
        <w:tc>
          <w:tcPr>
            <w:tcW w:type="dxa" w:w="3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Fixed Costs (setup + yr 1 overhead)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$2,000–$4,300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Materially lower than v2 — no HyperFormula cost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Contribution / SW Unit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~$764</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$799 – $35 COGS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Contribution / HW Unit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~$1,110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$1,349 – $235 COGS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Break-Even (SW units only)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3–6 units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Break-Even (HW units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2–4 units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Break-Even Timeline</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Month 1–2</w:t>
            </w:r>
          </w:p>
        </w:tc>
        <w:tc>
          <w:tcPr>
            <w:tcW w:type="dxa" w:w="3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Extremely achievable — low overhead model</w:t>
            </w:r>
          </w:p>
        </w:tc>
      </w:tr>
    </w:tbl>
    <w:p>
      <w:r>
        <w:br/>
        <w:t xml:space="preserve"/>
      </w:r>
      <w:r>
        <w:br w:type="page"/>
      </w:r>
    </w:p>
    <w:p>
      <w:pPr>
        <w:pStyle w:val="Heading1"/>
      </w:pPr>
      <w:r>
        <w:rPr>
          <w:rFonts w:ascii="Arial" w:cs="Arial" w:eastAsia="Arial" w:hAnsi="Arial"/>
        </w:rPr>
        <w:t xml:space="preserve">8. Customer Acquisition</w:t>
      </w:r>
    </w:p>
    <w:p>
      <w:pPr>
        <w:pBdr>
          <w:bottom w:val="single" w:color="2E75B6" w:sz="6" w:space="1"/>
        </w:pBdr>
        <w:spacing w:after="80" w:before="80"/>
      </w:pPr>
      <w:r>
        <w:t xml:space="preserve"/>
      </w:r>
    </w:p>
    <w:p>
      <w:pPr>
        <w:spacing w:after="120"/>
      </w:pPr>
      <w:r>
        <w:rPr>
          <w:rFonts w:ascii="Arial" w:cs="Arial" w:eastAsia="Arial" w:hAnsi="Arial"/>
          <w:sz w:val="22"/>
          <w:szCs w:val="22"/>
        </w:rPr>
        <w:t xml:space="preserve">All acquisition channels below. The partner channels are multiplicative, not additive — but treat them as unvalidated until actual sales data exists.</w:t>
      </w:r>
    </w:p>
    <w:p>
      <w:pPr>
        <w:spacing w:after="160"/>
      </w:pPr>
      <w:r>
        <w:t xml:space="preserve"/>
      </w:r>
    </w:p>
    <w:p>
      <w:pPr>
        <w:pStyle w:val="Heading2"/>
      </w:pPr>
      <w:r>
        <w:rPr>
          <w:rFonts w:ascii="Arial" w:cs="Arial" w:eastAsia="Arial" w:hAnsi="Arial"/>
        </w:rPr>
        <w:t xml:space="preserve">Channel 1: Direct LinkedIn Outreach — Primary</w:t>
      </w:r>
    </w:p>
    <w:p>
      <w:pPr>
        <w:spacing w:after="120"/>
      </w:pPr>
      <w:r>
        <w:rPr>
          <w:rFonts w:ascii="Arial" w:cs="Arial" w:eastAsia="Arial" w:hAnsi="Arial"/>
          <w:sz w:val="22"/>
          <w:szCs w:val="22"/>
        </w:rPr>
        <w:t xml:space="preserve">Target: firm owners and managing principals at architecture, engineering, and professional services firms with 2–20 employees.</w:t>
      </w:r>
    </w:p>
    <w:p>
      <w:pPr>
        <w:spacing w:after="160"/>
      </w:pPr>
      <w:r>
        <w:t xml:space="preserve"/>
      </w:r>
    </w:p>
    <w:p>
      <w:pPr>
        <w:spacing w:after="120"/>
      </w:pPr>
      <w:r>
        <w:rPr>
          <w:rFonts w:ascii="Arial" w:cs="Arial" w:eastAsia="Arial" w:hAnsi="Arial"/>
          <w:sz w:val="22"/>
          <w:szCs w:val="22"/>
        </w:rPr>
        <w:t xml:space="preserve">Message template: 'Hi [Name], I noticed [Firm] is doing interesting work on [project type]. I built a financial modeling tool specifically for architecture firms — 3-statement model, scenario planning, QuickBooks import — one-time purchase, no subscription. Happy to give you a 20-minute walk-through if it's useful.' Do not lead with price.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2498"/>
        <w:gridCol w:w="2497"/>
      </w:tblGrid>
      <w:tr>
        <w:trPr>
          <w:tblHeader/>
        </w:trPr>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1665"/>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Solo</w:t>
            </w:r>
          </w:p>
        </w:tc>
        <w:tc>
          <w:tcPr>
            <w:tcW w:type="dxa" w:w="249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Partners</w:t>
            </w:r>
          </w:p>
        </w:tc>
        <w:tc>
          <w:tcPr>
            <w:tcW w:type="dxa" w:w="2497"/>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Personalized InMails / Week</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30–50</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80–150 combined</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Quality &gt; quantity; personalized performs 3× better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Connection Accept Rate</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20–30%</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25–35% (peer credibility)</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Industry benchmark for AEC</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Response Rate</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5–10%</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8–15% with architect sender</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Belkins 2025 data: ~9% industry avg</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Demo Requests / Month</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2–5</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6–14</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Demo-to-Close Rate (Year 1)</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8–15%</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12–20%</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Conservative; v2 overstated at 15–35%</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Closed Sales / Month (Year 1)</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0.5–1.5</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2–5</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LinkedIn Sales Navigator Cost</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$80–$120/mo</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$80–$120 each</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Essential for AEC firm targeting</w:t>
            </w:r>
          </w:p>
        </w:tc>
      </w:tr>
    </w:tbl>
    <w:p>
      <w:pPr>
        <w:spacing w:after="160"/>
      </w:pPr>
      <w:r>
        <w:t xml:space="preserve"/>
      </w:r>
    </w:p>
    <w:p>
      <w:pPr>
        <w:pStyle w:val="Heading2"/>
      </w:pPr>
      <w:r>
        <w:rPr>
          <w:rFonts w:ascii="Arial" w:cs="Arial" w:eastAsia="Arial" w:hAnsi="Arial"/>
        </w:rPr>
        <w:t xml:space="preserve">Channel 2: AIA Chapters &amp; Architecture Associations</w:t>
      </w:r>
    </w:p>
    <w:p>
      <w:pPr>
        <w:spacing w:after="120"/>
      </w:pPr>
      <w:r>
        <w:rPr>
          <w:rFonts w:ascii="Arial" w:cs="Arial" w:eastAsia="Arial" w:hAnsi="Arial"/>
          <w:sz w:val="22"/>
          <w:szCs w:val="22"/>
        </w:rPr>
        <w:t xml:space="preserve">AIA has 200+ regional chapters and 101,000+ individual members with a 90% renewal rate. The national AIA Conference on Architecture (AIA26, San Diego, June 2026) booth costs ~$47/sq ft — a 10×10 booth is approximately $4,700 before travel. Local chapter sponsorships are $2,500–$5,000/year and provide access to speaking slots and newsletter placements.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2498"/>
        <w:gridCol w:w="2497"/>
      </w:tblGrid>
      <w:tr>
        <w:trPr>
          <w:tblHeader/>
        </w:trPr>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1665"/>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Solo</w:t>
            </w:r>
          </w:p>
        </w:tc>
        <w:tc>
          <w:tcPr>
            <w:tcW w:type="dxa" w:w="249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Partners</w:t>
            </w:r>
          </w:p>
        </w:tc>
        <w:tc>
          <w:tcPr>
            <w:tcW w:type="dxa" w:w="2497"/>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AIA Chapters Accessible</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Texas Society AIA</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Portland AIA</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AIA Hawaii</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Speaking Opportunities</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Low (outsider)</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 (partner is member)</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 (members in 2–3 chapters)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Chapter Sponsorship Cost</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$2,500–$5,000/yr</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$2,500–$5,000 each</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Test one chapter first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National Conference Booth</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~$4,700 + travel</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 presents free</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Two chapter presentations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Leads / Month from AIA</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0.5–2</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3–7</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bl>
    <w:p>
      <w:pPr>
        <w:spacing w:after="160"/>
      </w:pPr>
      <w:r>
        <w:t xml:space="preserve"/>
      </w:r>
    </w:p>
    <w:p>
      <w:pPr>
        <w:pStyle w:val="Heading2"/>
      </w:pPr>
      <w:r>
        <w:rPr>
          <w:rFonts w:ascii="Arial" w:cs="Arial" w:eastAsia="Arial" w:hAnsi="Arial"/>
        </w:rPr>
        <w:t xml:space="preserve">Channel 3: CPA &amp; Bookkeeper Referral Partnerships</w:t>
      </w:r>
    </w:p>
    <w:p>
      <w:pPr>
        <w:spacing w:after="120"/>
      </w:pPr>
      <w:r>
        <w:rPr>
          <w:rFonts w:ascii="Arial" w:cs="Arial" w:eastAsia="Arial" w:hAnsi="Arial"/>
          <w:sz w:val="22"/>
          <w:szCs w:val="22"/>
        </w:rPr>
        <w:t xml:space="preserve">The Intuit ProAdvisor network encompasses hundreds of thousands of CPAs and bookkeepers who actively recommend tools to small business clients. A QuickBooks integration positions TanoBox for ProAdvisor discovery. Referral-sourced leads cost approximately $25 each versus $200–$400 for LinkedIn Ads. Structure as: 10–20% referral commission per closed sale, or a wholesale reseller arrangement.</w:t>
      </w:r>
    </w:p>
    <w:p>
      <w:pPr>
        <w:spacing w:after="160"/>
      </w:pPr>
      <w:r>
        <w:t xml:space="preserve"/>
      </w:r>
    </w:p>
    <w:p>
      <w:pPr>
        <w:pStyle w:val="Heading2"/>
      </w:pPr>
      <w:r>
        <w:rPr>
          <w:rFonts w:ascii="Arial" w:cs="Arial" w:eastAsia="Arial" w:hAnsi="Arial"/>
        </w:rPr>
        <w:t xml:space="preserve">Channel 4: QuickBooks App Store</w:t>
      </w:r>
    </w:p>
    <w:p>
      <w:pPr>
        <w:spacing w:after="120"/>
      </w:pPr>
      <w:r>
        <w:rPr>
          <w:rFonts w:ascii="Arial" w:cs="Arial" w:eastAsia="Arial" w:hAnsi="Arial"/>
          <w:sz w:val="22"/>
          <w:szCs w:val="22"/>
        </w:rPr>
        <w:t xml:space="preserve">Getting listed puts TanoBox in front of the 7+ million QuickBooks users (62% US market share for SMB accounting). The free Builder tier provides 500K API calls/month. No revenue share — Intuit takes only platform fees. Target App Store listing 3–4 months post-launch once 5+ reviews are available from early customers.</w:t>
      </w:r>
    </w:p>
    <w:p>
      <w:pPr>
        <w:spacing w:after="160"/>
      </w:pPr>
      <w:r>
        <w:t xml:space="preserve"/>
      </w:r>
    </w:p>
    <w:p>
      <w:pPr>
        <w:pStyle w:val="Heading2"/>
      </w:pPr>
      <w:r>
        <w:rPr>
          <w:rFonts w:ascii="Arial" w:cs="Arial" w:eastAsia="Arial" w:hAnsi="Arial"/>
        </w:rPr>
        <w:t xml:space="preserve">Channel 5: Referral Program (Year 2+)</w:t>
      </w:r>
    </w:p>
    <w:p>
      <w:pPr>
        <w:spacing w:after="120"/>
      </w:pPr>
      <w:r>
        <w:rPr>
          <w:rFonts w:ascii="Arial" w:cs="Arial" w:eastAsia="Arial" w:hAnsi="Arial"/>
          <w:sz w:val="22"/>
          <w:szCs w:val="22"/>
        </w:rPr>
        <w:t xml:space="preserve">Activate once 20+ happy customers exist. Referrer gets $50 gift card; new customer gets 10% off. Architecture is a tight professional community — word-of-mouth is the most powerful trust signal and costs almost nothing once established.</w:t>
      </w:r>
    </w:p>
    <w:p>
      <w:pPr>
        <w:spacing w:after="160"/>
      </w:pPr>
      <w:r>
        <w:t xml:space="preserve"/>
      </w:r>
    </w:p>
    <w:p>
      <w:pPr>
        <w:pStyle w:val="Heading2"/>
      </w:pPr>
      <w:r>
        <w:rPr>
          <w:rFonts w:ascii="Arial" w:cs="Arial" w:eastAsia="Arial" w:hAnsi="Arial"/>
        </w:rPr>
        <w:t xml:space="preserve">Channel 6: Content Marketing &amp; Original Research</w:t>
      </w:r>
    </w:p>
    <w:p>
      <w:pPr>
        <w:spacing w:after="120"/>
      </w:pPr>
      <w:r>
        <w:rPr>
          <w:rFonts w:ascii="Arial" w:cs="Arial" w:eastAsia="Arial" w:hAnsi="Arial"/>
          <w:sz w:val="22"/>
          <w:szCs w:val="22"/>
        </w:rPr>
        <w:t xml:space="preserve">One substantive article per month targeting AEC firm owners. High-value content angle: publish an annual 'State of Architecture Firm Finances' report based on original survey data. This generates press coverage from AIA publications, ArchDaily (14M monthly visits), Architect's Newspaper, and Archinect. The authors' architect credentials lend immediate credibility that no tech founder's content can match.</w:t>
      </w:r>
    </w:p>
    <w:p>
      <w:r>
        <w:br/>
        <w:t xml:space="preserve"/>
      </w:r>
      <w:r>
        <w:br w:type="page"/>
      </w:r>
    </w:p>
    <w:p>
      <w:pPr>
        <w:pStyle w:val="Heading1"/>
      </w:pPr>
      <w:r>
        <w:rPr>
          <w:rFonts w:ascii="Arial" w:cs="Arial" w:eastAsia="Arial" w:hAnsi="Arial"/>
        </w:rPr>
        <w:t xml:space="preserve">9. Support Model</w:t>
      </w:r>
    </w:p>
    <w:p>
      <w:pPr>
        <w:pBdr>
          <w:bottom w:val="single" w:color="2E75B6" w:sz="6" w:space="1"/>
        </w:pBdr>
        <w:spacing w:after="80" w:before="80"/>
      </w:pPr>
      <w:r>
        <w:t xml:space="preserve"/>
      </w:r>
    </w:p>
    <w:p>
      <w:pPr>
        <w:spacing w:after="120"/>
      </w:pPr>
      <w:r>
        <w:rPr>
          <w:rFonts w:ascii="Arial" w:cs="Arial" w:eastAsia="Arial" w:hAnsi="Arial"/>
          <w:sz w:val="22"/>
          <w:szCs w:val="22"/>
        </w:rPr>
        <w:t xml:space="preserve">The support model is designed to keep time investment minimal while maintaining customer satisfaction. The biggest risk is underestimating support burden — particularly in Year 1 when the customer base is small and every support interaction is manual.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120"/>
              <w:left w:type="dxa" w:w="180"/>
              <w:bottom w:type="dxa" w:w="120"/>
              <w:right w:type="dxa" w:w="180"/>
            </w:tcMar>
          </w:tcPr>
          <w:p>
            <w:pPr>
              <w:spacing w:after="0"/>
            </w:pPr>
            <w:r>
              <w:rPr>
                <w:rFonts w:ascii="Arial" w:cs="Arial" w:eastAsia="Arial" w:hAnsi="Arial"/>
                <w:i/>
                <w:iCs/>
                <w:sz w:val="22"/>
                <w:szCs w:val="22"/>
              </w:rPr>
              <w:t xml:space="preserve">Honest expectation: small firm principals running TanoBox on Windows are not IT-literate. Budget 1–3 hours of touch-time per customer in the first 90 days regardless of how good the self-service tooling is. This is the most commonly underestimated cost in self-hosted software businesses.</w:t>
            </w:r>
          </w:p>
        </w:tc>
      </w:tr>
    </w:tbl>
    <w:p>
      <w:pPr>
        <w:spacing w:after="160"/>
      </w:pPr>
      <w:r>
        <w:t xml:space="preserve"/>
      </w:r>
    </w:p>
    <w:p>
      <w:pPr>
        <w:pStyle w:val="Heading2"/>
      </w:pPr>
      <w:r>
        <w:rPr>
          <w:rFonts w:ascii="Arial" w:cs="Arial" w:eastAsia="Arial" w:hAnsi="Arial"/>
        </w:rPr>
        <w:t xml:space="preserve">In-Product Self-Service</w:t>
      </w:r>
    </w:p>
    <w:p>
      <w:pPr>
        <w:pStyle w:val="ListParagraph"/>
        <w:numPr>
          <w:ilvl w:val="0"/>
          <w:numId w:val="2"/>
        </w:numPr>
        <w:spacing w:after="80"/>
      </w:pPr>
      <w:r>
        <w:rPr>
          <w:rFonts w:ascii="Arial" w:cs="Arial" w:eastAsia="Arial" w:hAnsi="Arial"/>
          <w:sz w:val="22"/>
          <w:szCs w:val="22"/>
        </w:rPr>
        <w:t xml:space="preserve">'?' buttons on every tab linking to help articles.</w:t>
      </w:r>
    </w:p>
    <w:p>
      <w:pPr>
        <w:pStyle w:val="ListParagraph"/>
        <w:numPr>
          <w:ilvl w:val="0"/>
          <w:numId w:val="2"/>
        </w:numPr>
        <w:spacing w:after="80"/>
      </w:pPr>
      <w:r>
        <w:rPr>
          <w:rFonts w:ascii="Arial" w:cs="Arial" w:eastAsia="Arial" w:hAnsi="Arial"/>
          <w:sz w:val="22"/>
          <w:szCs w:val="22"/>
        </w:rPr>
        <w:t xml:space="preserve">Getting Started page walks through model creation, QuickBooks import, and scenario planning.</w:t>
      </w:r>
    </w:p>
    <w:p>
      <w:pPr>
        <w:pStyle w:val="ListParagraph"/>
        <w:numPr>
          <w:ilvl w:val="0"/>
          <w:numId w:val="2"/>
        </w:numPr>
        <w:spacing w:after="80"/>
      </w:pPr>
      <w:r>
        <w:rPr>
          <w:rFonts w:ascii="Arial" w:cs="Arial" w:eastAsia="Arial" w:hAnsi="Arial"/>
          <w:sz w:val="22"/>
          <w:szCs w:val="22"/>
        </w:rPr>
        <w:t xml:space="preserve">Error messages are plain English, not stack traces.</w:t>
      </w:r>
    </w:p>
    <w:p>
      <w:pPr>
        <w:pStyle w:val="ListParagraph"/>
        <w:numPr>
          <w:ilvl w:val="0"/>
          <w:numId w:val="2"/>
        </w:numPr>
        <w:spacing w:after="80"/>
      </w:pPr>
      <w:r>
        <w:rPr>
          <w:rFonts w:ascii="Arial" w:cs="Arial" w:eastAsia="Arial" w:hAnsi="Arial"/>
          <w:sz w:val="22"/>
          <w:szCs w:val="22"/>
        </w:rPr>
        <w:t xml:space="preserve">'Repair TanoBox.bat' on the desktop handles the most common failure (Windows Updates breaking WSL2).</w:t>
      </w:r>
    </w:p>
    <w:p>
      <w:pPr>
        <w:spacing w:after="160"/>
      </w:pPr>
      <w:r>
        <w:t xml:space="preserve"/>
      </w:r>
    </w:p>
    <w:p>
      <w:pPr>
        <w:pStyle w:val="Heading2"/>
      </w:pPr>
      <w:r>
        <w:rPr>
          <w:rFonts w:ascii="Arial" w:cs="Arial" w:eastAsia="Arial" w:hAnsi="Arial"/>
        </w:rPr>
        <w:t xml:space="preserve">Included Support — 90-Day Window</w:t>
      </w:r>
    </w:p>
    <w:p>
      <w:pPr>
        <w:spacing w:after="120"/>
      </w:pPr>
      <w:r>
        <w:rPr>
          <w:rFonts w:ascii="Arial" w:cs="Arial" w:eastAsia="Arial" w:hAnsi="Arial"/>
          <w:sz w:val="22"/>
          <w:szCs w:val="22"/>
        </w:rPr>
        <w:t xml:space="preserve">Every purchase includes 90 days of email support with a 48-hour response commitment. After 90 days, support is best-effort unless the customer has purchased the Priority Support add-on.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Solo</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Partners</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Support Emails / Month (Yr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12–35 total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Higher than v2 estimates — assume non-technical users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Who Handles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You</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 handles own territory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Escalate complex issues to you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Avg. Response 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24–48 hrs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24–48 hrs each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Hrs / Week on Support (Yr 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4–7 hrs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2–4 hrs each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Budget 5 hrs/wk conservatively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Priority Support Add-On Revenue (Yr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$3K–$8K/yr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$8K–$20K/yr total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bl>
    <w:p>
      <w:pPr>
        <w:spacing w:after="160"/>
      </w:pPr>
      <w:r>
        <w:t xml:space="preserve"/>
      </w:r>
    </w:p>
    <w:p>
      <w:pPr>
        <w:pStyle w:val="Heading2"/>
      </w:pPr>
      <w:r>
        <w:rPr>
          <w:rFonts w:ascii="Arial" w:cs="Arial" w:eastAsia="Arial" w:hAnsi="Arial"/>
        </w:rPr>
        <w:t xml:space="preserve">Self-Service Recovery Tools</w:t>
      </w:r>
    </w:p>
    <w:p>
      <w:pPr>
        <w:pStyle w:val="ListParagraph"/>
        <w:numPr>
          <w:ilvl w:val="0"/>
          <w:numId w:val="2"/>
        </w:numPr>
        <w:spacing w:after="80"/>
      </w:pPr>
      <w:r>
        <w:rPr>
          <w:rFonts w:ascii="Arial" w:cs="Arial" w:eastAsia="Arial" w:hAnsi="Arial"/>
          <w:sz w:val="22"/>
          <w:szCs w:val="22"/>
        </w:rPr>
        <w:t xml:space="preserve">'Backup TanoBox.bat' — exports WSL2 environment to C:\TanoBox\backup.tar.gz. Run monthly.</w:t>
      </w:r>
    </w:p>
    <w:p>
      <w:pPr>
        <w:pStyle w:val="ListParagraph"/>
        <w:numPr>
          <w:ilvl w:val="0"/>
          <w:numId w:val="2"/>
        </w:numPr>
        <w:spacing w:after="80"/>
      </w:pPr>
      <w:r>
        <w:rPr>
          <w:rFonts w:ascii="Arial" w:cs="Arial" w:eastAsia="Arial" w:hAnsi="Arial"/>
          <w:sz w:val="22"/>
          <w:szCs w:val="22"/>
        </w:rPr>
        <w:t xml:space="preserve">'Repair TanoBox.bat' — re-imports WSL2 from backup. Fixes Windows Update breakage in 3 minutes.</w:t>
      </w:r>
    </w:p>
    <w:p>
      <w:pPr>
        <w:pStyle w:val="ListParagraph"/>
        <w:numPr>
          <w:ilvl w:val="0"/>
          <w:numId w:val="2"/>
        </w:numPr>
        <w:spacing w:after="80"/>
      </w:pPr>
      <w:r>
        <w:rPr>
          <w:rFonts w:ascii="Arial" w:cs="Arial" w:eastAsia="Arial" w:hAnsi="Arial"/>
          <w:sz w:val="22"/>
          <w:szCs w:val="22"/>
        </w:rPr>
        <w:t xml:space="preserve">User Guide PDF in C:\TanoBox\ — sections: Getting Started, Creating Your First Model, QuickBooks Import, Troubleshooting.</w:t>
      </w:r>
    </w:p>
    <w:p>
      <w:pPr>
        <w:spacing w:after="160"/>
      </w:pPr>
      <w:r>
        <w:t xml:space="preserve"/>
      </w:r>
    </w:p>
    <w:p>
      <w:pPr>
        <w:pStyle w:val="Heading2"/>
      </w:pPr>
      <w:r>
        <w:rPr>
          <w:rFonts w:ascii="Arial" w:cs="Arial" w:eastAsia="Arial" w:hAnsi="Arial"/>
        </w:rPr>
        <w:t xml:space="preserve">What Is Explicitly Not Supported</w:t>
      </w:r>
    </w:p>
    <w:p>
      <w:pPr>
        <w:pStyle w:val="ListParagraph"/>
        <w:numPr>
          <w:ilvl w:val="0"/>
          <w:numId w:val="2"/>
        </w:numPr>
        <w:spacing w:after="80"/>
      </w:pPr>
      <w:r>
        <w:rPr>
          <w:rFonts w:ascii="Arial" w:cs="Arial" w:eastAsia="Arial" w:hAnsi="Arial"/>
          <w:sz w:val="22"/>
          <w:szCs w:val="22"/>
        </w:rPr>
        <w:t xml:space="preserve">Issues caused by customer-modified Windows settings.</w:t>
      </w:r>
    </w:p>
    <w:p>
      <w:pPr>
        <w:pStyle w:val="ListParagraph"/>
        <w:numPr>
          <w:ilvl w:val="0"/>
          <w:numId w:val="2"/>
        </w:numPr>
        <w:spacing w:after="80"/>
      </w:pPr>
      <w:r>
        <w:rPr>
          <w:rFonts w:ascii="Arial" w:cs="Arial" w:eastAsia="Arial" w:hAnsi="Arial"/>
          <w:sz w:val="22"/>
          <w:szCs w:val="22"/>
        </w:rPr>
        <w:t xml:space="preserve">Accuracy of financial projections — TanoBox is a modeling tool, not a financial advisor.</w:t>
      </w:r>
    </w:p>
    <w:p>
      <w:pPr>
        <w:pStyle w:val="ListParagraph"/>
        <w:numPr>
          <w:ilvl w:val="0"/>
          <w:numId w:val="2"/>
        </w:numPr>
        <w:spacing w:after="80"/>
      </w:pPr>
      <w:r>
        <w:rPr>
          <w:rFonts w:ascii="Arial" w:cs="Arial" w:eastAsia="Arial" w:hAnsi="Arial"/>
          <w:sz w:val="22"/>
          <w:szCs w:val="22"/>
        </w:rPr>
        <w:t xml:space="preserve">QuickBooks data with unusual or highly customized chart-of-accounts configurations.</w:t>
      </w:r>
    </w:p>
    <w:p>
      <w:pPr>
        <w:pStyle w:val="ListParagraph"/>
        <w:numPr>
          <w:ilvl w:val="0"/>
          <w:numId w:val="2"/>
        </w:numPr>
        <w:spacing w:after="80"/>
      </w:pPr>
      <w:r>
        <w:rPr>
          <w:rFonts w:ascii="Arial" w:cs="Arial" w:eastAsia="Arial" w:hAnsi="Arial"/>
          <w:sz w:val="22"/>
          <w:szCs w:val="22"/>
        </w:rPr>
        <w:t xml:space="preserve">Windows versions older than 10 v2004.</w:t>
      </w:r>
    </w:p>
    <w:p>
      <w:r>
        <w:br/>
        <w:t xml:space="preserve"/>
      </w:r>
      <w:r>
        <w:br w:type="page"/>
      </w:r>
    </w:p>
    <w:p>
      <w:pPr>
        <w:pStyle w:val="Heading1"/>
      </w:pPr>
      <w:r>
        <w:rPr>
          <w:rFonts w:ascii="Arial" w:cs="Arial" w:eastAsia="Arial" w:hAnsi="Arial"/>
        </w:rPr>
        <w:t xml:space="preserve">10. Launch Checklist</w:t>
      </w:r>
    </w:p>
    <w:p>
      <w:pPr>
        <w:pBdr>
          <w:bottom w:val="single" w:color="2E75B6" w:sz="6" w:space="1"/>
        </w:pBdr>
        <w:spacing w:after="80" w:before="80"/>
      </w:pPr>
      <w:r>
        <w:t xml:space="preserve"/>
      </w:r>
    </w:p>
    <w:p>
      <w:pPr>
        <w:spacing w:after="120"/>
      </w:pPr>
      <w:r>
        <w:rPr>
          <w:rFonts w:ascii="Arial" w:cs="Arial" w:eastAsia="Arial" w:hAnsi="Arial"/>
          <w:sz w:val="22"/>
          <w:szCs w:val="22"/>
        </w:rPr>
        <w:t xml:space="preserve">Complete these in order. Do not sell a single unit until every item is checked.</w:t>
      </w:r>
    </w:p>
    <w:p>
      <w:pPr>
        <w:spacing w:after="160"/>
      </w:pPr>
      <w:r>
        <w:t xml:space="preserve"/>
      </w:r>
    </w:p>
    <w:p>
      <w:pPr>
        <w:pStyle w:val="Heading2"/>
      </w:pPr>
      <w:r>
        <w:rPr>
          <w:rFonts w:ascii="Arial" w:cs="Arial" w:eastAsia="Arial" w:hAnsi="Arial"/>
        </w:rPr>
        <w:t xml:space="preserve">Legal &amp; Business</w:t>
      </w:r>
    </w:p>
    <w:p>
      <w:pPr>
        <w:pStyle w:val="ListParagraph"/>
        <w:numPr>
          <w:ilvl w:val="0"/>
          <w:numId w:val="3"/>
        </w:numPr>
        <w:spacing w:after="80"/>
      </w:pPr>
      <w:r>
        <w:rPr>
          <w:rFonts w:ascii="Arial" w:cs="Arial" w:eastAsia="Arial" w:hAnsi="Arial"/>
          <w:sz w:val="22"/>
          <w:szCs w:val="22"/>
        </w:rPr>
        <w:t xml:space="preserve">Tano Studio LLC (Texas) — already formed. Confirm EIN is active and business bank account open.</w:t>
      </w:r>
    </w:p>
    <w:p>
      <w:pPr>
        <w:pStyle w:val="ListParagraph"/>
        <w:numPr>
          <w:ilvl w:val="0"/>
          <w:numId w:val="3"/>
        </w:numPr>
        <w:spacing w:after="80"/>
      </w:pPr>
      <w:r>
        <w:rPr>
          <w:rFonts w:ascii="Arial" w:cs="Arial" w:eastAsia="Arial" w:hAnsi="Arial"/>
          <w:sz w:val="22"/>
          <w:szCs w:val="22"/>
        </w:rPr>
        <w:t xml:space="preserve">Draft and finalize EULA. Attorney review recommended ($200–$400). Multi-state if partners in OR/HI.</w:t>
      </w:r>
    </w:p>
    <w:p>
      <w:pPr>
        <w:pStyle w:val="ListParagraph"/>
        <w:numPr>
          <w:ilvl w:val="0"/>
          <w:numId w:val="3"/>
        </w:numPr>
        <w:spacing w:after="80"/>
      </w:pPr>
      <w:r>
        <w:rPr>
          <w:rFonts w:ascii="Arial" w:cs="Arial" w:eastAsia="Arial" w:hAnsi="Arial"/>
          <w:sz w:val="22"/>
          <w:szCs w:val="22"/>
        </w:rPr>
        <w:t xml:space="preserve">Register TanoBox as Desktop OAuth 2.0 app on developer.intuit.com. Submit for production review (allow 4–8 weeks).</w:t>
      </w:r>
    </w:p>
    <w:p>
      <w:pPr>
        <w:pStyle w:val="ListParagraph"/>
        <w:numPr>
          <w:ilvl w:val="0"/>
          <w:numId w:val="3"/>
        </w:numPr>
        <w:spacing w:after="80"/>
      </w:pPr>
      <w:r>
        <w:rPr>
          <w:rFonts w:ascii="Arial" w:cs="Arial" w:eastAsia="Arial" w:hAnsi="Arial"/>
          <w:sz w:val="22"/>
          <w:szCs w:val="22"/>
        </w:rPr>
        <w:t xml:space="preserve">Deploy lightweight HTTPS cloud callback endpoint for QuickBooks OAuth relay (Fly.io or Railway — free tier).</w:t>
      </w:r>
    </w:p>
    <w:p>
      <w:pPr>
        <w:pStyle w:val="ListParagraph"/>
        <w:numPr>
          <w:ilvl w:val="0"/>
          <w:numId w:val="3"/>
        </w:numPr>
        <w:spacing w:after="80"/>
      </w:pPr>
      <w:r>
        <w:rPr>
          <w:rFonts w:ascii="Arial" w:cs="Arial" w:eastAsia="Arial" w:hAnsi="Arial"/>
          <w:sz w:val="22"/>
          <w:szCs w:val="22"/>
        </w:rPr>
        <w:t xml:space="preserve">Activate TaxJar or Anrok once sales cross state lines or 50+ units/month.</w:t>
      </w:r>
    </w:p>
    <w:p>
      <w:pPr>
        <w:spacing w:after="160"/>
      </w:pPr>
      <w:r>
        <w:t xml:space="preserve"/>
      </w:r>
    </w:p>
    <w:p>
      <w:pPr>
        <w:pStyle w:val="Heading2"/>
      </w:pPr>
      <w:r>
        <w:rPr>
          <w:rFonts w:ascii="Arial" w:cs="Arial" w:eastAsia="Arial" w:hAnsi="Arial"/>
        </w:rPr>
        <w:t xml:space="preserve">Technical — Build the Calculation Engine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120"/>
              <w:left w:type="dxa" w:w="180"/>
              <w:bottom w:type="dxa" w:w="120"/>
              <w:right w:type="dxa" w:w="180"/>
            </w:tcMar>
          </w:tcPr>
          <w:p>
            <w:pPr>
              <w:spacing w:after="0"/>
            </w:pPr>
            <w:r>
              <w:rPr>
                <w:rFonts w:ascii="Arial" w:cs="Arial" w:eastAsia="Arial" w:hAnsi="Arial"/>
                <w:i/>
                <w:iCs/>
                <w:sz w:val="22"/>
                <w:szCs w:val="22"/>
              </w:rPr>
              <w:t xml:space="preserve">The custom calculation engine (Section 12) must be built and validated before any sales. Do not sell a product where the calculation engine is untested. This is the technical foundation everything else depends on.</w:t>
            </w:r>
          </w:p>
        </w:tc>
      </w:tr>
    </w:tbl>
    <w:p>
      <w:pPr>
        <w:pStyle w:val="ListParagraph"/>
        <w:numPr>
          <w:ilvl w:val="0"/>
          <w:numId w:val="3"/>
        </w:numPr>
        <w:spacing w:after="80"/>
      </w:pPr>
      <w:r>
        <w:rPr>
          <w:rFonts w:ascii="Arial" w:cs="Arial" w:eastAsia="Arial" w:hAnsi="Arial"/>
          <w:sz w:val="22"/>
          <w:szCs w:val="22"/>
        </w:rPr>
        <w:t xml:space="preserve">Write the Claude Code spec for the calculation engine (DAG + topological sort + iterative circular reference solver).</w:t>
      </w:r>
    </w:p>
    <w:p>
      <w:pPr>
        <w:pStyle w:val="ListParagraph"/>
        <w:numPr>
          <w:ilvl w:val="0"/>
          <w:numId w:val="3"/>
        </w:numPr>
        <w:spacing w:after="80"/>
      </w:pPr>
      <w:r>
        <w:rPr>
          <w:rFonts w:ascii="Arial" w:cs="Arial" w:eastAsia="Arial" w:hAnsi="Arial"/>
          <w:sz w:val="22"/>
          <w:szCs w:val="22"/>
        </w:rPr>
        <w:t xml:space="preserve">Build and unit-test the engine: all income statement line items close correctly, BS balances, CFS reconciles.</w:t>
      </w:r>
    </w:p>
    <w:p>
      <w:pPr>
        <w:pStyle w:val="ListParagraph"/>
        <w:numPr>
          <w:ilvl w:val="0"/>
          <w:numId w:val="3"/>
        </w:numPr>
        <w:spacing w:after="80"/>
      </w:pPr>
      <w:r>
        <w:rPr>
          <w:rFonts w:ascii="Arial" w:cs="Arial" w:eastAsia="Arial" w:hAnsi="Arial"/>
          <w:sz w:val="22"/>
          <w:szCs w:val="22"/>
        </w:rPr>
        <w:t xml:space="preserve">Run the full 3-statement model end-to-end with sample architecture firm data. Verify results against manual Excel model.</w:t>
      </w:r>
    </w:p>
    <w:p>
      <w:pPr>
        <w:pStyle w:val="ListParagraph"/>
        <w:numPr>
          <w:ilvl w:val="0"/>
          <w:numId w:val="3"/>
        </w:numPr>
        <w:spacing w:after="80"/>
      </w:pPr>
      <w:r>
        <w:rPr>
          <w:rFonts w:ascii="Arial" w:cs="Arial" w:eastAsia="Arial" w:hAnsi="Arial"/>
          <w:sz w:val="22"/>
          <w:szCs w:val="22"/>
        </w:rPr>
        <w:t xml:space="preserve">Integration test: QuickBooks import populates income statement correctly.</w:t>
      </w:r>
    </w:p>
    <w:p>
      <w:pPr>
        <w:spacing w:after="160"/>
      </w:pPr>
      <w:r>
        <w:t xml:space="preserve"/>
      </w:r>
    </w:p>
    <w:p>
      <w:pPr>
        <w:pStyle w:val="Heading2"/>
      </w:pPr>
      <w:r>
        <w:rPr>
          <w:rFonts w:ascii="Arial" w:cs="Arial" w:eastAsia="Arial" w:hAnsi="Arial"/>
        </w:rPr>
        <w:t xml:space="preserve">Technical — Build and Validate the Image</w:t>
      </w:r>
    </w:p>
    <w:p>
      <w:pPr>
        <w:pStyle w:val="ListParagraph"/>
        <w:numPr>
          <w:ilvl w:val="0"/>
          <w:numId w:val="4"/>
        </w:numPr>
        <w:spacing w:after="80"/>
      </w:pPr>
      <w:r>
        <w:rPr>
          <w:rFonts w:ascii="Arial" w:cs="Arial" w:eastAsia="Arial" w:hAnsi="Arial"/>
          <w:sz w:val="22"/>
          <w:szCs w:val="22"/>
        </w:rPr>
        <w:t xml:space="preserve">Purchase reference and validation units (2 for solo, 4 for +1 partner, 6 for +2 partners).</w:t>
      </w:r>
    </w:p>
    <w:p>
      <w:pPr>
        <w:pStyle w:val="ListParagraph"/>
        <w:numPr>
          <w:ilvl w:val="0"/>
          <w:numId w:val="4"/>
        </w:numPr>
        <w:spacing w:after="80"/>
      </w:pPr>
      <w:r>
        <w:rPr>
          <w:rFonts w:ascii="Arial" w:cs="Arial" w:eastAsia="Arial" w:hAnsi="Arial"/>
          <w:sz w:val="22"/>
          <w:szCs w:val="22"/>
        </w:rPr>
        <w:t xml:space="preserve">Set up reference machine per Section 4, Step 2.</w:t>
      </w:r>
    </w:p>
    <w:p>
      <w:pPr>
        <w:pStyle w:val="ListParagraph"/>
        <w:numPr>
          <w:ilvl w:val="0"/>
          <w:numId w:val="4"/>
        </w:numPr>
        <w:spacing w:after="80"/>
      </w:pPr>
      <w:r>
        <w:rPr>
          <w:rFonts w:ascii="Arial" w:cs="Arial" w:eastAsia="Arial" w:hAnsi="Arial"/>
          <w:sz w:val="22"/>
          <w:szCs w:val="22"/>
        </w:rPr>
        <w:t xml:space="preserve">Test thoroughly: create model, reboot, verify data persists, verify Excel export, verify repair script works.</w:t>
      </w:r>
    </w:p>
    <w:p>
      <w:pPr>
        <w:pStyle w:val="ListParagraph"/>
        <w:numPr>
          <w:ilvl w:val="0"/>
          <w:numId w:val="4"/>
        </w:numPr>
        <w:spacing w:after="80"/>
      </w:pPr>
      <w:r>
        <w:rPr>
          <w:rFonts w:ascii="Arial" w:cs="Arial" w:eastAsia="Arial" w:hAnsi="Arial"/>
          <w:sz w:val="22"/>
          <w:szCs w:val="22"/>
        </w:rPr>
        <w:t xml:space="preserve">Sysprep the reference machine.</w:t>
      </w:r>
    </w:p>
    <w:p>
      <w:pPr>
        <w:pStyle w:val="ListParagraph"/>
        <w:numPr>
          <w:ilvl w:val="0"/>
          <w:numId w:val="4"/>
        </w:numPr>
        <w:spacing w:after="80"/>
      </w:pPr>
      <w:r>
        <w:rPr>
          <w:rFonts w:ascii="Arial" w:cs="Arial" w:eastAsia="Arial" w:hAnsi="Arial"/>
          <w:sz w:val="22"/>
          <w:szCs w:val="22"/>
        </w:rPr>
        <w:t xml:space="preserve">Create Clonezilla image on external drive. Upload to Backblaze B2.</w:t>
      </w:r>
    </w:p>
    <w:p>
      <w:pPr>
        <w:pStyle w:val="ListParagraph"/>
        <w:numPr>
          <w:ilvl w:val="0"/>
          <w:numId w:val="4"/>
        </w:numPr>
        <w:spacing w:after="80"/>
      </w:pPr>
      <w:r>
        <w:rPr>
          <w:rFonts w:ascii="Arial" w:cs="Arial" w:eastAsia="Arial" w:hAnsi="Arial"/>
          <w:sz w:val="22"/>
          <w:szCs w:val="22"/>
        </w:rPr>
        <w:t xml:space="preserve">Restore image to validation unit. Verify Windows activation and TanoBox load.</w:t>
      </w:r>
    </w:p>
    <w:p>
      <w:pPr>
        <w:pStyle w:val="ListParagraph"/>
        <w:numPr>
          <w:ilvl w:val="0"/>
          <w:numId w:val="4"/>
        </w:numPr>
        <w:spacing w:after="80"/>
      </w:pPr>
      <w:r>
        <w:rPr>
          <w:rFonts w:ascii="Arial" w:cs="Arial" w:eastAsia="Arial" w:hAnsi="Arial"/>
          <w:sz w:val="22"/>
          <w:szCs w:val="22"/>
        </w:rPr>
        <w:t xml:space="preserve">Build the pre-exported WSL2 tarball for the software-only installer.</w:t>
      </w:r>
    </w:p>
    <w:p>
      <w:pPr>
        <w:pStyle w:val="ListParagraph"/>
        <w:numPr>
          <w:ilvl w:val="0"/>
          <w:numId w:val="4"/>
        </w:numPr>
        <w:spacing w:after="80"/>
      </w:pPr>
      <w:r>
        <w:rPr>
          <w:rFonts w:ascii="Arial" w:cs="Arial" w:eastAsia="Arial" w:hAnsi="Arial"/>
          <w:sz w:val="22"/>
          <w:szCs w:val="22"/>
        </w:rPr>
        <w:t xml:space="preserve">Test install-tanobox.ps1 on a clean Windows 11 VM.</w:t>
      </w:r>
    </w:p>
    <w:p>
      <w:pPr>
        <w:spacing w:after="160"/>
      </w:pPr>
      <w:r>
        <w:t xml:space="preserve"/>
      </w:r>
    </w:p>
    <w:p>
      <w:pPr>
        <w:pStyle w:val="Heading2"/>
      </w:pPr>
      <w:r>
        <w:rPr>
          <w:rFonts w:ascii="Arial" w:cs="Arial" w:eastAsia="Arial" w:hAnsi="Arial"/>
        </w:rPr>
        <w:t xml:space="preserve">Business — Marketing &amp; Sales</w:t>
      </w:r>
    </w:p>
    <w:p>
      <w:pPr>
        <w:pStyle w:val="ListParagraph"/>
        <w:numPr>
          <w:ilvl w:val="0"/>
          <w:numId w:val="5"/>
        </w:numPr>
        <w:spacing w:after="80"/>
      </w:pPr>
      <w:r>
        <w:rPr>
          <w:rFonts w:ascii="Arial" w:cs="Arial" w:eastAsia="Arial" w:hAnsi="Arial"/>
          <w:sz w:val="22"/>
          <w:szCs w:val="22"/>
        </w:rPr>
        <w:t xml:space="preserve">Register tanobox.com (or tanoboxapp.com).</w:t>
      </w:r>
    </w:p>
    <w:p>
      <w:pPr>
        <w:pStyle w:val="ListParagraph"/>
        <w:numPr>
          <w:ilvl w:val="0"/>
          <w:numId w:val="5"/>
        </w:numPr>
        <w:spacing w:after="80"/>
      </w:pPr>
      <w:r>
        <w:rPr>
          <w:rFonts w:ascii="Arial" w:cs="Arial" w:eastAsia="Arial" w:hAnsi="Arial"/>
          <w:sz w:val="22"/>
          <w:szCs w:val="22"/>
        </w:rPr>
        <w:t xml:space="preserve">Build a one-page website: what it is, who it's for, price, 30-day guarantee, buy button.</w:t>
      </w:r>
    </w:p>
    <w:p>
      <w:pPr>
        <w:pStyle w:val="ListParagraph"/>
        <w:numPr>
          <w:ilvl w:val="0"/>
          <w:numId w:val="5"/>
        </w:numPr>
        <w:spacing w:after="80"/>
      </w:pPr>
      <w:r>
        <w:rPr>
          <w:rFonts w:ascii="Arial" w:cs="Arial" w:eastAsia="Arial" w:hAnsi="Arial"/>
          <w:sz w:val="22"/>
          <w:szCs w:val="22"/>
        </w:rPr>
        <w:t xml:space="preserve">Set up Stripe payment links (software license, hardware bundle).</w:t>
      </w:r>
    </w:p>
    <w:p>
      <w:pPr>
        <w:pStyle w:val="ListParagraph"/>
        <w:numPr>
          <w:ilvl w:val="0"/>
          <w:numId w:val="5"/>
        </w:numPr>
        <w:spacing w:after="80"/>
      </w:pPr>
      <w:r>
        <w:rPr>
          <w:rFonts w:ascii="Arial" w:cs="Arial" w:eastAsia="Arial" w:hAnsi="Arial"/>
          <w:sz w:val="22"/>
          <w:szCs w:val="22"/>
        </w:rPr>
        <w:t xml:space="preserve">Write the User Guide PDF.</w:t>
      </w:r>
    </w:p>
    <w:p>
      <w:pPr>
        <w:pStyle w:val="ListParagraph"/>
        <w:numPr>
          <w:ilvl w:val="0"/>
          <w:numId w:val="5"/>
        </w:numPr>
        <w:spacing w:after="80"/>
      </w:pPr>
      <w:r>
        <w:rPr>
          <w:rFonts w:ascii="Arial" w:cs="Arial" w:eastAsia="Arial" w:hAnsi="Arial"/>
          <w:sz w:val="22"/>
          <w:szCs w:val="22"/>
        </w:rPr>
        <w:t xml:space="preserve">Record a 5-minute screen recording demo.</w:t>
      </w:r>
    </w:p>
    <w:p>
      <w:pPr>
        <w:pStyle w:val="ListParagraph"/>
        <w:numPr>
          <w:ilvl w:val="0"/>
          <w:numId w:val="5"/>
        </w:numPr>
        <w:spacing w:after="80"/>
      </w:pPr>
      <w:r>
        <w:rPr>
          <w:rFonts w:ascii="Arial" w:cs="Arial" w:eastAsia="Arial" w:hAnsi="Arial"/>
          <w:sz w:val="22"/>
          <w:szCs w:val="22"/>
        </w:rPr>
        <w:t xml:space="preserve">Identify first 20 target customers per active territory (LinkedIn search: architecture firm principals, 2–20 employees).</w:t>
      </w:r>
    </w:p>
    <w:p>
      <w:pPr>
        <w:pStyle w:val="ListParagraph"/>
        <w:numPr>
          <w:ilvl w:val="0"/>
          <w:numId w:val="5"/>
        </w:numPr>
        <w:spacing w:after="80"/>
      </w:pPr>
      <w:r>
        <w:rPr>
          <w:rFonts w:ascii="Arial" w:cs="Arial" w:eastAsia="Arial" w:hAnsi="Arial"/>
          <w:sz w:val="22"/>
          <w:szCs w:val="22"/>
        </w:rPr>
        <w:t xml:space="preserve">Set up shared customer tracking (Notion, Airtable, or spreadsheet).</w:t>
      </w:r>
    </w:p>
    <w:p>
      <w:pPr>
        <w:pStyle w:val="ListParagraph"/>
        <w:numPr>
          <w:ilvl w:val="0"/>
          <w:numId w:val="5"/>
        </w:numPr>
        <w:spacing w:after="80"/>
      </w:pPr>
      <w:r>
        <w:rPr>
          <w:rFonts w:ascii="Arial" w:cs="Arial" w:eastAsia="Arial" w:hAnsi="Arial"/>
          <w:sz w:val="22"/>
          <w:szCs w:val="22"/>
        </w:rPr>
        <w:t xml:space="preserve">Write and rehearse the 20-minute demo script. Practice until it takes 18 minutes.</w:t>
      </w:r>
    </w:p>
    <w:p>
      <w:r>
        <w:br/>
        <w:t xml:space="preserve"/>
      </w:r>
      <w:r>
        <w:br w:type="page"/>
      </w:r>
    </w:p>
    <w:p>
      <w:pPr>
        <w:pStyle w:val="Heading1"/>
      </w:pPr>
      <w:r>
        <w:rPr>
          <w:rFonts w:ascii="Arial" w:cs="Arial" w:eastAsia="Arial" w:hAnsi="Arial"/>
        </w:rPr>
        <w:t xml:space="preserve">11. Custom Calculation Engine Architecture</w:t>
      </w:r>
    </w:p>
    <w:p>
      <w:pPr>
        <w:pBdr>
          <w:bottom w:val="single" w:color="2E75B6" w:sz="6"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2EFDA" w:val="clear"/>
            <w:tcMar>
              <w:top w:type="dxa" w:w="120"/>
              <w:left w:type="dxa" w:w="180"/>
              <w:bottom w:type="dxa" w:w="120"/>
              <w:right w:type="dxa" w:w="180"/>
            </w:tcMar>
          </w:tcPr>
          <w:p>
            <w:pPr>
              <w:spacing w:after="0"/>
            </w:pPr>
            <w:r>
              <w:rPr>
                <w:rFonts w:ascii="Arial" w:cs="Arial" w:eastAsia="Arial" w:hAnsi="Arial"/>
                <w:i/>
                <w:iCs/>
                <w:sz w:val="22"/>
                <w:szCs w:val="22"/>
              </w:rPr>
              <w:t xml:space="preserve">This section replaces all previous references to HyperFormula. HyperFormula is a GPL v3 library requiring a commercial license for closed-source distribution ($1,000–$5,000). TanoBox v3 uses a purpose-built TypeScript calculation engine generated with Claude Code. This eliminates the licensing dependency entirely and removes the single largest legal risk from the original plan.</w:t>
            </w:r>
          </w:p>
        </w:tc>
      </w:tr>
    </w:tbl>
    <w:p>
      <w:pPr>
        <w:spacing w:after="160"/>
      </w:pPr>
      <w:r>
        <w:t xml:space="preserve"/>
      </w:r>
    </w:p>
    <w:p>
      <w:pPr>
        <w:pStyle w:val="Heading2"/>
      </w:pPr>
      <w:r>
        <w:rPr>
          <w:rFonts w:ascii="Arial" w:cs="Arial" w:eastAsia="Arial" w:hAnsi="Arial"/>
        </w:rPr>
        <w:t xml:space="preserve">Why Custom vs. Third-Party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Consideration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HyperFormula</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Custom 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License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GPL v3 — requires commercial license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MIT-compatible — no restrictions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Annual Cost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$1,000–$5,000/yr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Scope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Full Excel formula engine (overkill)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Purpose-built for 3-statement modeling (right-sized)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Circular Reference Handling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Built-in (full iteration)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Iterative convergence pattern (sufficient)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Maintenance Dependency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External vendor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Internal — full control</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Build Time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 (install npm package)</w:t>
            </w:r>
          </w:p>
        </w:tc>
        <w:tc>
          <w:tcPr>
            <w:tcW w:type="dxa" w:w="4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40–80 hours (Claude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Risk of Breaking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Yes (vendor updates)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 (you own the code)</w:t>
            </w:r>
          </w:p>
        </w:tc>
      </w:tr>
    </w:tbl>
    <w:p>
      <w:pPr>
        <w:spacing w:after="160"/>
      </w:pPr>
      <w:r>
        <w:t xml:space="preserve"/>
      </w:r>
    </w:p>
    <w:p>
      <w:pPr>
        <w:pStyle w:val="Heading2"/>
      </w:pPr>
      <w:r>
        <w:rPr>
          <w:rFonts w:ascii="Arial" w:cs="Arial" w:eastAsia="Arial" w:hAnsi="Arial"/>
        </w:rPr>
        <w:t xml:space="preserve">Architecture: DAG with Topological Sort</w:t>
      </w:r>
    </w:p>
    <w:p>
      <w:pPr>
        <w:spacing w:after="120"/>
      </w:pPr>
      <w:r>
        <w:rPr>
          <w:rFonts w:ascii="Arial" w:cs="Arial" w:eastAsia="Arial" w:hAnsi="Arial"/>
          <w:sz w:val="22"/>
          <w:szCs w:val="22"/>
        </w:rPr>
        <w:t xml:space="preserve">The engine uses a Directed Acyclic Graph (DAG) where each financial line item is a node with a formula function. Dependency edges point from inputs to dependents. Topological sort (Kahn's algorithm, O(V+E)) determines evaluation order. Dirty-tracking enables incremental recalculation — when one input changes, only downstream nodes recompute.</w:t>
      </w:r>
    </w:p>
    <w:p>
      <w:pPr>
        <w:spacing w:after="160"/>
      </w:pPr>
      <w:r>
        <w:t xml:space="preserve"/>
      </w:r>
    </w:p>
    <w:p>
      <w:pPr>
        <w:pStyle w:val="Heading2"/>
      </w:pPr>
      <w:r>
        <w:rPr>
          <w:rFonts w:ascii="Arial" w:cs="Arial" w:eastAsia="Arial" w:hAnsi="Arial"/>
        </w:rPr>
        <w:t xml:space="preserve">Core Dependencies (MIT-Licensed)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Library</w:t>
            </w:r>
          </w:p>
        </w:tc>
        <w:tc>
          <w:tcPr>
            <w:tcW w:type="dxa" w:w="5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formula.js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400+ Excel formula implementations (PV, FV, NPV, IRR, PMT, IF, SUMIF)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decimal.js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Arbitrary-precision arithmetic — never use floating-point for financial values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toposort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Topological sort for the dependency DAG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financial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Zero-dependency TVM functions (NPV, IRR, matching numpy-financial)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MIT</w:t>
            </w:r>
          </w:p>
        </w:tc>
      </w:tr>
    </w:tbl>
    <w:p>
      <w:pPr>
        <w:spacing w:after="160"/>
      </w:pPr>
      <w:r>
        <w:t xml:space="preserve"/>
      </w:r>
    </w:p>
    <w:p>
      <w:pPr>
        <w:pStyle w:val="Heading2"/>
      </w:pPr>
      <w:r>
        <w:rPr>
          <w:rFonts w:ascii="Arial" w:cs="Arial" w:eastAsia="Arial" w:hAnsi="Arial"/>
        </w:rPr>
        <w:t xml:space="preserve">Three-Statement Linkages the Engine Must Handle</w:t>
      </w:r>
    </w:p>
    <w:p>
      <w:pPr>
        <w:pStyle w:val="ListParagraph"/>
        <w:numPr>
          <w:ilvl w:val="0"/>
          <w:numId w:val="2"/>
        </w:numPr>
        <w:spacing w:after="80"/>
      </w:pPr>
      <w:r>
        <w:rPr>
          <w:rFonts w:ascii="Arial" w:cs="Arial" w:eastAsia="Arial" w:hAnsi="Arial"/>
          <w:sz w:val="22"/>
          <w:szCs w:val="22"/>
        </w:rPr>
        <w:t xml:space="preserve">Net Income flows: Income Statement bottom line → Cash Flow Statement top line → Balance Sheet retained earnings.</w:t>
      </w:r>
    </w:p>
    <w:p>
      <w:pPr>
        <w:pStyle w:val="ListParagraph"/>
        <w:numPr>
          <w:ilvl w:val="0"/>
          <w:numId w:val="2"/>
        </w:numPr>
        <w:spacing w:after="80"/>
      </w:pPr>
      <w:r>
        <w:rPr>
          <w:rFonts w:ascii="Arial" w:cs="Arial" w:eastAsia="Arial" w:hAnsi="Arial"/>
          <w:sz w:val="22"/>
          <w:szCs w:val="22"/>
        </w:rPr>
        <w:t xml:space="preserve">Depreciation: IS expense → CFS operating add-back → reduces BS PP&amp;E.</w:t>
      </w:r>
    </w:p>
    <w:p>
      <w:pPr>
        <w:pStyle w:val="ListParagraph"/>
        <w:numPr>
          <w:ilvl w:val="0"/>
          <w:numId w:val="2"/>
        </w:numPr>
        <w:spacing w:after="80"/>
      </w:pPr>
      <w:r>
        <w:rPr>
          <w:rFonts w:ascii="Arial" w:cs="Arial" w:eastAsia="Arial" w:hAnsi="Arial"/>
          <w:sz w:val="22"/>
          <w:szCs w:val="22"/>
        </w:rPr>
        <w:t xml:space="preserve">Working capital changes (AR, AP, inventory): BS current assets/liabilities → CFS operating adjustments.</w:t>
      </w:r>
    </w:p>
    <w:p>
      <w:pPr>
        <w:pStyle w:val="ListParagraph"/>
        <w:numPr>
          <w:ilvl w:val="0"/>
          <w:numId w:val="2"/>
        </w:numPr>
        <w:spacing w:after="80"/>
      </w:pPr>
      <w:r>
        <w:rPr>
          <w:rFonts w:ascii="Arial" w:cs="Arial" w:eastAsia="Arial" w:hAnsi="Arial"/>
          <w:sz w:val="22"/>
          <w:szCs w:val="22"/>
        </w:rPr>
        <w:t xml:space="preserve">Ending cash from CFS → BS cash line (the fundamental balance sheet close).</w:t>
      </w:r>
    </w:p>
    <w:p>
      <w:pPr>
        <w:pStyle w:val="ListParagraph"/>
        <w:numPr>
          <w:ilvl w:val="0"/>
          <w:numId w:val="2"/>
        </w:numPr>
        <w:spacing w:after="80"/>
      </w:pPr>
      <w:r>
        <w:rPr>
          <w:rFonts w:ascii="Arial" w:cs="Arial" w:eastAsia="Arial" w:hAnsi="Arial"/>
          <w:sz w:val="22"/>
          <w:szCs w:val="22"/>
        </w:rPr>
        <w:t xml:space="preserve">Debt schedule: ending debt balance → next-period interest expense (circular reference — requires iterative solving).</w:t>
      </w:r>
    </w:p>
    <w:p>
      <w:pPr>
        <w:spacing w:after="160"/>
      </w:pPr>
      <w:r>
        <w:t xml:space="preserve"/>
      </w:r>
    </w:p>
    <w:p>
      <w:pPr>
        <w:pStyle w:val="Heading2"/>
      </w:pPr>
      <w:r>
        <w:rPr>
          <w:rFonts w:ascii="Arial" w:cs="Arial" w:eastAsia="Arial" w:hAnsi="Arial"/>
        </w:rPr>
        <w:t xml:space="preserve">Circular Reference Resolution</w:t>
      </w:r>
    </w:p>
    <w:p>
      <w:pPr>
        <w:spacing w:after="120"/>
      </w:pPr>
      <w:r>
        <w:rPr>
          <w:rFonts w:ascii="Arial" w:cs="Arial" w:eastAsia="Arial" w:hAnsi="Arial"/>
          <w:sz w:val="22"/>
          <w:szCs w:val="22"/>
        </w:rPr>
        <w:t xml:space="preserve">3-statement models have inherent circular references (interest expense → net income → cash flow → debt paydown → interest expense). Two approaches:</w:t>
      </w:r>
    </w:p>
    <w:p>
      <w:pPr>
        <w:pStyle w:val="ListParagraph"/>
        <w:numPr>
          <w:ilvl w:val="0"/>
          <w:numId w:val="2"/>
        </w:numPr>
        <w:spacing w:after="80"/>
      </w:pPr>
      <w:r>
        <w:rPr>
          <w:rFonts w:ascii="Arial" w:cs="Arial" w:eastAsia="Arial" w:hAnsi="Arial"/>
          <w:sz w:val="22"/>
          <w:szCs w:val="22"/>
        </w:rPr>
        <w:t xml:space="preserve">Iterative convergence: Run the full calculation loop 10–30 times until all values converge within a $1 tolerance. Standard in all professional modeling software.</w:t>
      </w:r>
    </w:p>
    <w:p>
      <w:pPr>
        <w:pStyle w:val="ListParagraph"/>
        <w:numPr>
          <w:ilvl w:val="0"/>
          <w:numId w:val="2"/>
        </w:numPr>
        <w:spacing w:after="80"/>
      </w:pPr>
      <w:r>
        <w:rPr>
          <w:rFonts w:ascii="Arial" w:cs="Arial" w:eastAsia="Arial" w:hAnsi="Arial"/>
          <w:sz w:val="22"/>
          <w:szCs w:val="22"/>
        </w:rPr>
        <w:t xml:space="preserve">Circuit-breaker toggle: Use beginning-of-period (non-circular) balances instead of averages. Simpler, slightly less accurate, standard Wall Street practice for operational models.</w:t>
      </w:r>
    </w:p>
    <w:p>
      <w:pPr>
        <w:spacing w:after="120"/>
      </w:pPr>
      <w:r>
        <w:rPr>
          <w:rFonts w:ascii="Arial" w:cs="Arial" w:eastAsia="Arial" w:hAnsi="Arial"/>
          <w:sz w:val="22"/>
          <w:szCs w:val="22"/>
        </w:rPr>
        <w:t xml:space="preserve">Implement option 2 first (simpler, still accurate for small business use cases), then add option 1 as a 'high-precision mode' in a later build phase.</w:t>
      </w:r>
    </w:p>
    <w:p>
      <w:pPr>
        <w:spacing w:after="160"/>
      </w:pPr>
      <w:r>
        <w:t xml:space="preserve"/>
      </w:r>
    </w:p>
    <w:p>
      <w:pPr>
        <w:pStyle w:val="Heading2"/>
      </w:pPr>
      <w:r>
        <w:rPr>
          <w:rFonts w:ascii="Arial" w:cs="Arial" w:eastAsia="Arial" w:hAnsi="Arial"/>
        </w:rPr>
        <w:t xml:space="preserve">Database Schema</w:t>
      </w:r>
    </w:p>
    <w:p>
      <w:pPr>
        <w:spacing w:after="120"/>
      </w:pPr>
      <w:r>
        <w:rPr>
          <w:rFonts w:ascii="Arial" w:cs="Arial" w:eastAsia="Arial" w:hAnsi="Arial"/>
          <w:sz w:val="22"/>
          <w:szCs w:val="22"/>
        </w:rPr>
        <w:t xml:space="preserve">Use NUMERIC(20,4) for all financial values in PostgreSQL — never FLOAT. Floating-point arithmetic introduces rounding errors that are unacceptable in financial statements.</w:t>
      </w:r>
    </w:p>
    <w:p>
      <w:pPr>
        <w:spacing w:after="120"/>
      </w:pPr>
      <w:r>
        <w:rPr>
          <w:rFonts w:ascii="Arial" w:cs="Arial" w:eastAsia="Arial" w:hAnsi="Arial"/>
          <w:sz w:val="22"/>
          <w:szCs w:val="22"/>
        </w:rPr>
        <w:t xml:space="preserve">Index structure: composite index on (scenario_id, line_item_id, period_id). A typical model with ~100 line items × 20 periods × 3 scenarios = 6,000 cells — computable in-memory in under 1ms.</w:t>
      </w:r>
    </w:p>
    <w:p>
      <w:pPr>
        <w:spacing w:after="160"/>
      </w:pPr>
      <w:r>
        <w:t xml:space="preserve"/>
      </w:r>
    </w:p>
    <w:p>
      <w:pPr>
        <w:pStyle w:val="Heading2"/>
      </w:pPr>
      <w:r>
        <w:rPr>
          <w:rFonts w:ascii="Arial" w:cs="Arial" w:eastAsia="Arial" w:hAnsi="Arial"/>
        </w:rPr>
        <w:t xml:space="preserve">Claude Code Build Spec Summary</w:t>
      </w:r>
    </w:p>
    <w:p>
      <w:pPr>
        <w:spacing w:after="120"/>
      </w:pPr>
      <w:r>
        <w:rPr>
          <w:rFonts w:ascii="Arial" w:cs="Arial" w:eastAsia="Arial" w:hAnsi="Arial"/>
          <w:sz w:val="22"/>
          <w:szCs w:val="22"/>
        </w:rPr>
        <w:t xml:space="preserve">The Claude Code prompt for building this engine should follow the TanoBox build methodology: PRE-FLIGHT CHECK, OBJECTIVE, TASKS, ACCEPTANCE CRITERIA (checkboxes), DO NOT CHANGE sections. Key acceptance criteria:</w:t>
      </w:r>
    </w:p>
    <w:p>
      <w:pPr>
        <w:pStyle w:val="ListParagraph"/>
        <w:numPr>
          <w:ilvl w:val="0"/>
          <w:numId w:val="2"/>
        </w:numPr>
        <w:spacing w:after="80"/>
      </w:pPr>
      <w:r>
        <w:rPr>
          <w:rFonts w:ascii="Arial" w:cs="Arial" w:eastAsia="Arial" w:hAnsi="Arial"/>
          <w:sz w:val="22"/>
          <w:szCs w:val="22"/>
        </w:rPr>
        <w:t xml:space="preserve">Balance sheet balances to zero (Assets = Liabilities + Equity) for all periods in all scenarios.</w:t>
      </w:r>
    </w:p>
    <w:p>
      <w:pPr>
        <w:pStyle w:val="ListParagraph"/>
        <w:numPr>
          <w:ilvl w:val="0"/>
          <w:numId w:val="2"/>
        </w:numPr>
        <w:spacing w:after="80"/>
      </w:pPr>
      <w:r>
        <w:rPr>
          <w:rFonts w:ascii="Arial" w:cs="Arial" w:eastAsia="Arial" w:hAnsi="Arial"/>
          <w:sz w:val="22"/>
          <w:szCs w:val="22"/>
        </w:rPr>
        <w:t xml:space="preserve">Cash flow statement reconciles: Beginning cash + Net cash from operations + investing + financing = Ending cash = BS cash.</w:t>
      </w:r>
    </w:p>
    <w:p>
      <w:pPr>
        <w:pStyle w:val="ListParagraph"/>
        <w:numPr>
          <w:ilvl w:val="0"/>
          <w:numId w:val="2"/>
        </w:numPr>
        <w:spacing w:after="80"/>
      </w:pPr>
      <w:r>
        <w:rPr>
          <w:rFonts w:ascii="Arial" w:cs="Arial" w:eastAsia="Arial" w:hAnsi="Arial"/>
          <w:sz w:val="22"/>
          <w:szCs w:val="22"/>
        </w:rPr>
        <w:t xml:space="preserve">Income statement net income matches CFS starting line.</w:t>
      </w:r>
    </w:p>
    <w:p>
      <w:pPr>
        <w:pStyle w:val="ListParagraph"/>
        <w:numPr>
          <w:ilvl w:val="0"/>
          <w:numId w:val="2"/>
        </w:numPr>
        <w:spacing w:after="80"/>
      </w:pPr>
      <w:r>
        <w:rPr>
          <w:rFonts w:ascii="Arial" w:cs="Arial" w:eastAsia="Arial" w:hAnsi="Arial"/>
          <w:sz w:val="22"/>
          <w:szCs w:val="22"/>
        </w:rPr>
        <w:t xml:space="preserve">All calculations use decimal.js — no floating-point arithmetic anywhere in the engine.</w:t>
      </w:r>
    </w:p>
    <w:p>
      <w:pPr>
        <w:pStyle w:val="ListParagraph"/>
        <w:numPr>
          <w:ilvl w:val="0"/>
          <w:numId w:val="2"/>
        </w:numPr>
        <w:spacing w:after="80"/>
      </w:pPr>
      <w:r>
        <w:rPr>
          <w:rFonts w:ascii="Arial" w:cs="Arial" w:eastAsia="Arial" w:hAnsi="Arial"/>
          <w:sz w:val="22"/>
          <w:szCs w:val="22"/>
        </w:rPr>
        <w:t xml:space="preserve">Unit test suite passes: minimum 50 test cases covering edge cases (negative net income, debt paydown, capex cycles).</w:t>
      </w:r>
    </w:p>
    <w:p>
      <w:pPr>
        <w:pStyle w:val="ListParagraph"/>
        <w:numPr>
          <w:ilvl w:val="0"/>
          <w:numId w:val="2"/>
        </w:numPr>
        <w:spacing w:after="80"/>
      </w:pPr>
      <w:r>
        <w:rPr>
          <w:rFonts w:ascii="Arial" w:cs="Arial" w:eastAsia="Arial" w:hAnsi="Arial"/>
          <w:sz w:val="22"/>
          <w:szCs w:val="22"/>
        </w:rPr>
        <w:t xml:space="preserve">npx tsc --noEmit returns zero errors. npm run build completes successfully.</w:t>
      </w:r>
    </w:p>
    <w:p>
      <w:r>
        <w:br/>
        <w:t xml:space="preserve"/>
      </w:r>
      <w:r>
        <w:br w:type="page"/>
      </w:r>
    </w:p>
    <w:p>
      <w:pPr>
        <w:pStyle w:val="Heading1"/>
      </w:pPr>
      <w:r>
        <w:rPr>
          <w:rFonts w:ascii="Arial" w:cs="Arial" w:eastAsia="Arial" w:hAnsi="Arial"/>
        </w:rPr>
        <w:t xml:space="preserve">12. Year 1 Validation Framework</w:t>
      </w:r>
    </w:p>
    <w:p>
      <w:pPr>
        <w:pBdr>
          <w:bottom w:val="single" w:color="2E75B6" w:sz="6"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120"/>
              <w:left w:type="dxa" w:w="180"/>
              <w:bottom w:type="dxa" w:w="120"/>
              <w:right w:type="dxa" w:w="180"/>
            </w:tcMar>
          </w:tcPr>
          <w:p>
            <w:pPr>
              <w:spacing w:after="0"/>
            </w:pPr>
            <w:r>
              <w:rPr>
                <w:rFonts w:ascii="Arial" w:cs="Arial" w:eastAsia="Arial" w:hAnsi="Arial"/>
                <w:i/>
                <w:iCs/>
                <w:sz w:val="22"/>
                <w:szCs w:val="22"/>
              </w:rPr>
              <w:t xml:space="preserve">Year 1 is not a scaling phase. It is a validation phase. The goal is not maximum revenue — it is maximum learning about what works, what breaks, and what customers actually need. Five paying customers who give you honest feedback are worth more than 50 customers acquired through optimistic projections.</w:t>
            </w:r>
          </w:p>
        </w:tc>
      </w:tr>
    </w:tbl>
    <w:p>
      <w:pPr>
        <w:spacing w:after="160"/>
      </w:pPr>
      <w:r>
        <w:t xml:space="preserve"/>
      </w:r>
    </w:p>
    <w:p>
      <w:pPr>
        <w:pStyle w:val="Heading2"/>
      </w:pPr>
      <w:r>
        <w:rPr>
          <w:rFonts w:ascii="Arial" w:cs="Arial" w:eastAsia="Arial" w:hAnsi="Arial"/>
        </w:rPr>
        <w:t xml:space="preserve">What Year 1 Actually Needs to Prove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32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Hypothesis</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to Test It</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Success Signal</w:t>
            </w:r>
          </w:p>
        </w:tc>
        <w:tc>
          <w:tcPr>
            <w:tcW w:type="dxa" w:w="3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Failure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Architecture firm principals will pay $799 for a one-time financial modeling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Conduct 20+ demos with firm owners. Ask for money.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 closed sales from demos</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0–1 sales after 30 demos — price or value prop problem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close rate from personalized LinkedIn outreach is meaningful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Track outreach → response → demo → close funnel rigorously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 demo rate from responses</w:t>
            </w:r>
          </w:p>
        </w:tc>
        <w:tc>
          <w:tcPr>
            <w:tcW w:type="dxa" w:w="3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&lt;3% demo rate — message or targeting problem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WSL2/Windows deployment is self-sufficient enough for non-technical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Ship to 5 customers. Track every support interaction.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&lt;3 support hrs per customer in 90 days</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 hours per customer — product not ready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QuickBooks import actually works on real customer 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Have 3+ customers connect their real QuickBooks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Successful import, correct mapping</w:t>
            </w:r>
          </w:p>
        </w:tc>
        <w:tc>
          <w:tcPr>
            <w:tcW w:type="dxa" w:w="3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Import failures — integration needs more 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calculation engine produces correct 3-statement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Run against sample firm P&amp;Ls and verify manually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BS balances, CFS reconciles in all test cases</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Any accounting errors — engine must be fixed before selling</w:t>
            </w:r>
          </w:p>
        </w:tc>
      </w:tr>
    </w:tbl>
    <w:p>
      <w:pPr>
        <w:spacing w:after="160"/>
      </w:pPr>
      <w:r>
        <w:t xml:space="preserve"/>
      </w:r>
    </w:p>
    <w:p>
      <w:pPr>
        <w:pStyle w:val="Heading2"/>
      </w:pPr>
      <w:r>
        <w:rPr>
          <w:rFonts w:ascii="Arial" w:cs="Arial" w:eastAsia="Arial" w:hAnsi="Arial"/>
        </w:rPr>
        <w:t xml:space="preserve">Month-by-Month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160"/>
        <w:gridCol w:w="430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Primary Goal</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Deliverable</w:t>
            </w:r>
          </w:p>
        </w:tc>
        <w:tc>
          <w:tcPr>
            <w:tcW w:type="dxa" w:w="4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Go/No-Go Gate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Build and validate calculation engine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Engine passes all acceptance criteria</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Do not proceed to sales until engine is verified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Build and validate Windows image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Successful image restore + test on validation unit</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Do not sell hardware until image is validated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Begin LinkedIn outreach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Send first 200 personalized outreach messages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Track responses; pause if &lt;3% reply rate to rewrite message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First demos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 live 20-minute demos completed</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If 0 demos from 200 messages — targeting or message problem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First sale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 paying customer — either SKU</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Validate payment flow, delivery, onboarding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First QuickBooks connection on real customer data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Customer connects real QB account</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If import fails — fix before more sales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Reach 5 paying customers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 customers across any mix of SKUs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Collect structured feedback from all 5</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Prove the support model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Average &lt;3 hrs/customer/quarter</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If &gt;5 hrs — redesign self-service tools before scaling</w:t>
            </w:r>
          </w:p>
        </w:tc>
      </w:tr>
    </w:tbl>
    <w:p>
      <w:pPr>
        <w:spacing w:after="160"/>
      </w:pPr>
      <w:r>
        <w:t xml:space="preserve"/>
      </w:r>
    </w:p>
    <w:p>
      <w:pPr>
        <w:pStyle w:val="Heading2"/>
      </w:pPr>
      <w:r>
        <w:rPr>
          <w:rFonts w:ascii="Arial" w:cs="Arial" w:eastAsia="Arial" w:hAnsi="Arial"/>
        </w:rPr>
        <w:t xml:space="preserve">What to Track From Day One</w:t>
      </w:r>
    </w:p>
    <w:p>
      <w:pPr>
        <w:pStyle w:val="ListParagraph"/>
        <w:numPr>
          <w:ilvl w:val="0"/>
          <w:numId w:val="2"/>
        </w:numPr>
        <w:spacing w:after="80"/>
      </w:pPr>
      <w:r>
        <w:rPr>
          <w:rFonts w:ascii="Arial" w:cs="Arial" w:eastAsia="Arial" w:hAnsi="Arial"/>
          <w:sz w:val="22"/>
          <w:szCs w:val="22"/>
        </w:rPr>
        <w:t xml:space="preserve">Outreach funnel: messages sent → accepts → replies → demos scheduled → demos completed → proposals → closed → lost (with reason).</w:t>
      </w:r>
    </w:p>
    <w:p>
      <w:pPr>
        <w:pStyle w:val="ListParagraph"/>
        <w:numPr>
          <w:ilvl w:val="0"/>
          <w:numId w:val="2"/>
        </w:numPr>
        <w:spacing w:after="80"/>
      </w:pPr>
      <w:r>
        <w:rPr>
          <w:rFonts w:ascii="Arial" w:cs="Arial" w:eastAsia="Arial" w:hAnsi="Arial"/>
          <w:sz w:val="22"/>
          <w:szCs w:val="22"/>
        </w:rPr>
        <w:t xml:space="preserve">Support log: every customer interaction, time spent, issue type, resolution. This data shapes Year 2 product roadmap.</w:t>
      </w:r>
    </w:p>
    <w:p>
      <w:pPr>
        <w:pStyle w:val="ListParagraph"/>
        <w:numPr>
          <w:ilvl w:val="0"/>
          <w:numId w:val="2"/>
        </w:numPr>
        <w:spacing w:after="80"/>
      </w:pPr>
      <w:r>
        <w:rPr>
          <w:rFonts w:ascii="Arial" w:cs="Arial" w:eastAsia="Arial" w:hAnsi="Arial"/>
          <w:sz w:val="22"/>
          <w:szCs w:val="22"/>
        </w:rPr>
        <w:t xml:space="preserve">Calculation errors: any time a customer reports a number that doesn't look right, investigate immediately. One bad financial output could destroy reputation in a tight professional community.</w:t>
      </w:r>
    </w:p>
    <w:p>
      <w:pPr>
        <w:pStyle w:val="ListParagraph"/>
        <w:numPr>
          <w:ilvl w:val="0"/>
          <w:numId w:val="2"/>
        </w:numPr>
        <w:spacing w:after="80"/>
      </w:pPr>
      <w:r>
        <w:rPr>
          <w:rFonts w:ascii="Arial" w:cs="Arial" w:eastAsia="Arial" w:hAnsi="Arial"/>
          <w:sz w:val="22"/>
          <w:szCs w:val="22"/>
        </w:rPr>
        <w:t xml:space="preserve">Close rate by channel: LinkedIn vs. AIA chapter vs. referral. Put budget into what closes.</w:t>
      </w:r>
    </w:p>
    <w:p>
      <w:pPr>
        <w:pStyle w:val="ListParagraph"/>
        <w:numPr>
          <w:ilvl w:val="0"/>
          <w:numId w:val="2"/>
        </w:numPr>
        <w:spacing w:after="80"/>
      </w:pPr>
      <w:r>
        <w:rPr>
          <w:rFonts w:ascii="Arial" w:cs="Arial" w:eastAsia="Arial" w:hAnsi="Arial"/>
          <w:sz w:val="22"/>
          <w:szCs w:val="22"/>
        </w:rPr>
        <w:t xml:space="preserve">Time-to-value: how long from purchase to 'first model created with real data'. Target under 2 hours.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120"/>
              <w:left w:type="dxa" w:w="180"/>
              <w:bottom w:type="dxa" w:w="120"/>
              <w:right w:type="dxa" w:w="180"/>
            </w:tcMar>
          </w:tcPr>
          <w:p>
            <w:pPr>
              <w:spacing w:after="0"/>
            </w:pPr>
            <w:r>
              <w:rPr>
                <w:rFonts w:ascii="Arial" w:cs="Arial" w:eastAsia="Arial" w:hAnsi="Arial"/>
                <w:i/>
                <w:iCs/>
                <w:sz w:val="22"/>
                <w:szCs w:val="22"/>
              </w:rPr>
              <w:t xml:space="preserve">The partner scenario (Portland, Honolulu) should not be activated until the solo validation phase produces at least 5 paying customers, a documented support model, and a verified close rate. Bringing partners in before the product is validated creates unnecessary complexity and relationship risk.</w:t>
            </w:r>
          </w:p>
        </w:tc>
      </w:tr>
    </w:tbl>
    <w:p>
      <w:r>
        <w:br/>
        <w:t xml:space="preserve"/>
      </w:r>
      <w:r>
        <w:br w:type="page"/>
      </w:r>
    </w:p>
    <w:p>
      <w:pPr>
        <w:pStyle w:val="Heading1"/>
      </w:pPr>
      <w:r>
        <w:rPr>
          <w:rFonts w:ascii="Arial" w:cs="Arial" w:eastAsia="Arial" w:hAnsi="Arial"/>
        </w:rPr>
        <w:t xml:space="preserve">13. Founder Risk Register</w:t>
      </w:r>
    </w:p>
    <w:p>
      <w:pPr>
        <w:pBdr>
          <w:bottom w:val="single" w:color="2E75B6" w:sz="6" w:space="1"/>
        </w:pBdr>
        <w:spacing w:after="80" w:before="80"/>
      </w:pPr>
      <w:r>
        <w:t xml:space="preserve"/>
      </w:r>
    </w:p>
    <w:p>
      <w:pPr>
        <w:spacing w:after="120"/>
      </w:pPr>
      <w:r>
        <w:rPr>
          <w:rFonts w:ascii="Arial" w:cs="Arial" w:eastAsia="Arial" w:hAnsi="Arial"/>
          <w:sz w:val="22"/>
          <w:szCs w:val="22"/>
        </w:rPr>
        <w:t xml:space="preserve">These are the real risks — not the sanitized version. Every item below has happened to comparable solo founders building self-hosted software products. Address each before the first sale or have a documented response plan.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55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Probability</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Calculation engine produces incorrect financial outputs and a customer uses them for a real decision</w:t>
            </w:r>
          </w:p>
        </w:tc>
        <w:tc>
          <w:tcPr>
            <w:tcW w:type="dxa" w:w="9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90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Critical — reputation, legal, potential liability</w:t>
            </w:r>
          </w:p>
        </w:tc>
        <w:tc>
          <w:tcPr>
            <w:tcW w:type="dxa" w:w="5560"/>
            <w:tcBorders>
              <w:top w:val="single" w:color="CCCCCC" w:sz="1"/>
              <w:left w:val="single" w:color="CCCCCC" w:sz="1"/>
              <w:bottom w:val="single" w:color="CCCCCC" w:sz="1"/>
              <w:right w:val="single" w:color="CCCCCC" w:sz="1"/>
            </w:tcBorders>
            <w:shd w:fill="FDDBD8"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Extensive pre-launch testing (50+ unit tests). Explicit EULA disclaimer: outputs are projections only. Add prominent 'verify with your CPA' language in product UI. Do not skip the attorney EULA review.</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Windows Update breaks WSL2 on a customer's machine who doesn't have the repair script</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 — churned customer, support burden</w:t>
            </w:r>
          </w:p>
        </w:tc>
        <w:tc>
          <w:tcPr>
            <w:tcW w:type="dxa" w:w="5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Repair script must be on the desktop at install time, not in documentation. Test repair script on every Windows update cycle. Weekly WSL2 export job non-negotiable.</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QuickBooks changes OAuth requirements mid-year (they have done this)</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 — integration breaks for all customers</w:t>
            </w:r>
          </w:p>
        </w:tc>
        <w:tc>
          <w:tcPr>
            <w:tcW w:type="dxa" w:w="5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Monitor Intuit Developer Community Blog. The May 2026 webhook migration to CloudEvents format is already a known upcoming breaking change. Subscribe to developer announcements. Build the OAuth relay endpoint with update capability.</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You are simultaneously building, selling, and supporting as a solo founder — capacity collapses</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 — quality degrades across all three</w:t>
            </w:r>
          </w:p>
        </w:tc>
        <w:tc>
          <w:tcPr>
            <w:tcW w:type="dxa" w:w="5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hard constraint: do not scale sales beyond what support can absorb. Cap at 5 active customers until the support model is proven. Use the Priority Support add-on revenue to justify time spent.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Close rates are much lower than projected and Year 1 revenue does not cover costs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 — discouraging but survivable given low overhead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Overhead is under $4,000/year. Break-even is 3–6 units. If Year 1 produces 5 sales, the business is break-even. Set a personal runway threshold: if 0 sales after 60 demos, revisit product-market fit before continuing.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competitor (Fathom, PlanGuru) launches a $499 one-time tier directly targeting the niche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Low (12–24 month horizon)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 — narrows differentiation window</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See Section 14. The defense is deep AEC vertical positioning and existing customer relationships, not price alone. Start building the AEC-specific features (billing schedules, utilization modeling) that a generic competitor won't 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Portland or Honolulu partner exits or disengages after early commitment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 (if partners join early)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 — loss of regional reach, not fatal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Structure partner agreements as reseller arrangements, not equity. A reseller who stops selling doesn't take IP or equity. Don't share equity until partners have demonstrated 6+ months of active selling.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hardware SKU (Beelink EQ12) is discontinued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Low–Medium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 — entire imaging workflow breaks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Maintain a list of compatible backup SKUs sharing the Intel N100 platform and driver signature. Test the gold image on at least one backup SKU before it's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customer's financial data is exposed due to a misconfiguration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Low (self-hosted mitigates this)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High — legal, trust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All data is on-premise by design. Include explicit data residency language in EULA. The self-hosted model is the primary security selling point — do not introduce any cloud sync feature without full security review.</w:t>
            </w:r>
          </w:p>
        </w:tc>
      </w:tr>
    </w:tbl>
    <w:p>
      <w:pPr>
        <w:spacing w:after="160"/>
      </w:pPr>
      <w:r>
        <w:t xml:space="preserve"/>
      </w:r>
    </w:p>
    <w:p>
      <w:pPr>
        <w:pStyle w:val="Heading2"/>
      </w:pPr>
      <w:r>
        <w:rPr>
          <w:rFonts w:ascii="Arial" w:cs="Arial" w:eastAsia="Arial" w:hAnsi="Arial"/>
        </w:rPr>
        <w:t xml:space="preserve">Founder Capacity Constraint — The Honest Math</w:t>
      </w:r>
    </w:p>
    <w:p>
      <w:pPr>
        <w:spacing w:after="120"/>
      </w:pPr>
      <w:r>
        <w:rPr>
          <w:rFonts w:ascii="Arial" w:cs="Arial" w:eastAsia="Arial" w:hAnsi="Arial"/>
          <w:sz w:val="22"/>
          <w:szCs w:val="22"/>
        </w:rPr>
        <w:t xml:space="preserve">As a solo founder running SATS, BizBox development, and any architecture consulting simultaneously, available hours for TanoBox are finite. Be honest about this: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Activity</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Hours/Week (est.)</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LinkedIn outreach + follow-up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3–5 hrs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At 30–50 messages/wk with personalization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Demos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2–4 hrs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At 2–4 demos/wk, 30–45 min each + prep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Customer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3–6 hrs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Year 1; drops as self-service matures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Product development (bugs, features)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5–10 hrs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Non-negotiable — product must improve based on feedback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Operations (imaging, shipping)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 hrs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Per unit sold, roughly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14–27 hrs/wk</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Sustainable only if other commitments allow it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120"/>
              <w:left w:type="dxa" w:w="180"/>
              <w:bottom w:type="dxa" w:w="120"/>
              <w:right w:type="dxa" w:w="180"/>
            </w:tcMar>
          </w:tcPr>
          <w:p>
            <w:pPr>
              <w:spacing w:after="0"/>
            </w:pPr>
            <w:r>
              <w:rPr>
                <w:rFonts w:ascii="Arial" w:cs="Arial" w:eastAsia="Arial" w:hAnsi="Arial"/>
                <w:i/>
                <w:iCs/>
                <w:sz w:val="22"/>
                <w:szCs w:val="22"/>
              </w:rPr>
              <w:t xml:space="preserve">If SATS is consuming significant time (debugging, monitoring, active development), TanoBox will get whatever is left. Be explicit about which project is the priority before beginning customer-facing sales. Disappointing one customer in a tight professional community (architecture) has outsized negative consequences.</w:t>
            </w:r>
          </w:p>
        </w:tc>
      </w:tr>
    </w:tbl>
    <w:p>
      <w:r>
        <w:br/>
        <w:t xml:space="preserve"/>
      </w:r>
      <w:r>
        <w:br w:type="page"/>
      </w:r>
    </w:p>
    <w:p>
      <w:pPr>
        <w:pStyle w:val="Heading1"/>
      </w:pPr>
      <w:r>
        <w:rPr>
          <w:rFonts w:ascii="Arial" w:cs="Arial" w:eastAsia="Arial" w:hAnsi="Arial"/>
        </w:rPr>
        <w:t xml:space="preserve">14. Competitive Response Scenarios</w:t>
      </w:r>
    </w:p>
    <w:p>
      <w:pPr>
        <w:pBdr>
          <w:bottom w:val="single" w:color="2E75B6" w:sz="6" w:space="1"/>
        </w:pBdr>
        <w:spacing w:after="80" w:before="80"/>
      </w:pPr>
      <w:r>
        <w:t xml:space="preserve"/>
      </w:r>
    </w:p>
    <w:p>
      <w:pPr>
        <w:spacing w:after="120"/>
      </w:pPr>
      <w:r>
        <w:rPr>
          <w:rFonts w:ascii="Arial" w:cs="Arial" w:eastAsia="Arial" w:hAnsi="Arial"/>
          <w:sz w:val="22"/>
          <w:szCs w:val="22"/>
        </w:rPr>
        <w:t xml:space="preserve">The original plan does not address what happens if a competitor responds to TanoBox's market position. Below are the three realistic scenarios and how to respond to each.</w:t>
      </w:r>
    </w:p>
    <w:p>
      <w:pPr>
        <w:spacing w:after="160"/>
      </w:pPr>
      <w:r>
        <w:t xml:space="preserve"/>
      </w:r>
    </w:p>
    <w:p>
      <w:pPr>
        <w:pStyle w:val="Heading2"/>
      </w:pPr>
      <w:r>
        <w:rPr>
          <w:rFonts w:ascii="Arial" w:cs="Arial" w:eastAsia="Arial" w:hAnsi="Arial"/>
        </w:rPr>
        <w:t xml:space="preserve">Scenario A: A Competitor Launches a One-Time Pricing Tier</w:t>
      </w:r>
    </w:p>
    <w:p>
      <w:pPr>
        <w:spacing w:after="120"/>
      </w:pPr>
      <w:r>
        <w:rPr>
          <w:rFonts w:ascii="Arial" w:cs="Arial" w:eastAsia="Arial" w:hAnsi="Arial"/>
          <w:sz w:val="22"/>
          <w:szCs w:val="22"/>
        </w:rPr>
        <w:t xml:space="preserve">Most likely candidate: Fathom or PlanGuru (already was desktop-first). Timeline: 12–24 months if TanoBox gains visible traction.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Response Lever</w:t>
            </w:r>
          </w:p>
        </w:tc>
        <w:tc>
          <w:tcPr>
            <w:tcW w:type="dxa" w:w="5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1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Deepen AEC vertical specificity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Build features no generic tool will build: architecture billing rate modeling, utilization schedules, backlog-weighted revenue forecasting, project-type mix analysis. A tool built for architects by an architect is not replicated by adding a one-time price tier.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Months 3–9</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Lock in the AIA relationship</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Become a named resource in 2–3 AIA chapter newsletters before a competitor notices the niche. First-mover with the professional community is durable.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Months 1–6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Accumulate reviews and testimonials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 reviews from named architecture principals are worth more than a competitor's price cut. Collect them proactively.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Months 4–10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Do not get into a price war</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If a well-funded competitor undercuts price, the response is value — not price matching. Add the Priority Support tier, not a discount.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Ongoing</w:t>
            </w:r>
          </w:p>
        </w:tc>
      </w:tr>
    </w:tbl>
    <w:p>
      <w:pPr>
        <w:spacing w:after="160"/>
      </w:pPr>
      <w:r>
        <w:t xml:space="preserve"/>
      </w:r>
    </w:p>
    <w:p>
      <w:pPr>
        <w:pStyle w:val="Heading2"/>
      </w:pPr>
      <w:r>
        <w:rPr>
          <w:rFonts w:ascii="Arial" w:cs="Arial" w:eastAsia="Arial" w:hAnsi="Arial"/>
        </w:rPr>
        <w:t xml:space="preserve">Scenario B: QuickBooks Changes API Access in a Way That Breaks Integration</w:t>
      </w:r>
    </w:p>
    <w:p>
      <w:pPr>
        <w:spacing w:after="120"/>
      </w:pPr>
      <w:r>
        <w:rPr>
          <w:rFonts w:ascii="Arial" w:cs="Arial" w:eastAsia="Arial" w:hAnsi="Arial"/>
          <w:sz w:val="22"/>
          <w:szCs w:val="22"/>
        </w:rPr>
        <w:t xml:space="preserve">Intuit has a history of changing developer economics and API requirements. The May 2026 CloudEvents webhook migration is a known upcoming change. Future risks: Intuit could restrict the App Partner Program to companies above a revenue threshold, or change OAuth requirements again.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Response Lever</w:t>
            </w:r>
          </w:p>
        </w:tc>
        <w:tc>
          <w:tcPr>
            <w:tcW w:type="dxa" w:w="6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QuickBooks Desktop integration as fallback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SOAP/qbXML Web Connector requires no Intuit approval and is entirely separate from the Online API. Build and maintain this integration. It serves the ~3.7M remaining QB Desktop users and requires no OAuth at all.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CSV import as universal fallback</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Every accounting system exports CSV. A robust CSV import with column mapping means TanoBox is not fully dependent on any one API integration.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Monitor Intuit Developer Community Blog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Subscribe to developer announcements. The May 2026 breaking change was announced months in advance. Staying current takes &lt;30 min/week.</w:t>
            </w:r>
          </w:p>
        </w:tc>
      </w:tr>
    </w:tbl>
    <w:p>
      <w:pPr>
        <w:spacing w:after="160"/>
      </w:pPr>
      <w:r>
        <w:t xml:space="preserve"/>
      </w:r>
    </w:p>
    <w:p>
      <w:pPr>
        <w:pStyle w:val="Heading2"/>
      </w:pPr>
      <w:r>
        <w:rPr>
          <w:rFonts w:ascii="Arial" w:cs="Arial" w:eastAsia="Arial" w:hAnsi="Arial"/>
        </w:rPr>
        <w:t xml:space="preserve">Scenario C: The Hardware SKU Is Discontinued</w:t>
      </w:r>
    </w:p>
    <w:p>
      <w:pPr>
        <w:spacing w:after="120"/>
      </w:pPr>
      <w:r>
        <w:rPr>
          <w:rFonts w:ascii="Arial" w:cs="Arial" w:eastAsia="Arial" w:hAnsi="Arial"/>
          <w:sz w:val="22"/>
          <w:szCs w:val="22"/>
        </w:rPr>
        <w:t xml:space="preserve">The Beelink EQ12 and similar Intel N100 mini PCs are manufactured by Chinese ODMs and can be discontinued without notice. The imaging workflow is bound to a specific hardware platform.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Response Lever</w:t>
            </w:r>
          </w:p>
        </w:tc>
        <w:tc>
          <w:tcPr>
            <w:tcW w:type="dxa" w:w="6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Maintain a validated backup SKU list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Test the gold image on at least 2 compatible alternatives sharing the Intel N100 platform (MinisForum UN100, GMKtec NucBox G3) before they're needed. A 1–2 hour test protects against a business-critical failure.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Software-only becomes primary SKU at scale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As the customer base grows, the software-only installer becomes the dominant delivery mechanism anyway — it's zero-COGS and requires no hardware sourcing. Hardware is the Year 1 onboarding tool, not the permanent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Document image rebuild process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reference machine rebuild from scratch (Section 4, Step 2) takes 4–6 hours. Keep this documentation current so any partner can rebuild independently within a business day.</w:t>
            </w:r>
          </w:p>
        </w:tc>
      </w:tr>
    </w:tbl>
    <w:p>
      <w:r>
        <w:br/>
        <w:t xml:space="preserve"/>
      </w:r>
      <w:r>
        <w:br w:type="page"/>
      </w:r>
    </w:p>
    <w:p>
      <w:pPr>
        <w:pStyle w:val="Heading1"/>
      </w:pPr>
      <w:r>
        <w:rPr>
          <w:rFonts w:ascii="Arial" w:cs="Arial" w:eastAsia="Arial" w:hAnsi="Arial"/>
        </w:rPr>
        <w:t xml:space="preserve">15. The Big Picture</w:t>
      </w:r>
    </w:p>
    <w:p>
      <w:pPr>
        <w:pBdr>
          <w:bottom w:val="single" w:color="2E75B6" w:sz="6" w:space="1"/>
        </w:pBdr>
        <w:spacing w:after="80" w:before="80"/>
      </w:pPr>
      <w:r>
        <w:t xml:space="preserve"/>
      </w:r>
    </w:p>
    <w:p>
      <w:pPr>
        <w:spacing w:after="120"/>
      </w:pPr>
      <w:r>
        <w:rPr>
          <w:rFonts w:ascii="Arial" w:cs="Arial" w:eastAsia="Arial" w:hAnsi="Arial"/>
          <w:sz w:val="22"/>
          <w:szCs w:val="22"/>
        </w:rPr>
        <w:t xml:space="preserve">The financial modeling SaaS market is crowded at the enterprise tier and underserved at the small business tier. Every FP&amp;A competitor is subscription-based and industry-agnostic. TanoBox occupies a position that no current product holds: self-hosted, one-time purchase, AEC-focused, QuickBooks-integrated.</w:t>
      </w:r>
    </w:p>
    <w:p>
      <w:pPr>
        <w:spacing w:after="160"/>
      </w:pPr>
      <w:r>
        <w:t xml:space="preserve"/>
      </w:r>
    </w:p>
    <w:p>
      <w:pPr>
        <w:spacing w:after="120"/>
      </w:pPr>
      <w:r>
        <w:rPr>
          <w:rFonts w:ascii="Arial" w:cs="Arial" w:eastAsia="Arial" w:hAnsi="Arial"/>
          <w:sz w:val="22"/>
          <w:szCs w:val="22"/>
        </w:rPr>
        <w:t xml:space="preserve">This is the Quicken model applied to professional financial modeling. Quicken built a substantial business selling desktop financial software to households that did not want Intuit's cloud products. TanoBox can build a real business selling desktop financial modeling to small firms that do not want Jirav's $25K/yr pricing.</w:t>
      </w:r>
    </w:p>
    <w:p>
      <w:pPr>
        <w:spacing w:after="160"/>
      </w:pPr>
      <w:r>
        <w:t xml:space="preserve"/>
      </w:r>
    </w:p>
    <w:p>
      <w:pPr>
        <w:pStyle w:val="Heading2"/>
      </w:pPr>
      <w:r>
        <w:rPr>
          <w:rFonts w:ascii="Arial" w:cs="Arial" w:eastAsia="Arial" w:hAnsi="Arial"/>
        </w:rPr>
        <w:t xml:space="preserve">Why the Custom Engine Changes the Business</w:t>
      </w:r>
    </w:p>
    <w:p>
      <w:pPr>
        <w:spacing w:after="120"/>
      </w:pPr>
      <w:r>
        <w:rPr>
          <w:rFonts w:ascii="Arial" w:cs="Arial" w:eastAsia="Arial" w:hAnsi="Arial"/>
          <w:sz w:val="22"/>
          <w:szCs w:val="22"/>
        </w:rPr>
        <w:t xml:space="preserve">Beyond eliminating the GPL licensing risk, building the calculation engine with Claude Code has a strategic consequence: the engine is now a proprietary asset. It can be optimized for AEC-specific financial patterns (backlog burn, fee structures, project-type mix) in ways that a generic formula engine never would be. A purpose-built engine is also lighter, faster, and entirely under your control — no vendor can break it.</w:t>
      </w:r>
    </w:p>
    <w:p>
      <w:pPr>
        <w:spacing w:after="160"/>
      </w:pPr>
      <w:r>
        <w:t xml:space="preserve"/>
      </w:r>
    </w:p>
    <w:p>
      <w:pPr>
        <w:pStyle w:val="Heading2"/>
      </w:pPr>
      <w:r>
        <w:rPr>
          <w:rFonts w:ascii="Arial" w:cs="Arial" w:eastAsia="Arial" w:hAnsi="Arial"/>
        </w:rPr>
        <w:t xml:space="preserve">Three-Year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2498"/>
        <w:gridCol w:w="2497"/>
      </w:tblGrid>
      <w:tr>
        <w:trPr>
          <w:tblHeader/>
        </w:trPr>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1665"/>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Solo — You Only</w:t>
            </w:r>
          </w:p>
        </w:tc>
        <w:tc>
          <w:tcPr>
            <w:tcW w:type="dxa" w:w="2498"/>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 Partner (Portland)</w:t>
            </w:r>
          </w:p>
        </w:tc>
        <w:tc>
          <w:tcPr>
            <w:tcW w:type="dxa" w:w="2497"/>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+2 Partners (+Honolulu)</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Year 3 Gross Revenue</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$160K–$320K</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$380K–$720K</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$635K–$1.2M</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Year 3 Your NOI</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$110K–$250K</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$210K–$420K</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$320K–$650K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Year 3 Partner NOI (each)</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N/A</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$80K–$180K</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$80K–$200K each</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Customers (Cumulative Yr 3)</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150–300</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380–700</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640–1,150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Markets Served</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TX + national SW</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TX + OR + national</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TX + OR + HI + national</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Support Hours / Week</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5–10 hrs</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3–5 hrs each</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2–4 hrs each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Business Character</w:t>
            </w:r>
          </w:p>
        </w:tc>
        <w:tc>
          <w:tcPr>
            <w:tcW w:type="dxa" w:w="16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Solo side business</w:t>
            </w:r>
          </w:p>
        </w:tc>
        <w:tc>
          <w:tcPr>
            <w:tcW w:type="dxa" w:w="2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2-person regional</w:t>
            </w:r>
          </w:p>
        </w:tc>
        <w:tc>
          <w:tcPr>
            <w:tcW w:type="dxa" w:w="2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3-person distributed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Exit / Sale Potential (Yr 3)</w:t>
            </w:r>
          </w:p>
        </w:tc>
        <w:tc>
          <w:tcPr>
            <w:tcW w:type="dxa" w:w="166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$330K–$750K</w:t>
            </w:r>
          </w:p>
        </w:tc>
        <w:tc>
          <w:tcPr>
            <w:tcW w:type="dxa" w:w="2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$840K–$2.0M</w:t>
            </w:r>
          </w:p>
        </w:tc>
        <w:tc>
          <w:tcPr>
            <w:tcW w:type="dxa" w:w="2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$1.2M–$3.5M</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2F2F2" w:val="clear"/>
            <w:tcMar>
              <w:top w:type="dxa" w:w="120"/>
              <w:left w:type="dxa" w:w="180"/>
              <w:bottom w:type="dxa" w:w="120"/>
              <w:right w:type="dxa" w:w="180"/>
            </w:tcMar>
          </w:tcPr>
          <w:p>
            <w:pPr>
              <w:spacing w:after="0"/>
            </w:pPr>
            <w:r>
              <w:rPr>
                <w:rFonts w:ascii="Arial" w:cs="Arial" w:eastAsia="Arial" w:hAnsi="Arial"/>
                <w:i/>
                <w:iCs/>
                <w:sz w:val="22"/>
                <w:szCs w:val="22"/>
              </w:rPr>
              <w:t xml:space="preserve">Exit multiples estimated at 3–5× NOI for solo operations, 4–7× for multi-territory with demonstrated growth. A self-hosted software business with recurring Priority Support revenue, an established AEC community presence, and 500+ satisfied customers is a real, acquirable asset — particularly to a practice management software company (Monograph, Deltek, BQE) looking to add financial modeling to their suite.</w:t>
            </w:r>
          </w:p>
        </w:tc>
      </w:tr>
    </w:tbl>
    <w:p>
      <w:pPr>
        <w:spacing w:after="160"/>
      </w:pPr>
      <w:r>
        <w:t xml:space="preserve"/>
      </w:r>
    </w:p>
    <w:p>
      <w:pPr>
        <w:pStyle w:val="Heading2"/>
      </w:pPr>
      <w:r>
        <w:rPr>
          <w:rFonts w:ascii="Arial" w:cs="Arial" w:eastAsia="Arial" w:hAnsi="Arial"/>
        </w:rPr>
        <w:t xml:space="preserve">The Right Order of Operations</w:t>
      </w:r>
    </w:p>
    <w:p>
      <w:pPr>
        <w:spacing w:after="120"/>
      </w:pPr>
      <w:r>
        <w:rPr>
          <w:rFonts w:ascii="Arial" w:cs="Arial" w:eastAsia="Arial" w:hAnsi="Arial"/>
          <w:sz w:val="22"/>
          <w:szCs w:val="22"/>
        </w:rPr>
        <w:t xml:space="preserve">1 — Build and verify the calculation engine. 2 — Build and validate the Windows image. 3 — Close 5 solo customers. 4 — Document what actually breaks and what support actually costs. 5 — Then, and only then, bring in partners. The temptation to skip steps 3–4 and go straight to a three-person operation is the most likely failure mode for this business.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2F2F2" w:val="clear"/>
            <w:tcMar>
              <w:top w:type="dxa" w:w="120"/>
              <w:left w:type="dxa" w:w="180"/>
              <w:bottom w:type="dxa" w:w="120"/>
              <w:right w:type="dxa" w:w="180"/>
            </w:tcMar>
          </w:tcPr>
          <w:p>
            <w:pPr>
              <w:spacing w:after="0"/>
            </w:pPr>
            <w:r>
              <w:rPr>
                <w:rFonts w:ascii="Arial" w:cs="Arial" w:eastAsia="Arial" w:hAnsi="Arial"/>
                <w:i/>
                <w:iCs/>
                <w:sz w:val="22"/>
                <w:szCs w:val="22"/>
              </w:rPr>
              <w:t xml:space="preserve">The most durable small software businesses are built around tight professional communities where word-of-mouth is the primary acquisition channel and peer credibility is the primary trust signal. Architecture is exactly that community. Build the product first. Earn the credibility. Then scale.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2026-04-05T12:34:47.714Z</dcterms:created>
  <dcterms:modified xsi:type="dcterms:W3CDTF">2026-04-05T12:34:47.764Z</dcterms:modified>
</cp:coreProperties>
</file>

<file path=docProps/custom.xml><?xml version="1.0" encoding="utf-8"?>
<Properties xmlns="http://schemas.openxmlformats.org/officeDocument/2006/custom-properties" xmlns:vt="http://schemas.openxmlformats.org/officeDocument/2006/docPropsVTypes"/>
</file>