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Market Regime Detection using Unsupervised Learning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Shital Niras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Project: Task@RozReturns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 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segment the market into distinct behavioral regimes based on real-time order book and volume data, capturing dimensions of: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vs Mean-Reverting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Volatile vs Stable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Liquid vs Illiquid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Methodology :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d43aira9tv3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1. Data Source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trade and order book data across several days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BNBFDUSD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files containing fields like: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Time, Price, Quantity, IsMarketMaker, NumTrades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ok2d2rccmsz6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2. Feature Engineering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derived both standard and custom features to represent market dynamics: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Order Book Features: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Bid/Ask Spread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Order Book Imbalance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Microprice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Cumulative Depth (bid and ask)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Volatility &amp; Price Action: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Rolling Log Returns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Price Volatility (std over 10s, 30s)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Volume Features: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Volume Imbalance (Buy vs Sell)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VWAP Shift (Volume Weighted Avg Price delta over 10s)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Cumulative Trade Volume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Derived Features: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Depth Slope (quantity decay)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Trade Wipe Level (levels cleared by aggressive trades)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jbxmwfu9gsg6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3. Normalization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features were normalized using z-score scaling to bring them to comparable scales. Optionally, PCA was used to visualize feature space variance.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j5cnjkqowzp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4. Clustering (Regime Detection)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KMeans clustering after elbow-method showed 3–4 optimal clusters. Evaluated clustering using: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Silhouette Score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Davies-Bouldin Index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6trgi0pl2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Regime Interpretation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cluster was mapped to a qualitative regime label based on feature statistics: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3.8613462790836"/>
        <w:gridCol w:w="1063.1555266118053"/>
        <w:gridCol w:w="1171.73311230833"/>
        <w:gridCol w:w="1687.4766443668227"/>
        <w:gridCol w:w="1036.0111301876739"/>
        <w:gridCol w:w="3153.2740512699074"/>
        <w:tblGridChange w:id="0">
          <w:tblGrid>
            <w:gridCol w:w="913.8613462790836"/>
            <w:gridCol w:w="1063.1555266118053"/>
            <w:gridCol w:w="1171.73311230833"/>
            <w:gridCol w:w="1687.4766443668227"/>
            <w:gridCol w:w="1036.0111301876739"/>
            <w:gridCol w:w="3153.274051269907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Volatilit 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VWAP Shift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Volume Imbalance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Mean-Reverting &amp; Stable &amp; Illiquid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Trending &amp; Volatile &amp; Moderately Liquid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Mean-Reverting &amp; Mildly Volatile &amp; Illiquid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Mixed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Trending &amp; Volatile &amp; Highly Liquid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Visualizations :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3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02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721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76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81400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4j9bmlwrp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Insights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Trending regimes tend to show higher VWAP shifts and volatility.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Liquid regimes are associated with higher trade quantities and smoother transitions.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Regime shifts often occur after periods of abnormal volume or sharp microprice changes — can potentially act as signals for risk/momentum strategies.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