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L13-14 — Visual storytelling</w:t>
      </w:r>
    </w:p>
    <w:bookmarkStart w:id="50" w:name="l13-14-visual-storytelling"/>
    <w:p>
      <w:pPr>
        <w:pStyle w:val="Heading1"/>
      </w:pPr>
      <w:r>
        <w:t xml:space="preserve">L13-14  —  Visual storytelling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7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2</w:t>
      </w:r>
      <w:r>
        <w:t xml:space="preserve"> </w:t>
      </w:r>
      <w:r>
        <w:t xml:space="preserve">—</w:t>
      </w:r>
      <w:r>
        <w:t xml:space="preserve"> </w:t>
      </w:r>
      <w:r>
        <w:t xml:space="preserve">Core Advanced EDA  | </w:t>
      </w:r>
      <w:r>
        <w:t xml:space="preserve"> </w:t>
      </w:r>
      <w:r>
        <w:rPr>
          <w:b/>
          <w:bCs/>
        </w:rPr>
        <w:t xml:space="preserve">Outcome CO2</w:t>
      </w:r>
      <w:r>
        <w:br/>
      </w:r>
      <w:r>
        <w:t xml:space="preserve">Slides: DATA209_Module_2_Core_Advanced_EDA.pptx, pages 30–36  | </w:t>
      </w:r>
      <w:r>
        <w:t xml:space="preserve"> </w:t>
      </w:r>
      <w:r>
        <w:t xml:space="preserve">Laboratory: P13-14 (Assignment 1)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Grammar of graphics</w:t>
      </w:r>
    </w:p>
    <w:p>
      <w:pPr>
        <w:pStyle w:val="Compact"/>
        <w:numPr>
          <w:ilvl w:val="0"/>
          <w:numId w:val="1001"/>
        </w:numPr>
      </w:pPr>
      <w:r>
        <w:t xml:space="preserve">Good vs. misleading plots</w:t>
      </w:r>
    </w:p>
    <w:p>
      <w:pPr>
        <w:pStyle w:val="Compact"/>
        <w:numPr>
          <w:ilvl w:val="0"/>
          <w:numId w:val="1001"/>
        </w:numPr>
      </w:pPr>
      <w:r>
        <w:t xml:space="preserve">Visualising non-numeric data</w:t>
      </w:r>
    </w:p>
    <w:p>
      <w:pPr>
        <w:pStyle w:val="Compact"/>
        <w:numPr>
          <w:ilvl w:val="0"/>
          <w:numId w:val="1001"/>
        </w:numPr>
      </w:pPr>
      <w:r>
        <w:t xml:space="preserve">Dashboard logic and storytelling with data</w:t>
      </w:r>
    </w:p>
    <w:bookmarkEnd w:id="20"/>
    <w:bookmarkStart w:id="27" w:name="notes"/>
    <w:p>
      <w:pPr>
        <w:pStyle w:val="Heading2"/>
      </w:pPr>
      <w:r>
        <w:t xml:space="preserve">Notes</w:t>
      </w:r>
    </w:p>
    <w:bookmarkStart w:id="21" w:name="the-grammar-of-graphics"/>
    <w:p>
      <w:pPr>
        <w:pStyle w:val="Heading5"/>
      </w:pPr>
      <w:r>
        <w:t xml:space="preserve">The grammar of graphics</w:t>
      </w:r>
    </w:p>
    <w:p>
      <w:pPr>
        <w:pStyle w:val="FirstParagraph"/>
      </w:pPr>
      <w:r>
        <w:t xml:space="preserve">A plot is built from layers. Thinking in layers is what lets you answer "which plot?" by reasoning rather than by recall.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the tidy table being shown, one row per observation.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Aesthetics</w:t>
      </w:r>
      <w:r>
        <w:t xml:space="preserve"> </w:t>
      </w:r>
      <w:r>
        <w:t xml:space="preserve">— the mapping from variables to visual properties: x, y, colour, size, shape.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Geometries</w:t>
      </w:r>
      <w:r>
        <w:t xml:space="preserve"> </w:t>
      </w:r>
      <w:r>
        <w:t xml:space="preserve">— the marks that carry the data: points, bars, lines, boxes, tiles.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Scales</w:t>
      </w:r>
      <w:r>
        <w:t xml:space="preserve"> </w:t>
      </w:r>
      <w:r>
        <w:t xml:space="preserve">— how data values become visual values: axis limits, log scales, colour palettes.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Facets</w:t>
      </w:r>
      <w:r>
        <w:t xml:space="preserve"> </w:t>
      </w:r>
      <w:r>
        <w:t xml:space="preserve">— small multiples; the same plot repeated across the levels of a variable.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Coordinates and theme</w:t>
      </w:r>
      <w:r>
        <w:t xml:space="preserve"> </w:t>
      </w:r>
      <w:r>
        <w:t xml:space="preserve">— coordinate system plus the non-data ink: labels, grid, legend.</w:t>
      </w:r>
    </w:p>
    <w:bookmarkEnd w:id="21"/>
    <w:bookmarkStart w:id="22" w:name="choosing-a-chart"/>
    <w:p>
      <w:pPr>
        <w:pStyle w:val="Heading5"/>
      </w:pPr>
      <w:r>
        <w:t xml:space="preserve">Choosing a chart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its shape?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histogram, density, boxplot, ECDF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common is each level?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plot of counts or proportions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they move together?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scatterplot, plus a smoother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 + 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the groups differ?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 boxplot, violin, overlaid densities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they associated?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cross-tab, stacked bar of proportions, mosaic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 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is the structure?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heatmap, pair plot, parallel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 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trend?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chart, ordered by time</w:t>
            </w:r>
          </w:p>
        </w:tc>
      </w:tr>
    </w:tbl>
    <w:p>
      <w:pPr>
        <w:pStyle w:val="BodyText"/>
      </w:pPr>
      <w:r>
        <w:t xml:space="preserve">Pie charts appear nowhere in this table. They ask the reader to compare angles, which people do poorly; a bar chart beats them in almost every case.</w:t>
      </w:r>
    </w:p>
    <w:bookmarkEnd w:id="22"/>
    <w:bookmarkStart w:id="23" w:name="six-ways-a-plot-misleads"/>
    <w:p>
      <w:pPr>
        <w:pStyle w:val="Heading5"/>
      </w:pPr>
      <w:r>
        <w:t xml:space="preserve">Six ways a plot misleads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Truncated axis</w:t>
      </w:r>
      <w:r>
        <w:t xml:space="preserve"> </w:t>
      </w:r>
      <w:r>
        <w:t xml:space="preserve">— a bar chart not starting at zero exaggerates small differences.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Dual axes</w:t>
      </w:r>
      <w:r>
        <w:t xml:space="preserve"> </w:t>
      </w:r>
      <w:r>
        <w:t xml:space="preserve">— two scales on one chart manufacture correlation by choice of range.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3-D and area encodings</w:t>
      </w:r>
      <w:r>
        <w:t xml:space="preserve"> </w:t>
      </w:r>
      <w:r>
        <w:t xml:space="preserve">— doubling a radius quadruples the perceived size.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Cherry-picked range</w:t>
      </w:r>
      <w:r>
        <w:t xml:space="preserve"> </w:t>
      </w:r>
      <w:r>
        <w:t xml:space="preserve">— where the time axis starts decides whether the trend rises or falls.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Rainbow colour maps</w:t>
      </w:r>
      <w:r>
        <w:t xml:space="preserve"> </w:t>
      </w:r>
      <w:r>
        <w:t xml:space="preserve">— non-perceptual palettes create bands that are artefacts of the colours.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Hidden aggregation</w:t>
      </w:r>
      <w:r>
        <w:t xml:space="preserve"> </w:t>
      </w:r>
      <w:r>
        <w:t xml:space="preserve">— plotting means without spread or sample size conceals both.</w:t>
      </w:r>
    </w:p>
    <w:p>
      <w:pPr>
        <w:pStyle w:val="FirstParagraph"/>
      </w:pPr>
      <w:r>
        <w:t xml:space="preserve">The test to apply to your own work:</w:t>
      </w:r>
      <w:r>
        <w:t xml:space="preserve"> </w:t>
      </w:r>
      <w:r>
        <w:rPr>
          <w:i/>
          <w:iCs/>
        </w:rPr>
        <w:t xml:space="preserve">could someone reach the opposite conclusion from this data with a different but equally reasonable choice?</w:t>
      </w:r>
    </w:p>
    <w:bookmarkEnd w:id="23"/>
    <w:bookmarkStart w:id="24" w:name="non-numeric-data"/>
    <w:p>
      <w:pPr>
        <w:pStyle w:val="Heading5"/>
      </w:pPr>
      <w:r>
        <w:t xml:space="preserve">Non-numeric data</w:t>
      </w:r>
    </w:p>
    <w:p>
      <w:pPr>
        <w:pStyle w:val="FirstParagraph"/>
      </w:pPr>
      <w:r>
        <w:t xml:space="preserve">Ordered bar plots for ordinal data — never let the software sort alphabetically. Stacked bars of proportions for part-to-whole comparisons. Mosaic plots when both variables are categorical with several levels. Heatmaps for contingency tables, using a perceptually uniform colour scale. For high cardinality, plot the top 15 and aggregate the rest into a labelled "Other".</w:t>
      </w:r>
    </w:p>
    <w:bookmarkEnd w:id="24"/>
    <w:bookmarkStart w:id="25" w:name="assignment-1-preparation"/>
    <w:p>
      <w:pPr>
        <w:pStyle w:val="Heading5"/>
      </w:pPr>
      <w:r>
        <w:t xml:space="preserve">Assignment 1 preparation</w:t>
      </w:r>
    </w:p>
    <w:p>
      <w:pPr>
        <w:pStyle w:val="FirstParagraph"/>
      </w:pPr>
      <w:r>
        <w:t xml:space="preserve">The mini-project due this week is marked on four criteria:</w:t>
      </w:r>
      <w:r>
        <w:t xml:space="preserve"> </w:t>
      </w:r>
      <w:r>
        <w:rPr>
          <w:b/>
          <w:bCs/>
        </w:rPr>
        <w:t xml:space="preserve">technique 30%, interpretation 35%, reproducibility 15%, presentation 20%</w:t>
      </w:r>
      <w:r>
        <w:t xml:space="preserve">. Interpretation carries the most weight, which is deliberate — it is the skill the course exists to build.</w:t>
      </w:r>
    </w:p>
    <w:p>
      <w:pPr>
        <w:pStyle w:val="BodyText"/>
      </w:pPr>
      <w:r>
        <w:t xml:space="preserve">What to bring to the presentation:</w:t>
      </w:r>
    </w:p>
    <w:p>
      <w:pPr>
        <w:pStyle w:val="Compact"/>
        <w:numPr>
          <w:ilvl w:val="0"/>
          <w:numId w:val="1004"/>
        </w:numPr>
      </w:pPr>
      <w:r>
        <w:t xml:space="preserve">The problem statement and what a row represents, with the sampling frame stated.</w:t>
      </w:r>
    </w:p>
    <w:p>
      <w:pPr>
        <w:pStyle w:val="Compact"/>
        <w:numPr>
          <w:ilvl w:val="0"/>
          <w:numId w:val="1004"/>
        </w:numPr>
      </w:pPr>
      <w:r>
        <w:t xml:space="preserve">The dependent/independent split, justified.</w:t>
      </w:r>
    </w:p>
    <w:p>
      <w:pPr>
        <w:pStyle w:val="Compact"/>
        <w:numPr>
          <w:ilvl w:val="0"/>
          <w:numId w:val="1004"/>
        </w:numPr>
      </w:pPr>
      <w:r>
        <w:t xml:space="preserve">Univariate findings: shape, centre, spread and anomalies per variable.</w:t>
      </w:r>
    </w:p>
    <w:p>
      <w:pPr>
        <w:pStyle w:val="Compact"/>
        <w:numPr>
          <w:ilvl w:val="0"/>
          <w:numId w:val="1004"/>
        </w:numPr>
      </w:pPr>
      <w:r>
        <w:t xml:space="preserve">Bivariate findings, including at least one relationship you did not expect.</w:t>
      </w:r>
    </w:p>
    <w:p>
      <w:pPr>
        <w:pStyle w:val="Compact"/>
        <w:numPr>
          <w:ilvl w:val="0"/>
          <w:numId w:val="1004"/>
        </w:numPr>
      </w:pPr>
      <w:r>
        <w:t xml:space="preserve">Multivariate structure — grouping or clustering, interpreted in plain language.</w:t>
      </w:r>
    </w:p>
    <w:p>
      <w:pPr>
        <w:pStyle w:val="Compact"/>
        <w:numPr>
          <w:ilvl w:val="0"/>
          <w:numId w:val="1004"/>
        </w:numPr>
      </w:pPr>
      <w:r>
        <w:t xml:space="preserve">Three hypotheses, each with a falsification condition and its confounders named.</w:t>
      </w:r>
    </w:p>
    <w:p>
      <w:pPr>
        <w:pStyle w:val="FirstParagraph"/>
      </w:pPr>
      <w:r>
        <w:t xml:space="preserve">Two failures cost the most marks:</w:t>
      </w:r>
      <w:r>
        <w:t xml:space="preserve"> </w:t>
      </w:r>
      <w:r>
        <w:rPr>
          <w:b/>
          <w:bCs/>
        </w:rPr>
        <w:t xml:space="preserve">figures with no written interpretation</w:t>
      </w:r>
      <w:r>
        <w:t xml:space="preserve">, and</w:t>
      </w:r>
      <w:r>
        <w:t xml:space="preserve"> </w:t>
      </w:r>
      <w:r>
        <w:rPr>
          <w:b/>
          <w:bCs/>
        </w:rPr>
        <w:t xml:space="preserve">absolute file paths</w:t>
      </w:r>
      <w:r>
        <w:t xml:space="preserve"> </w:t>
      </w:r>
      <w:r>
        <w:t xml:space="preserve">that only run on your own machine. Restart the kernel and run all before submitting.</w:t>
      </w:r>
    </w:p>
    <w:bookmarkEnd w:id="25"/>
    <w:bookmarkStart w:id="26" w:name="narrative"/>
    <w:p>
      <w:pPr>
        <w:pStyle w:val="Heading5"/>
      </w:pPr>
      <w:r>
        <w:t xml:space="preserve">Narrative</w:t>
      </w:r>
    </w:p>
    <w:p>
      <w:pPr>
        <w:pStyle w:val="FirstParagraph"/>
      </w:pPr>
      <w:r>
        <w:t xml:space="preserve">Lead with the finding, not the method: "Glucose separates the classes" beats "we plotted glucose". One figure, one message — if a plot needs two sentences to explain, it is two plots. Sequence the report: what the data is → what is wrong with it → what it shows → what you cannot conclude. Annotate directly on the figure. State limitations in the same breath as the finding.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answers recurring questions; a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answers one question well. Know which you are building before you start.</w:t>
      </w:r>
    </w:p>
    <w:bookmarkEnd w:id="26"/>
    <w:bookmarkEnd w:id="27"/>
    <w:bookmarkStart w:id="45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8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8"/>
    <w:bookmarkStart w:id="32" w:name="X5f20e010f39b10f5bc09d3f97f2ace983c6c966"/>
    <w:p>
      <w:pPr>
        <w:pStyle w:val="Heading3"/>
      </w:pPr>
      <w:r>
        <w:t xml:space="preserve">Example 1 — Grammar of graphics: one dataset, layered choices</w:t>
      </w:r>
    </w:p>
    <w:p>
      <w:pPr>
        <w:pStyle w:val="FirstParagraph"/>
      </w:pPr>
      <w:r>
        <w:rPr>
          <w:i/>
          <w:iCs/>
        </w:rPr>
        <w:t xml:space="preserve">A plot is data + aesthetics + geometry + scale. Changing only the geometry, with the same data and mapping, answers a different question.</w:t>
      </w:r>
    </w:p>
    <w:p>
      <w:pPr>
        <w:pStyle w:val="SourceCode"/>
      </w:pPr>
      <w:r>
        <w:rPr>
          <w:rStyle w:val="VerbatimChar"/>
        </w:rPr>
        <w:t xml:space="preserve">fig, ax = plt.subplots(1, 3, figsize=(11.4, 2.5))</w:t>
      </w:r>
      <w:r>
        <w:br/>
      </w:r>
      <w:r>
        <w:rPr>
          <w:rStyle w:val="VerbatimChar"/>
        </w:rPr>
        <w:t xml:space="preserve">sns.scatterplot(data=df.sample(2000, random_state=RANDOM_STATE),</w:t>
      </w:r>
      <w:r>
        <w:br/>
      </w:r>
      <w:r>
        <w:rPr>
          <w:rStyle w:val="VerbatimChar"/>
        </w:rPr>
        <w:t xml:space="preserve">                x="ProductRelated", y="ExitRates", hue=TARGET, s=8, alpha=.5, ax=ax[0])</w:t>
      </w:r>
      <w:r>
        <w:br/>
      </w:r>
      <w:r>
        <w:rPr>
          <w:rStyle w:val="VerbatimChar"/>
        </w:rPr>
        <w:t xml:space="preserve">ax[0].set_title("geometry = point")</w:t>
      </w:r>
      <w:r>
        <w:br/>
      </w:r>
      <w:r>
        <w:rPr>
          <w:rStyle w:val="VerbatimChar"/>
        </w:rPr>
        <w:t xml:space="preserve">sns.boxplot(data=df, x=TARGET, y="ExitRates", ax=ax[1], showfliers=False)</w:t>
      </w:r>
      <w:r>
        <w:br/>
      </w:r>
      <w:r>
        <w:rPr>
          <w:rStyle w:val="VerbatimChar"/>
        </w:rPr>
        <w:t xml:space="preserve">ax[1].set_title("geometry = box")</w:t>
      </w:r>
      <w:r>
        <w:br/>
      </w:r>
      <w:r>
        <w:rPr>
          <w:rStyle w:val="VerbatimChar"/>
        </w:rPr>
        <w:t xml:space="preserve">sns.kdeplot(data=df, x="ExitRates", hue=TARGET, fill=True, common_norm=False, ax=ax[2])</w:t>
      </w:r>
      <w:r>
        <w:br/>
      </w:r>
      <w:r>
        <w:rPr>
          <w:rStyle w:val="VerbatimChar"/>
        </w:rPr>
        <w:t xml:space="preserve">ax[2].set_title("geometry = density")</w:t>
      </w:r>
      <w:r>
        <w:br/>
      </w:r>
      <w:r>
        <w:rPr>
          <w:rStyle w:val="VerbatimChar"/>
        </w:rPr>
        <w:t xml:space="preserve">plt.tight_layout()</w:t>
      </w:r>
      <w:r>
        <w:br/>
      </w:r>
      <w:r>
        <w:rPr>
          <w:rStyle w:val="VerbatimChar"/>
        </w:rPr>
        <w:t xml:space="preserve">print("Same variables, three geometries, three different questions answered.")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Same variables, three geometries, three different questions answered.</w:t>
      </w:r>
    </w:p>
    <w:p>
      <w:pPr>
        <w:pStyle w:val="FirstParagraph"/>
      </w:pPr>
      <w:r>
        <w:drawing>
          <wp:inline>
            <wp:extent cx="5334000" cy="112361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s/L13_14_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X81e6858c823dbac852faf57f883b5ec1954b07a"/>
    <w:p>
      <w:pPr>
        <w:pStyle w:val="Heading3"/>
      </w:pPr>
      <w:r>
        <w:t xml:space="preserve">Example 2 — The truncated axis — the commonest way a plot lies</w:t>
      </w:r>
    </w:p>
    <w:p>
      <w:pPr>
        <w:pStyle w:val="FirstParagraph"/>
      </w:pPr>
      <w:r>
        <w:rPr>
          <w:i/>
          <w:iCs/>
        </w:rPr>
        <w:t xml:space="preserve">A bar chart that does not start at zero exaggerates small differences. Both panels below are drawn from identical numbers.</w:t>
      </w:r>
    </w:p>
    <w:p>
      <w:pPr>
        <w:pStyle w:val="SourceCode"/>
      </w:pPr>
      <w:r>
        <w:rPr>
          <w:rStyle w:val="VerbatimChar"/>
        </w:rPr>
        <w:t xml:space="preserve">rate = df.groupby("VisitorType")[TARGET].mean() * 100</w:t>
      </w:r>
      <w:r>
        <w:br/>
      </w:r>
      <w:r>
        <w:rPr>
          <w:rStyle w:val="VerbatimChar"/>
        </w:rPr>
        <w:t xml:space="preserve">fig, ax = plt.subplots(1, 2, figsize=(9, 2.7))</w:t>
      </w:r>
      <w:r>
        <w:br/>
      </w:r>
      <w:r>
        <w:rPr>
          <w:rStyle w:val="VerbatimChar"/>
        </w:rPr>
        <w:t xml:space="preserve">rate.plot(kind="bar", ax=ax[0], color="#B5432E")</w:t>
      </w:r>
      <w:r>
        <w:br/>
      </w:r>
      <w:r>
        <w:rPr>
          <w:rStyle w:val="VerbatimChar"/>
        </w:rPr>
        <w:t xml:space="preserve">ax[0].set_ylim(rate.min() - 0.4, rate.max() + 0.4)</w:t>
      </w:r>
      <w:r>
        <w:br/>
      </w:r>
      <w:r>
        <w:rPr>
          <w:rStyle w:val="VerbatimChar"/>
        </w:rPr>
        <w:t xml:space="preserve">ax[0].set_title("Truncated axis — looks dramatic"); ax[0].set_xlabel("")</w:t>
      </w:r>
      <w:r>
        <w:br/>
      </w:r>
      <w:r>
        <w:rPr>
          <w:rStyle w:val="VerbatimChar"/>
        </w:rPr>
        <w:t xml:space="preserve">rate.plot(kind="bar", ax=ax[1], color="#1F6F6B")</w:t>
      </w:r>
      <w:r>
        <w:br/>
      </w:r>
      <w:r>
        <w:rPr>
          <w:rStyle w:val="VerbatimChar"/>
        </w:rPr>
        <w:t xml:space="preserve">ax[1].set_ylim(0, 100); ax[1].set_title("Zero baseline — honest"); ax[1].set_xlabel("")</w:t>
      </w:r>
      <w:r>
        <w:br/>
      </w:r>
      <w:r>
        <w:rPr>
          <w:rStyle w:val="VerbatimChar"/>
        </w:rPr>
        <w:t xml:space="preserve">plt.tight_layout()</w:t>
      </w:r>
      <w:r>
        <w:br/>
      </w:r>
      <w:r>
        <w:rPr>
          <w:rStyle w:val="VerbatimChar"/>
        </w:rPr>
        <w:t xml:space="preserve">print(rate.round(2).to_string())</w:t>
      </w:r>
      <w:r>
        <w:br/>
      </w:r>
      <w:r>
        <w:rPr>
          <w:rStyle w:val="VerbatimChar"/>
        </w:rPr>
        <w:t xml:space="preserve">print("\nAsk of your own plots: could a reader reach the opposite conclusion?")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VisitorType</w:t>
      </w:r>
      <w:r>
        <w:br/>
      </w:r>
      <w:r>
        <w:rPr>
          <w:rStyle w:val="VerbatimChar"/>
        </w:rPr>
        <w:t xml:space="preserve">New_Visitor         24.910</w:t>
      </w:r>
      <w:r>
        <w:br/>
      </w:r>
      <w:r>
        <w:rPr>
          <w:rStyle w:val="VerbatimChar"/>
        </w:rPr>
        <w:t xml:space="preserve">Other               18.820</w:t>
      </w:r>
      <w:r>
        <w:br/>
      </w:r>
      <w:r>
        <w:rPr>
          <w:rStyle w:val="VerbatimChar"/>
        </w:rPr>
        <w:t xml:space="preserve">Returning_Visitor   13.930</w:t>
      </w:r>
      <w:r>
        <w:br/>
      </w:r>
      <w:r>
        <w:br/>
      </w:r>
      <w:r>
        <w:rPr>
          <w:rStyle w:val="VerbatimChar"/>
        </w:rPr>
        <w:t xml:space="preserve">Ask of your own plots: could a reader reach the opposite conclusion?</w:t>
      </w:r>
    </w:p>
    <w:p>
      <w:pPr>
        <w:pStyle w:val="FirstParagraph"/>
      </w:pPr>
      <w:r>
        <w:drawing>
          <wp:inline>
            <wp:extent cx="5334000" cy="152975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s/L13_14_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X51a4935a89fd9ab435d50a22f2e3401b74429e6"/>
    <w:p>
      <w:pPr>
        <w:pStyle w:val="Heading3"/>
      </w:pPr>
      <w:r>
        <w:t xml:space="preserve">Example 3 — Visualising non-numeric data with high cardinality</w:t>
      </w:r>
    </w:p>
    <w:p>
      <w:pPr>
        <w:pStyle w:val="FirstParagraph"/>
      </w:pPr>
      <w:r>
        <w:rPr>
          <w:i/>
          <w:iCs/>
        </w:rPr>
        <w:t xml:space="preserve">Plotting 20 categories produces an unreadable chart. Show the top levels and aggregate the rest into an explicitly labelled 'Other'.</w:t>
      </w:r>
    </w:p>
    <w:p>
      <w:pPr>
        <w:pStyle w:val="SourceCode"/>
      </w:pPr>
      <w:r>
        <w:rPr>
          <w:rStyle w:val="VerbatimChar"/>
        </w:rPr>
        <w:t xml:space="preserve">vc = df["TrafficType"].astype(str).value_counts(normalize=True) * 100</w:t>
      </w:r>
      <w:r>
        <w:br/>
      </w:r>
      <w:r>
        <w:rPr>
          <w:rStyle w:val="VerbatimChar"/>
        </w:rPr>
        <w:t xml:space="preserve">top = vc.head(6)</w:t>
      </w:r>
      <w:r>
        <w:br/>
      </w:r>
      <w:r>
        <w:rPr>
          <w:rStyle w:val="VerbatimChar"/>
        </w:rPr>
        <w:t xml:space="preserve">other = pd.Series({"Other (%d levels)" % (len(vc) - 6): vc.iloc[6:].sum()})</w:t>
      </w:r>
      <w:r>
        <w:br/>
      </w:r>
      <w:r>
        <w:rPr>
          <w:rStyle w:val="VerbatimChar"/>
        </w:rPr>
        <w:t xml:space="preserve">shown = pd.concat([top, other])</w:t>
      </w:r>
      <w:r>
        <w:br/>
      </w:r>
      <w:r>
        <w:rPr>
          <w:rStyle w:val="VerbatimChar"/>
        </w:rPr>
        <w:t xml:space="preserve">print(shown.round(2).to_string())</w:t>
      </w:r>
      <w:r>
        <w:br/>
      </w:r>
      <w:r>
        <w:br/>
      </w:r>
      <w:r>
        <w:rPr>
          <w:rStyle w:val="VerbatimChar"/>
        </w:rPr>
        <w:t xml:space="preserve">fig, ax = plt.subplots(figsize=(6.4, 2.6))</w:t>
      </w:r>
      <w:r>
        <w:br/>
      </w:r>
      <w:r>
        <w:rPr>
          <w:rStyle w:val="VerbatimChar"/>
        </w:rPr>
        <w:t xml:space="preserve">shown.plot(kind="barh", ax=ax, color="#1F6F6B")</w:t>
      </w:r>
      <w:r>
        <w:br/>
      </w:r>
      <w:r>
        <w:rPr>
          <w:rStyle w:val="VerbatimChar"/>
        </w:rPr>
        <w:t xml:space="preserve">ax.set_xlabel("% of sessions"); ax.set_title("TrafficType — top 6 and the rest")</w:t>
      </w:r>
      <w:r>
        <w:br/>
      </w:r>
      <w:r>
        <w:rPr>
          <w:rStyle w:val="VerbatimChar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2                   31.740</w:t>
      </w:r>
      <w:r>
        <w:br/>
      </w:r>
      <w:r>
        <w:rPr>
          <w:rStyle w:val="VerbatimChar"/>
        </w:rPr>
        <w:t xml:space="preserve">1                   19.880</w:t>
      </w:r>
      <w:r>
        <w:br/>
      </w:r>
      <w:r>
        <w:rPr>
          <w:rStyle w:val="VerbatimChar"/>
        </w:rPr>
        <w:t xml:space="preserve">3                   16.640</w:t>
      </w:r>
      <w:r>
        <w:br/>
      </w:r>
      <w:r>
        <w:rPr>
          <w:rStyle w:val="VerbatimChar"/>
        </w:rPr>
        <w:t xml:space="preserve">4                    8.670</w:t>
      </w:r>
      <w:r>
        <w:br/>
      </w:r>
      <w:r>
        <w:rPr>
          <w:rStyle w:val="VerbatimChar"/>
        </w:rPr>
        <w:t xml:space="preserve">13                   5.990</w:t>
      </w:r>
      <w:r>
        <w:br/>
      </w:r>
      <w:r>
        <w:rPr>
          <w:rStyle w:val="VerbatimChar"/>
        </w:rPr>
        <w:t xml:space="preserve">10                   3.650</w:t>
      </w:r>
      <w:r>
        <w:br/>
      </w:r>
      <w:r>
        <w:rPr>
          <w:rStyle w:val="VerbatimChar"/>
        </w:rPr>
        <w:t xml:space="preserve">Other (14 levels)   13.440</w:t>
      </w:r>
    </w:p>
    <w:p>
      <w:pPr>
        <w:pStyle w:val="FirstParagraph"/>
      </w:pPr>
      <w:r>
        <w:drawing>
          <wp:inline>
            <wp:extent cx="5334000" cy="209366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s/L13_14_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Xeb9fee1c6fd6529825f4f880c800067a6a05db0"/>
    <w:p>
      <w:pPr>
        <w:pStyle w:val="Heading3"/>
      </w:pPr>
      <w:r>
        <w:t xml:space="preserve">Example 4 — Assignment 1 preparation — a finding-first figure</w:t>
      </w:r>
    </w:p>
    <w:p>
      <w:pPr>
        <w:pStyle w:val="FirstParagraph"/>
      </w:pPr>
      <w:r>
        <w:rPr>
          <w:i/>
          <w:iCs/>
        </w:rPr>
        <w:t xml:space="preserve">Marks come from interpretation, not decoration. Title the chart with the finding and annotate the evidence directly on it.</w:t>
      </w:r>
    </w:p>
    <w:p>
      <w:pPr>
        <w:pStyle w:val="SourceCode"/>
      </w:pPr>
      <w:r>
        <w:rPr>
          <w:rStyle w:val="VerbatimChar"/>
        </w:rPr>
        <w:t xml:space="preserve">med = df.groupby(TARGET)["PageValues"].median()</w:t>
      </w:r>
      <w:r>
        <w:br/>
      </w:r>
      <w:r>
        <w:rPr>
          <w:rStyle w:val="VerbatimChar"/>
        </w:rPr>
        <w:t xml:space="preserve">fig, ax = plt.subplots(figsize=(6.6, 2.8))</w:t>
      </w:r>
      <w:r>
        <w:br/>
      </w:r>
      <w:r>
        <w:rPr>
          <w:rStyle w:val="VerbatimChar"/>
        </w:rPr>
        <w:t xml:space="preserve">sns.boxplot(data=df, x=TARGET, y="PageValues", ax=ax, showfliers=False)</w:t>
      </w:r>
      <w:r>
        <w:br/>
      </w:r>
      <w:r>
        <w:rPr>
          <w:rStyle w:val="VerbatimChar"/>
        </w:rPr>
        <w:t xml:space="preserve">ax.set_title("Sessions reaching a valued page convert far more often", loc="left")</w:t>
      </w:r>
      <w:r>
        <w:br/>
      </w:r>
      <w:r>
        <w:rPr>
          <w:rStyle w:val="VerbatimChar"/>
        </w:rPr>
        <w:t xml:space="preserve">ax.set_xlabel("session ended in a purchase"); ax.set_ylabel("PageValues")</w:t>
      </w:r>
      <w:r>
        <w:br/>
      </w:r>
      <w:r>
        <w:rPr>
          <w:rStyle w:val="VerbatimChar"/>
        </w:rPr>
        <w:t xml:space="preserve">ax.annotate(f"median {med[True]:.1f}", xy=(1, med[True]), xytext=(1.15, med[True] + 8),</w:t>
      </w:r>
      <w:r>
        <w:br/>
      </w:r>
      <w:r>
        <w:rPr>
          <w:rStyle w:val="VerbatimChar"/>
        </w:rPr>
        <w:t xml:space="preserve">            arrowprops=dict(arrowstyle="-&gt;", lw=.8), fontsize=8)</w:t>
      </w:r>
      <w:r>
        <w:br/>
      </w:r>
      <w:r>
        <w:rPr>
          <w:rStyle w:val="VerbatimChar"/>
        </w:rPr>
        <w:t xml:space="preserve">ax.annotate(f"median {med[False]:.1f}", xy=(0, med[False]), xytext=(0.15, 12),</w:t>
      </w:r>
      <w:r>
        <w:br/>
      </w:r>
      <w:r>
        <w:rPr>
          <w:rStyle w:val="VerbatimChar"/>
        </w:rPr>
        <w:t xml:space="preserve">            arrowprops=dict(arrowstyle="-&gt;", lw=.8), fontsize=8)</w:t>
      </w:r>
      <w:r>
        <w:br/>
      </w:r>
      <w:r>
        <w:rPr>
          <w:rStyle w:val="VerbatimChar"/>
        </w:rPr>
        <w:t xml:space="preserve">plt.tight_layout()</w:t>
      </w:r>
      <w:r>
        <w:br/>
      </w:r>
      <w:r>
        <w:rPr>
          <w:rStyle w:val="VerbatimChar"/>
        </w:rPr>
        <w:t xml:space="preserve">print("Checklist: technique 30% | interpretation 35% | reproducibility 15% | presentation 20%")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Checklist: technique 30% | interpretation 35% | reproducibility 15% | presentation 20%</w:t>
      </w:r>
    </w:p>
    <w:p>
      <w:pPr>
        <w:pStyle w:val="FirstParagraph"/>
      </w:pPr>
      <w:r>
        <w:drawing>
          <wp:inline>
            <wp:extent cx="5334000" cy="219213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s/L13_14_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Grammar of graphics · Aesthetic mapping · Geometry · Facet · Small multiples · Truncated axis · Perceptually uniform colour map · Data-ink ratio</w:t>
      </w:r>
    </w:p>
    <w:bookmarkEnd w:id="46"/>
    <w:bookmarkStart w:id="47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5"/>
        </w:numPr>
      </w:pPr>
      <w:r>
        <w:t xml:space="preserve">Truncating a bar chart's y-axis</w:t>
      </w:r>
    </w:p>
    <w:p>
      <w:pPr>
        <w:pStyle w:val="Compact"/>
        <w:numPr>
          <w:ilvl w:val="0"/>
          <w:numId w:val="1005"/>
        </w:numPr>
      </w:pPr>
      <w:r>
        <w:t xml:space="preserve">Using a pie chart to compare more than three categories</w:t>
      </w:r>
    </w:p>
    <w:p>
      <w:pPr>
        <w:pStyle w:val="Compact"/>
        <w:numPr>
          <w:ilvl w:val="0"/>
          <w:numId w:val="1005"/>
        </w:numPr>
      </w:pPr>
      <w:r>
        <w:t xml:space="preserve">Leaving a legend to do work that direct annotation would do better</w:t>
      </w:r>
    </w:p>
    <w:p>
      <w:pPr>
        <w:pStyle w:val="Compact"/>
        <w:numPr>
          <w:ilvl w:val="0"/>
          <w:numId w:val="1005"/>
        </w:numPr>
      </w:pPr>
      <w:r>
        <w:t xml:space="preserve">Publishing a figure with no sentence stating what it shows</w:t>
      </w:r>
    </w:p>
    <w:bookmarkEnd w:id="47"/>
    <w:bookmarkStart w:id="48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6"/>
        </w:numPr>
      </w:pPr>
      <w:r>
        <w:t xml:space="preserve">Wilke — Fundamentals of Data Visualization</w:t>
      </w:r>
      <w:r>
        <w:br/>
      </w:r>
      <w:r>
        <w:rPr>
          <w:rStyle w:val="VerbatimChar"/>
        </w:rPr>
        <w:t xml:space="preserve">https://clauswilke.com/dataviz/</w:t>
      </w:r>
    </w:p>
    <w:p>
      <w:pPr>
        <w:pStyle w:val="Compact"/>
        <w:numPr>
          <w:ilvl w:val="0"/>
          <w:numId w:val="1006"/>
        </w:numPr>
      </w:pPr>
      <w:r>
        <w:t xml:space="preserve">CMU 36-315 — Statistical Graphics and Visualization</w:t>
      </w:r>
      <w:r>
        <w:br/>
      </w:r>
      <w:r>
        <w:rPr>
          <w:rStyle w:val="VerbatimChar"/>
        </w:rPr>
        <w:t xml:space="preserve">https://cmu-36315.netlify.app/</w:t>
      </w:r>
    </w:p>
    <w:p>
      <w:pPr>
        <w:pStyle w:val="Compact"/>
        <w:numPr>
          <w:ilvl w:val="0"/>
          <w:numId w:val="1006"/>
        </w:numPr>
      </w:pPr>
      <w:r>
        <w:t xml:space="preserve">seaborn tutorial</w:t>
      </w:r>
      <w:r>
        <w:br/>
      </w:r>
      <w:r>
        <w:rPr>
          <w:rStyle w:val="VerbatimChar"/>
        </w:rPr>
        <w:t xml:space="preserve">https://seaborn.pydata.org/tutorial.html</w:t>
      </w:r>
    </w:p>
    <w:bookmarkEnd w:id="48"/>
    <w:bookmarkStart w:id="49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07"/>
        </w:numPr>
      </w:pPr>
      <w:r>
        <w:t xml:space="preserve">Name the six layers of the grammar of graphics.</w:t>
      </w:r>
    </w:p>
    <w:p>
      <w:pPr>
        <w:pStyle w:val="Compact"/>
        <w:numPr>
          <w:ilvl w:val="0"/>
          <w:numId w:val="1007"/>
        </w:numPr>
      </w:pPr>
      <w:r>
        <w:t xml:space="preserve">When is a truncated y-axis defensible?</w:t>
      </w:r>
    </w:p>
    <w:p>
      <w:pPr>
        <w:pStyle w:val="Compact"/>
        <w:numPr>
          <w:ilvl w:val="0"/>
          <w:numId w:val="1007"/>
        </w:numPr>
      </w:pPr>
      <w:r>
        <w:t xml:space="preserve">You have two categorical variables with six levels each. Which plot, and why?</w:t>
      </w:r>
    </w:p>
    <w:p>
      <w:pPr>
        <w:pStyle w:val="Compact"/>
        <w:numPr>
          <w:ilvl w:val="0"/>
          <w:numId w:val="1007"/>
        </w:numPr>
      </w:pPr>
      <w:r>
        <w:t xml:space="preserve">Rewrite 'Figure 3: PageValues by Revenue' as a title that states the finding.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L13-14 — Visual storytelling</dc:title>
  <dc:creator/>
  <cp:keywords/>
  <dcterms:created xsi:type="dcterms:W3CDTF">2026-07-30T10:02:09Z</dcterms:created>
  <dcterms:modified xsi:type="dcterms:W3CDTF">2026-07-30T10:02:09Z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