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L1-2 — The role of EDA, and robust statistics</w:t>
      </w:r>
    </w:p>
    <w:bookmarkStart w:id="40" w:name="X6c1ef790e3230ce1b4c98c9989998ab50bdacea"/>
    <w:p>
      <w:pPr>
        <w:pStyle w:val="Heading1"/>
      </w:pPr>
      <w:r>
        <w:t xml:space="preserve">L1-2  —  The role of EDA, and robust statistics</w:t>
      </w:r>
    </w:p>
    <w:p>
      <w:pPr>
        <w:pStyle w:val="FirstParagraph"/>
      </w:pPr>
      <w:r>
        <w:rPr>
          <w:b/>
          <w:bCs/>
        </w:rPr>
        <w:t xml:space="preserve">DATA209 · Advanced Exploratory Data Analysis</w:t>
      </w:r>
      <w:r>
        <w:br/>
      </w:r>
      <w:r>
        <w:t xml:space="preserve">Vidyashilp University · School of Engineering and Technology</w:t>
      </w:r>
      <w:r>
        <w:br/>
      </w:r>
      <w:r>
        <w:t xml:space="preserve">BTech Hons. (Data Science), Semester III</w:t>
      </w:r>
    </w:p>
    <w:p>
      <w:pPr>
        <w:pStyle w:val="BodyText"/>
      </w:pPr>
      <w:r>
        <w:rPr>
          <w:b/>
          <w:bCs/>
        </w:rPr>
        <w:t xml:space="preserve">Week 1</w:t>
      </w:r>
      <w:r>
        <w:t xml:space="preserve"> </w:t>
      </w:r>
      <w:r>
        <w:t xml:space="preserve"> | </w:t>
      </w:r>
      <w:r>
        <w:t xml:space="preserve"> </w:t>
      </w:r>
      <w:r>
        <w:rPr>
          <w:b/>
          <w:bCs/>
        </w:rPr>
        <w:t xml:space="preserve">Module 1</w:t>
      </w:r>
      <w:r>
        <w:t xml:space="preserve"> </w:t>
      </w:r>
      <w:r>
        <w:t xml:space="preserve">—</w:t>
      </w:r>
      <w:r>
        <w:t xml:space="preserve"> </w:t>
      </w:r>
      <w:r>
        <w:t xml:space="preserve">Statistical &amp; Data Foundations for EDA  | </w:t>
      </w:r>
      <w:r>
        <w:t xml:space="preserve"> </w:t>
      </w:r>
      <w:r>
        <w:rPr>
          <w:b/>
          <w:bCs/>
        </w:rPr>
        <w:t xml:space="preserve">Outcome CO1</w:t>
      </w:r>
      <w:r>
        <w:br/>
      </w:r>
      <w:r>
        <w:t xml:space="preserve">Slides: DATA209_Module_1_Statistical_and_Data_Foundations.pptx, pages 4–19  | </w:t>
      </w:r>
      <w:r>
        <w:t xml:space="preserve"> </w:t>
      </w:r>
      <w:r>
        <w:t xml:space="preserve">Laboratory: P1-2</w:t>
      </w:r>
    </w:p>
    <w:p>
      <w:r>
        <w:pict>
          <v:rect style="width:0;height:1.5pt" o:hralign="center" o:hrstd="t" o:hr="t"/>
        </w:pict>
      </w:r>
    </w:p>
    <w:bookmarkStart w:id="20" w:name="topics-covered"/>
    <w:p>
      <w:pPr>
        <w:pStyle w:val="Heading2"/>
      </w:pPr>
      <w:r>
        <w:t xml:space="preserve">Topics covered</w:t>
      </w:r>
    </w:p>
    <w:p>
      <w:pPr>
        <w:pStyle w:val="Compact"/>
        <w:numPr>
          <w:ilvl w:val="0"/>
          <w:numId w:val="1001"/>
        </w:numPr>
      </w:pPr>
      <w:r>
        <w:t xml:space="preserve">Role of EDA in the data science lifecycle</w:t>
      </w:r>
    </w:p>
    <w:p>
      <w:pPr>
        <w:pStyle w:val="Compact"/>
        <w:numPr>
          <w:ilvl w:val="0"/>
          <w:numId w:val="1001"/>
        </w:numPr>
      </w:pPr>
      <w:r>
        <w:t xml:space="preserve">Exploratory vs. confirmatory analysis</w:t>
      </w:r>
    </w:p>
    <w:p>
      <w:pPr>
        <w:pStyle w:val="Compact"/>
        <w:numPr>
          <w:ilvl w:val="0"/>
          <w:numId w:val="1001"/>
        </w:numPr>
      </w:pPr>
      <w:r>
        <w:t xml:space="preserve">Sampling bias and inference intuition</w:t>
      </w:r>
    </w:p>
    <w:p>
      <w:pPr>
        <w:pStyle w:val="Compact"/>
        <w:numPr>
          <w:ilvl w:val="0"/>
          <w:numId w:val="1001"/>
        </w:numPr>
      </w:pPr>
      <w:r>
        <w:t xml:space="preserve">Distribution behaviour: skewness, kurtosis, outliers</w:t>
      </w:r>
    </w:p>
    <w:p>
      <w:pPr>
        <w:pStyle w:val="Compact"/>
        <w:numPr>
          <w:ilvl w:val="0"/>
          <w:numId w:val="1001"/>
        </w:numPr>
      </w:pPr>
      <w:r>
        <w:t xml:space="preserve">Summary and robust statistics — median, IQR</w:t>
      </w:r>
    </w:p>
    <w:bookmarkEnd w:id="20"/>
    <w:bookmarkStart w:id="26" w:name="notes"/>
    <w:p>
      <w:pPr>
        <w:pStyle w:val="Heading2"/>
      </w:pPr>
      <w:r>
        <w:t xml:space="preserve">Notes</w:t>
      </w:r>
    </w:p>
    <w:bookmarkStart w:id="21" w:name="what-eda-is-for"/>
    <w:p>
      <w:pPr>
        <w:pStyle w:val="Heading5"/>
      </w:pPr>
      <w:r>
        <w:t xml:space="preserve">What EDA is for</w:t>
      </w:r>
    </w:p>
    <w:p>
      <w:pPr>
        <w:pStyle w:val="FirstParagraph"/>
      </w:pPr>
      <w:r>
        <w:t xml:space="preserve">Exploratory data analysis is the practice of looking at what the data</w:t>
      </w:r>
      <w:r>
        <w:t xml:space="preserve"> </w:t>
      </w:r>
      <w:r>
        <w:rPr>
          <w:i/>
          <w:iCs/>
        </w:rPr>
        <w:t xml:space="preserve">seems</w:t>
      </w:r>
      <w:r>
        <w:t xml:space="preserve"> </w:t>
      </w:r>
      <w:r>
        <w:t xml:space="preserve">to say before any hypothesis is imposed on it. Tukey named the field in 1977 as a deliberate counterweight to a statistical culture that had become almost entirely confirmatory. His argument was that the analyst's first duty is detective work — finding what is there — and that this work has its own methods, standards and failure modes.</w:t>
      </w:r>
    </w:p>
    <w:p>
      <w:pPr>
        <w:pStyle w:val="BodyText"/>
      </w:pPr>
      <w:r>
        <w:t xml:space="preserve">The practical case is simpler. You cannot draw reliable conclusions from a large quantity of data by gleaning over it. Raw data is skewed, contains impossible values, and hides its own collection history. A model fitted to unexamined data inherits every one of those defects and reports them with false confidence.</w:t>
      </w:r>
    </w:p>
    <w:bookmarkEnd w:id="21"/>
    <w:bookmarkStart w:id="22" w:name="exploratory-versus-confirmatory"/>
    <w:p>
      <w:pPr>
        <w:pStyle w:val="Heading5"/>
      </w:pPr>
      <w:r>
        <w:t xml:space="preserve">Exploratory versus confirmatory</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Exploratory</w:t>
            </w:r>
          </w:p>
        </w:tc>
        <w:tc>
          <w:tcPr/>
          <w:p>
            <w:pPr>
              <w:pStyle w:val="Compact"/>
              <w:jc w:val="left"/>
            </w:pPr>
            <w:r>
              <w:t xml:space="preserve">Confirmatory</w:t>
            </w:r>
          </w:p>
        </w:tc>
      </w:tr>
      <w:tr>
        <w:tc>
          <w:tcPr/>
          <w:p>
            <w:pPr>
              <w:pStyle w:val="Compact"/>
              <w:jc w:val="left"/>
            </w:pPr>
            <w:r>
              <w:t xml:space="preserve">Question</w:t>
            </w:r>
          </w:p>
        </w:tc>
        <w:tc>
          <w:tcPr/>
          <w:p>
            <w:pPr>
              <w:pStyle w:val="Compact"/>
              <w:jc w:val="left"/>
            </w:pPr>
            <w:r>
              <w:t xml:space="preserve">open — what is going on here?</w:t>
            </w:r>
          </w:p>
        </w:tc>
        <w:tc>
          <w:tcPr/>
          <w:p>
            <w:pPr>
              <w:pStyle w:val="Compact"/>
              <w:jc w:val="left"/>
            </w:pPr>
            <w:r>
              <w:t xml:space="preserve">fixed before the data is seen</w:t>
            </w:r>
          </w:p>
        </w:tc>
      </w:tr>
      <w:tr>
        <w:tc>
          <w:tcPr/>
          <w:p>
            <w:pPr>
              <w:pStyle w:val="Compact"/>
              <w:jc w:val="left"/>
            </w:pPr>
            <w:r>
              <w:t xml:space="preserve">Hypothesis</w:t>
            </w:r>
          </w:p>
        </w:tc>
        <w:tc>
          <w:tcPr/>
          <w:p>
            <w:pPr>
              <w:pStyle w:val="Compact"/>
              <w:jc w:val="left"/>
            </w:pPr>
            <w:r>
              <w:t xml:space="preserve">an</w:t>
            </w:r>
            <w:r>
              <w:t xml:space="preserve"> </w:t>
            </w:r>
            <w:r>
              <w:rPr>
                <w:b/>
                <w:bCs/>
              </w:rPr>
              <w:t xml:space="preserve">output</w:t>
            </w:r>
          </w:p>
        </w:tc>
        <w:tc>
          <w:tcPr/>
          <w:p>
            <w:pPr>
              <w:pStyle w:val="Compact"/>
              <w:jc w:val="left"/>
            </w:pPr>
            <w:r>
              <w:t xml:space="preserve">an</w:t>
            </w:r>
            <w:r>
              <w:t xml:space="preserve"> </w:t>
            </w:r>
            <w:r>
              <w:rPr>
                <w:b/>
                <w:bCs/>
              </w:rPr>
              <w:t xml:space="preserve">input</w:t>
            </w:r>
          </w:p>
        </w:tc>
      </w:tr>
      <w:tr>
        <w:tc>
          <w:tcPr/>
          <w:p>
            <w:pPr>
              <w:pStyle w:val="Compact"/>
              <w:jc w:val="left"/>
            </w:pPr>
            <w:r>
              <w:t xml:space="preserve">Method</w:t>
            </w:r>
          </w:p>
        </w:tc>
        <w:tc>
          <w:tcPr/>
          <w:p>
            <w:pPr>
              <w:pStyle w:val="Compact"/>
              <w:jc w:val="left"/>
            </w:pPr>
            <w:r>
              <w:t xml:space="preserve">graphical, iterative, sceptical</w:t>
            </w:r>
          </w:p>
        </w:tc>
        <w:tc>
          <w:tcPr/>
          <w:p>
            <w:pPr>
              <w:pStyle w:val="Compact"/>
              <w:jc w:val="left"/>
            </w:pPr>
            <w:r>
              <w:t xml:space="preserve">formal tests, error rates</w:t>
            </w:r>
          </w:p>
        </w:tc>
      </w:tr>
      <w:tr>
        <w:tc>
          <w:tcPr/>
          <w:p>
            <w:pPr>
              <w:pStyle w:val="Compact"/>
              <w:jc w:val="left"/>
            </w:pPr>
            <w:r>
              <w:t xml:space="preserve">Success</w:t>
            </w:r>
          </w:p>
        </w:tc>
        <w:tc>
          <w:tcPr/>
          <w:p>
            <w:pPr>
              <w:pStyle w:val="Compact"/>
              <w:jc w:val="left"/>
            </w:pPr>
            <w:r>
              <w:t xml:space="preserve">a surprising, checkable claim</w:t>
            </w:r>
          </w:p>
        </w:tc>
        <w:tc>
          <w:tcPr/>
          <w:p>
            <w:pPr>
              <w:pStyle w:val="Compact"/>
              <w:jc w:val="left"/>
            </w:pPr>
            <w:r>
              <w:t xml:space="preserve">a defensible accept/reject decision</w:t>
            </w:r>
          </w:p>
        </w:tc>
      </w:tr>
    </w:tbl>
    <w:p>
      <w:pPr>
        <w:pStyle w:val="BodyText"/>
      </w:pPr>
      <w:r>
        <w:t xml:space="preserve">The cardinal error is switching modes silently: exploring until something looks significant, then reporting it as though the hypothesis came first. That is p-hacking, and it is the reason EDA findings are stated as</w:t>
      </w:r>
      <w:r>
        <w:t xml:space="preserve"> </w:t>
      </w:r>
      <w:r>
        <w:rPr>
          <w:i/>
          <w:iCs/>
        </w:rPr>
        <w:t xml:space="preserve">hypotheses for future testing</w:t>
      </w:r>
      <w:r>
        <w:t xml:space="preserve"> </w:t>
      </w:r>
      <w:r>
        <w:t xml:space="preserve">rather than as results.</w:t>
      </w:r>
    </w:p>
    <w:bookmarkEnd w:id="22"/>
    <w:bookmarkStart w:id="23" w:name="sampling-and-what-you-may-claim"/>
    <w:p>
      <w:pPr>
        <w:pStyle w:val="Heading5"/>
      </w:pPr>
      <w:r>
        <w:t xml:space="preserve">Sampling and what you may claim</w:t>
      </w:r>
    </w:p>
    <w:p>
      <w:pPr>
        <w:pStyle w:val="FirstParagraph"/>
      </w:pPr>
      <w:r>
        <w:t xml:space="preserve">Every statistic is an estimate from a window onto a population. Four ways that window distorts:</w:t>
      </w:r>
    </w:p>
    <w:p>
      <w:pPr>
        <w:pStyle w:val="Compact"/>
        <w:numPr>
          <w:ilvl w:val="0"/>
          <w:numId w:val="1002"/>
        </w:numPr>
      </w:pPr>
      <w:r>
        <w:rPr>
          <w:b/>
          <w:bCs/>
        </w:rPr>
        <w:t xml:space="preserve">Selection bias</w:t>
      </w:r>
      <w:r>
        <w:t xml:space="preserve"> </w:t>
      </w:r>
      <w:r>
        <w:t xml:space="preserve">— the sampling mechanism favours certain units. Website analytics only observe</w:t>
      </w:r>
    </w:p>
    <w:p>
      <w:pPr>
        <w:pStyle w:val="FirstParagraph"/>
      </w:pPr>
      <w:r>
        <w:t xml:space="preserve">people who reached the website.</w:t>
      </w:r>
    </w:p>
    <w:p>
      <w:pPr>
        <w:pStyle w:val="Compact"/>
        <w:numPr>
          <w:ilvl w:val="0"/>
          <w:numId w:val="1003"/>
        </w:numPr>
      </w:pPr>
      <w:r>
        <w:rPr>
          <w:b/>
          <w:bCs/>
        </w:rPr>
        <w:t xml:space="preserve">Survivorship bias</w:t>
      </w:r>
      <w:r>
        <w:t xml:space="preserve"> </w:t>
      </w:r>
      <w:r>
        <w:t xml:space="preserve">— failures are absent. Loan data holds approved applicants; rejected ones</w:t>
      </w:r>
    </w:p>
    <w:p>
      <w:pPr>
        <w:pStyle w:val="FirstParagraph"/>
      </w:pPr>
      <w:r>
        <w:t xml:space="preserve">are invisible.</w:t>
      </w:r>
    </w:p>
    <w:p>
      <w:pPr>
        <w:pStyle w:val="Compact"/>
        <w:numPr>
          <w:ilvl w:val="0"/>
          <w:numId w:val="1004"/>
        </w:numPr>
      </w:pPr>
      <w:r>
        <w:rPr>
          <w:b/>
          <w:bCs/>
        </w:rPr>
        <w:t xml:space="preserve">Non-response bias</w:t>
      </w:r>
      <w:r>
        <w:t xml:space="preserve"> </w:t>
      </w:r>
      <w:r>
        <w:t xml:space="preserve">— those who did not answer differ systematically from those who did.</w:t>
      </w:r>
    </w:p>
    <w:p>
      <w:pPr>
        <w:pStyle w:val="Compact"/>
        <w:numPr>
          <w:ilvl w:val="0"/>
          <w:numId w:val="1004"/>
        </w:numPr>
      </w:pPr>
      <w:r>
        <w:rPr>
          <w:b/>
          <w:bCs/>
        </w:rPr>
        <w:t xml:space="preserve">Measurement bias</w:t>
      </w:r>
      <w:r>
        <w:t xml:space="preserve"> </w:t>
      </w:r>
      <w:r>
        <w:t xml:space="preserve">— the instrument distorts. A sensor drifts; a zero means "not recorded".</w:t>
      </w:r>
    </w:p>
    <w:p>
      <w:pPr>
        <w:pStyle w:val="FirstParagraph"/>
      </w:pPr>
      <w:r>
        <w:t xml:space="preserve">Larger samples reduce variance,</w:t>
      </w:r>
      <w:r>
        <w:t xml:space="preserve"> </w:t>
      </w:r>
      <w:r>
        <w:rPr>
          <w:b/>
          <w:bCs/>
        </w:rPr>
        <w:t xml:space="preserve">not bias</w:t>
      </w:r>
      <w:r>
        <w:t xml:space="preserve">. A biased frame stays biased at any size. Before generalising, ask the question that settles most disputes:</w:t>
      </w:r>
      <w:r>
        <w:t xml:space="preserve"> </w:t>
      </w:r>
      <w:r>
        <w:rPr>
          <w:i/>
          <w:iCs/>
        </w:rPr>
        <w:t xml:space="preserve">who could have been in this dataset but is not?</w:t>
      </w:r>
    </w:p>
    <w:bookmarkEnd w:id="23"/>
    <w:bookmarkStart w:id="24" w:name="Xf505252c08ffa63d57624516e5a9c4a1ad54760"/>
    <w:p>
      <w:pPr>
        <w:pStyle w:val="Heading5"/>
      </w:pPr>
      <w:r>
        <w:t xml:space="preserve">Summary statistics: position, dispersion, shape</w:t>
      </w:r>
    </w:p>
    <w:p>
      <w:pPr>
        <w:pStyle w:val="FirstParagraph"/>
      </w:pPr>
      <w:r>
        <w:t xml:space="preserve">Three families of summary, and the discipline of pairing them correctly.</w:t>
      </w:r>
    </w:p>
    <w:p>
      <w:pPr>
        <w:pStyle w:val="Compact"/>
        <w:numPr>
          <w:ilvl w:val="0"/>
          <w:numId w:val="1005"/>
        </w:numPr>
      </w:pPr>
      <w:r>
        <w:rPr>
          <w:b/>
          <w:bCs/>
        </w:rPr>
        <w:t xml:space="preserve">Position</w:t>
      </w:r>
      <w:r>
        <w:t xml:space="preserve"> </w:t>
      </w:r>
      <w:r>
        <w:t xml:space="preserve">— mean (balance point), median (splits the data in half), mode (most frequent).</w:t>
      </w:r>
    </w:p>
    <w:p>
      <w:pPr>
        <w:pStyle w:val="FirstParagraph"/>
      </w:pPr>
      <w:r>
        <w:t xml:space="preserve">The mean is not wrong on skewed data; it answers a different question. The size of the mean–median gap is the diagnostic.</w:t>
      </w:r>
    </w:p>
    <w:p>
      <w:pPr>
        <w:pStyle w:val="Compact"/>
        <w:numPr>
          <w:ilvl w:val="0"/>
          <w:numId w:val="1006"/>
        </w:numPr>
      </w:pPr>
      <w:r>
        <w:rPr>
          <w:b/>
          <w:bCs/>
        </w:rPr>
        <w:t xml:space="preserve">Dispersion</w:t>
      </w:r>
      <w:r>
        <w:t xml:space="preserve"> </w:t>
      </w:r>
      <w:r>
        <w:t xml:space="preserve">— range, variance, standard deviation, IQR. The first three are computed around</w:t>
      </w:r>
    </w:p>
    <w:p>
      <w:pPr>
        <w:pStyle w:val="FirstParagraph"/>
      </w:pPr>
      <w:r>
        <w:t xml:space="preserve">the mean and inherit its sensitivity to extremes. The IQR is the width of the middle 50% and ignores the tails entirely.</w:t>
      </w:r>
    </w:p>
    <w:p>
      <w:pPr>
        <w:pStyle w:val="Compact"/>
        <w:numPr>
          <w:ilvl w:val="0"/>
          <w:numId w:val="1007"/>
        </w:numPr>
      </w:pPr>
      <w:r>
        <w:rPr>
          <w:b/>
          <w:bCs/>
        </w:rPr>
        <w:t xml:space="preserve">Shape</w:t>
      </w:r>
      <w:r>
        <w:t xml:space="preserve"> </w:t>
      </w:r>
      <w:r>
        <w:t xml:space="preserve">— skewness measures horizontal asymmetry; kurtosis measures tail weight.</w:t>
      </w:r>
    </w:p>
    <w:p>
      <w:pPr>
        <w:pStyle w:val="BlockText"/>
      </w:pPr>
      <w:r>
        <w:t xml:space="preserve">Report</w:t>
      </w:r>
      <w:r>
        <w:t xml:space="preserve"> </w:t>
      </w:r>
      <w:r>
        <w:rPr>
          <w:b/>
          <w:bCs/>
        </w:rPr>
        <w:t xml:space="preserve">mean with standard deviation</w:t>
      </w:r>
      <w:r>
        <w:t xml:space="preserve">, or</w:t>
      </w:r>
      <w:r>
        <w:t xml:space="preserve"> </w:t>
      </w:r>
      <w:r>
        <w:rPr>
          <w:b/>
          <w:bCs/>
        </w:rPr>
        <w:t xml:space="preserve">median with IQR</w:t>
      </w:r>
      <w:r>
        <w:t xml:space="preserve">. Never mix a mean with an IQR.</w:t>
      </w:r>
    </w:p>
    <w:p>
      <w:pPr>
        <w:pStyle w:val="FirstParagraph"/>
      </w:pPr>
      <w:r>
        <w:t xml:space="preserve">On</w:t>
      </w:r>
      <w:r>
        <w:t xml:space="preserve"> </w:t>
      </w:r>
      <w:r>
        <w:rPr>
          <w:rStyle w:val="VerbatimChar"/>
        </w:rPr>
        <w:t xml:space="preserve">pima.csv</w:t>
      </w:r>
      <w:r>
        <w:t xml:space="preserve">, Insulin has skew +2.27; its mean is 155.5 against a median of 125.0. Both numbers are correct. Only one describes a typical patient.</w:t>
      </w:r>
    </w:p>
    <w:bookmarkEnd w:id="24"/>
    <w:bookmarkStart w:id="25" w:name="reading-a-boxplot"/>
    <w:p>
      <w:pPr>
        <w:pStyle w:val="Heading5"/>
      </w:pPr>
      <w:r>
        <w:t xml:space="preserve">Reading a boxplot</w:t>
      </w:r>
    </w:p>
    <w:p>
      <w:pPr>
        <w:pStyle w:val="FirstParagraph"/>
      </w:pPr>
      <w:r>
        <w:t xml:space="preserve">The box spans Q1 to Q3 with the</w:t>
      </w:r>
      <w:r>
        <w:t xml:space="preserve"> </w:t>
      </w:r>
      <w:r>
        <w:rPr>
          <w:b/>
          <w:bCs/>
        </w:rPr>
        <w:t xml:space="preserve">median</w:t>
      </w:r>
      <w:r>
        <w:t xml:space="preserve"> </w:t>
      </w:r>
      <w:r>
        <w:t xml:space="preserve">— not the mean — inside it. Whiskers extend to the furthest point within 1.5 × IQR of the box edges; points beyond are</w:t>
      </w:r>
      <w:r>
        <w:t xml:space="preserve"> </w:t>
      </w:r>
      <w:r>
        <w:rPr>
          <w:i/>
          <w:iCs/>
        </w:rPr>
        <w:t xml:space="preserve">flagged</w:t>
      </w:r>
      <w:r>
        <w:t xml:space="preserve">, not condemned. Box position within the whiskers reveals skew: if Q3 − Q2 exceeds Q2 − Q1, the distribution leans right. A boxplot hides multimodality completely, so always pair it with a histogram or density plot.</w:t>
      </w:r>
    </w:p>
    <w:bookmarkEnd w:id="25"/>
    <w:bookmarkEnd w:id="26"/>
    <w:bookmarkStart w:id="35" w:name="worked-examples"/>
    <w:p>
      <w:pPr>
        <w:pStyle w:val="Heading2"/>
      </w:pPr>
      <w:r>
        <w:t xml:space="preserve">Worked examples</w:t>
      </w:r>
    </w:p>
    <w:p>
      <w:pPr>
        <w:pStyle w:val="FirstParagraph"/>
      </w:pPr>
      <w:r>
        <w:t xml:space="preserve">Every example below was executed against the course datasets; the output shown is the real result, not an illustration. The primary dataset is</w:t>
      </w:r>
      <w:r>
        <w:t xml:space="preserve"> </w:t>
      </w:r>
      <w:r>
        <w:rPr>
          <w:b/>
          <w:bCs/>
        </w:rPr>
        <w:t xml:space="preserve">Online Shoppers Purchasing Intention</w:t>
      </w:r>
      <w:r>
        <w:t xml:space="preserve"> </w:t>
      </w:r>
      <w:r>
        <w:t xml:space="preserve">(12,330 sessions × 18 columns, UCI). Run the setup block once, then any example.</w:t>
      </w:r>
    </w:p>
    <w:bookmarkStart w:id="27" w:name="setup-run-this-first"/>
    <w:p>
      <w:pPr>
        <w:pStyle w:val="Heading3"/>
      </w:pPr>
      <w:r>
        <w:t xml:space="preserve">Setup — run this first</w:t>
      </w:r>
    </w:p>
    <w:p>
      <w:pPr>
        <w:pStyle w:val="SourceCode"/>
      </w:pPr>
      <w:r>
        <w:rPr>
          <w:rStyle w:val="VerbatimChar"/>
        </w:rPr>
        <w:t xml:space="preserve">import warnings; warnings.filterwarnings("ignore")</w:t>
      </w:r>
      <w:r>
        <w:br/>
      </w:r>
      <w:r>
        <w:rPr>
          <w:rStyle w:val="VerbatimChar"/>
        </w:rPr>
        <w:t xml:space="preserve">import numpy as np, pandas as pd</w:t>
      </w:r>
      <w:r>
        <w:br/>
      </w:r>
      <w:r>
        <w:rPr>
          <w:rStyle w:val="VerbatimChar"/>
        </w:rPr>
        <w:t xml:space="preserve">import matplotlib.pyplot as plt, seaborn as sns</w:t>
      </w:r>
      <w:r>
        <w:br/>
      </w:r>
      <w:r>
        <w:br/>
      </w:r>
      <w:r>
        <w:rPr>
          <w:rStyle w:val="VerbatimChar"/>
        </w:rPr>
        <w:t xml:space="preserve">pd.set_option("display.width", 108)</w:t>
      </w:r>
      <w:r>
        <w:br/>
      </w:r>
      <w:r>
        <w:rPr>
          <w:rStyle w:val="VerbatimChar"/>
        </w:rPr>
        <w:t xml:space="preserve">pd.set_option("display.float_format", lambda v: f"{v:,.3f}")</w:t>
      </w:r>
      <w:r>
        <w:br/>
      </w:r>
      <w:r>
        <w:rPr>
          <w:rStyle w:val="VerbatimChar"/>
        </w:rPr>
        <w:t xml:space="preserve">sns.set_theme(style="whitegrid")</w:t>
      </w:r>
      <w:r>
        <w:br/>
      </w:r>
      <w:r>
        <w:rPr>
          <w:rStyle w:val="VerbatimChar"/>
        </w:rPr>
        <w:t xml:space="preserve">RANDOM_STATE = 42</w:t>
      </w:r>
      <w:r>
        <w:br/>
      </w:r>
      <w:r>
        <w:rPr>
          <w:rStyle w:val="VerbatimChar"/>
        </w:rPr>
        <w:t xml:space="preserve">np.random.seed(RANDOM_STATE)</w:t>
      </w:r>
      <w:r>
        <w:br/>
      </w:r>
      <w:r>
        <w:br/>
      </w:r>
      <w:r>
        <w:rPr>
          <w:rStyle w:val="VerbatimChar"/>
        </w:rPr>
        <w:t xml:space="preserve">df = pd.read_csv("online_shoppers_intention.csv")   # 12,330 x 18</w:t>
      </w:r>
      <w:r>
        <w:br/>
      </w:r>
      <w:r>
        <w:rPr>
          <w:rStyle w:val="VerbatimChar"/>
        </w:rPr>
        <w:t xml:space="preserve">TARGET = "Revenue"</w:t>
      </w:r>
      <w:r>
        <w:br/>
      </w:r>
      <w:r>
        <w:rPr>
          <w:rStyle w:val="VerbatimChar"/>
        </w:rPr>
        <w:t xml:space="preserve">num = df.select_dtypes(include=[np.number]).columns.tolist()</w:t>
      </w:r>
    </w:p>
    <w:bookmarkEnd w:id="27"/>
    <w:bookmarkStart w:id="28" w:name="example-1-structure-before-statistics"/>
    <w:p>
      <w:pPr>
        <w:pStyle w:val="Heading3"/>
      </w:pPr>
      <w:r>
        <w:t xml:space="preserve">Example 1 — Structure before statistics</w:t>
      </w:r>
    </w:p>
    <w:p>
      <w:pPr>
        <w:pStyle w:val="FirstParagraph"/>
      </w:pPr>
      <w:r>
        <w:rPr>
          <w:i/>
          <w:iCs/>
        </w:rPr>
        <w:t xml:space="preserve">The first thing EDA does is establish what a row is and whether the types are right. A mean computed on a mistyped column is a wrong answer delivered confidently.</w:t>
      </w:r>
    </w:p>
    <w:p>
      <w:pPr>
        <w:pStyle w:val="SourceCode"/>
      </w:pPr>
      <w:r>
        <w:rPr>
          <w:rStyle w:val="VerbatimChar"/>
        </w:rPr>
        <w:t xml:space="preserve">print("shape:", df.shape, "-&gt; one row per browsing session")</w:t>
      </w:r>
      <w:r>
        <w:br/>
      </w:r>
      <w:r>
        <w:rPr>
          <w:rStyle w:val="VerbatimChar"/>
        </w:rPr>
        <w:t xml:space="preserve">print("\ndtypes and cardinality")</w:t>
      </w:r>
      <w:r>
        <w:br/>
      </w:r>
      <w:r>
        <w:rPr>
          <w:rStyle w:val="VerbatimChar"/>
        </w:rPr>
        <w:t xml:space="preserve">print(pd.DataFrame({"dtype": df.dtypes.astype(str),</w:t>
      </w:r>
      <w:r>
        <w:br/>
      </w:r>
      <w:r>
        <w:rPr>
          <w:rStyle w:val="VerbatimChar"/>
        </w:rPr>
        <w:t xml:space="preserve">                    "unique": df.nunique(),</w:t>
      </w:r>
      <w:r>
        <w:br/>
      </w:r>
      <w:r>
        <w:rPr>
          <w:rStyle w:val="VerbatimChar"/>
        </w:rPr>
        <w:t xml:space="preserve">                    "nulls": df.isna().sum()}).head(10).to_string())</w:t>
      </w:r>
      <w:r>
        <w:br/>
      </w:r>
      <w:r>
        <w:rPr>
          <w:rStyle w:val="VerbatimChar"/>
        </w:rPr>
        <w:t xml:space="preserve">print("\ntarget balance (%)")</w:t>
      </w:r>
      <w:r>
        <w:br/>
      </w:r>
      <w:r>
        <w:rPr>
          <w:rStyle w:val="VerbatimChar"/>
        </w:rPr>
        <w:t xml:space="preserve">print((df[TARGET].value_counts(normalize=True) * 100).round(2).to_string())</w:t>
      </w:r>
    </w:p>
    <w:p>
      <w:pPr>
        <w:pStyle w:val="FirstParagraph"/>
      </w:pPr>
      <w:r>
        <w:rPr>
          <w:b/>
          <w:bCs/>
        </w:rPr>
        <w:t xml:space="preserve">Output</w:t>
      </w:r>
    </w:p>
    <w:p>
      <w:pPr>
        <w:pStyle w:val="SourceCode"/>
      </w:pPr>
      <w:r>
        <w:rPr>
          <w:rStyle w:val="VerbatimChar"/>
        </w:rPr>
        <w:t xml:space="preserve">shape: (12330, 18) -&gt; one row per browsing session</w:t>
      </w:r>
      <w:r>
        <w:br/>
      </w:r>
      <w:r>
        <w:br/>
      </w:r>
      <w:r>
        <w:rPr>
          <w:rStyle w:val="VerbatimChar"/>
        </w:rPr>
        <w:t xml:space="preserve">dtypes and cardinality</w:t>
      </w:r>
      <w:r>
        <w:br/>
      </w:r>
      <w:r>
        <w:rPr>
          <w:rStyle w:val="VerbatimChar"/>
        </w:rPr>
        <w:t xml:space="preserve">                           dtype  unique  nulls</w:t>
      </w:r>
      <w:r>
        <w:br/>
      </w:r>
      <w:r>
        <w:rPr>
          <w:rStyle w:val="VerbatimChar"/>
        </w:rPr>
        <w:t xml:space="preserve">Administrative             int64      27      0</w:t>
      </w:r>
      <w:r>
        <w:br/>
      </w:r>
      <w:r>
        <w:rPr>
          <w:rStyle w:val="VerbatimChar"/>
        </w:rPr>
        <w:t xml:space="preserve">Administrative_Duration  float64    3335      0</w:t>
      </w:r>
      <w:r>
        <w:br/>
      </w:r>
      <w:r>
        <w:rPr>
          <w:rStyle w:val="VerbatimChar"/>
        </w:rPr>
        <w:t xml:space="preserve">Informational              int64      17      0</w:t>
      </w:r>
      <w:r>
        <w:br/>
      </w:r>
      <w:r>
        <w:rPr>
          <w:rStyle w:val="VerbatimChar"/>
        </w:rPr>
        <w:t xml:space="preserve">Informational_Duration   float64    1258      0</w:t>
      </w:r>
      <w:r>
        <w:br/>
      </w:r>
      <w:r>
        <w:rPr>
          <w:rStyle w:val="VerbatimChar"/>
        </w:rPr>
        <w:t xml:space="preserve">ProductRelated             int64     311      0</w:t>
      </w:r>
      <w:r>
        <w:br/>
      </w:r>
      <w:r>
        <w:rPr>
          <w:rStyle w:val="VerbatimChar"/>
        </w:rPr>
        <w:t xml:space="preserve">ProductRelated_Duration  float64    9551      0</w:t>
      </w:r>
      <w:r>
        <w:br/>
      </w:r>
      <w:r>
        <w:rPr>
          <w:rStyle w:val="VerbatimChar"/>
        </w:rPr>
        <w:t xml:space="preserve">BounceRates              float64    1872      0</w:t>
      </w:r>
      <w:r>
        <w:br/>
      </w:r>
      <w:r>
        <w:rPr>
          <w:rStyle w:val="VerbatimChar"/>
        </w:rPr>
        <w:t xml:space="preserve">ExitRates                float64    4777      0</w:t>
      </w:r>
      <w:r>
        <w:br/>
      </w:r>
      <w:r>
        <w:rPr>
          <w:rStyle w:val="VerbatimChar"/>
        </w:rPr>
        <w:t xml:space="preserve">PageValues               float64    2704      0</w:t>
      </w:r>
      <w:r>
        <w:br/>
      </w:r>
      <w:r>
        <w:rPr>
          <w:rStyle w:val="VerbatimChar"/>
        </w:rPr>
        <w:t xml:space="preserve">SpecialDay               float64       6      0</w:t>
      </w:r>
      <w:r>
        <w:br/>
      </w:r>
      <w:r>
        <w:br/>
      </w:r>
      <w:r>
        <w:rPr>
          <w:rStyle w:val="VerbatimChar"/>
        </w:rPr>
        <w:t xml:space="preserve">target balance (%)</w:t>
      </w:r>
      <w:r>
        <w:br/>
      </w:r>
      <w:r>
        <w:rPr>
          <w:rStyle w:val="VerbatimChar"/>
        </w:rPr>
        <w:t xml:space="preserve">Revenue</w:t>
      </w:r>
      <w:r>
        <w:br/>
      </w:r>
      <w:r>
        <w:rPr>
          <w:rStyle w:val="VerbatimChar"/>
        </w:rPr>
        <w:t xml:space="preserve">False   84.530</w:t>
      </w:r>
      <w:r>
        <w:br/>
      </w:r>
      <w:r>
        <w:rPr>
          <w:rStyle w:val="VerbatimChar"/>
        </w:rPr>
        <w:t xml:space="preserve">True    15.470</w:t>
      </w:r>
    </w:p>
    <w:bookmarkEnd w:id="28"/>
    <w:bookmarkStart w:id="29" w:name="X3bde8aaab9af893a9705c96b4b071dbd719f9cb"/>
    <w:p>
      <w:pPr>
        <w:pStyle w:val="Heading3"/>
      </w:pPr>
      <w:r>
        <w:t xml:space="preserve">Example 2 — Mean vs. median, and why robust statistics exist</w:t>
      </w:r>
    </w:p>
    <w:p>
      <w:pPr>
        <w:pStyle w:val="FirstParagraph"/>
      </w:pPr>
      <w:r>
        <w:rPr>
          <w:i/>
          <w:iCs/>
        </w:rPr>
        <w:t xml:space="preserve">The gap between mean and median is the diagnostic for skew. Where the gap is large the mean describes no typical session, and the median with the IQR must be reported instead.</w:t>
      </w:r>
    </w:p>
    <w:p>
      <w:pPr>
        <w:pStyle w:val="SourceCode"/>
      </w:pPr>
      <w:r>
        <w:rPr>
          <w:rStyle w:val="VerbatimChar"/>
        </w:rPr>
        <w:t xml:space="preserve">pos = pd.DataFrame({"mean": df[num].mean(), "median": df[num].median(),</w:t>
      </w:r>
      <w:r>
        <w:br/>
      </w:r>
      <w:r>
        <w:rPr>
          <w:rStyle w:val="VerbatimChar"/>
        </w:rPr>
        <w:t xml:space="preserve">                    "std": df[num].std(),</w:t>
      </w:r>
      <w:r>
        <w:br/>
      </w:r>
      <w:r>
        <w:rPr>
          <w:rStyle w:val="VerbatimChar"/>
        </w:rPr>
        <w:t xml:space="preserve">                    "IQR": df[num].quantile(.75) - df[num].quantile(.25),</w:t>
      </w:r>
      <w:r>
        <w:br/>
      </w:r>
      <w:r>
        <w:rPr>
          <w:rStyle w:val="VerbatimChar"/>
        </w:rPr>
        <w:t xml:space="preserve">                    "skew": df[num].skew()})</w:t>
      </w:r>
      <w:r>
        <w:br/>
      </w:r>
      <w:r>
        <w:rPr>
          <w:rStyle w:val="VerbatimChar"/>
        </w:rPr>
        <w:t xml:space="preserve">pos["mean-median"] = pos["mean"] - pos["median"]</w:t>
      </w:r>
      <w:r>
        <w:br/>
      </w:r>
      <w:r>
        <w:rPr>
          <w:rStyle w:val="VerbatimChar"/>
        </w:rPr>
        <w:t xml:space="preserve">print(pos.sort_values("skew", ascending=False).head(6).to_string())</w:t>
      </w:r>
      <w:r>
        <w:br/>
      </w:r>
      <w:r>
        <w:rPr>
          <w:rStyle w:val="VerbatimChar"/>
        </w:rPr>
        <w:t xml:space="preserve">print("\nRule: report mean with std, or median with IQR. Never mix the two.")</w:t>
      </w:r>
    </w:p>
    <w:p>
      <w:pPr>
        <w:pStyle w:val="FirstParagraph"/>
      </w:pPr>
      <w:r>
        <w:rPr>
          <w:b/>
          <w:bCs/>
        </w:rPr>
        <w:t xml:space="preserve">Output</w:t>
      </w:r>
    </w:p>
    <w:p>
      <w:pPr>
        <w:pStyle w:val="SourceCode"/>
      </w:pPr>
      <w:r>
        <w:rPr>
          <w:rStyle w:val="VerbatimChar"/>
        </w:rPr>
        <w:t xml:space="preserve">                             mean  median       std       IQR  skew  mean-median</w:t>
      </w:r>
      <w:r>
        <w:br/>
      </w:r>
      <w:r>
        <w:rPr>
          <w:rStyle w:val="VerbatimChar"/>
        </w:rPr>
        <w:t xml:space="preserve">Informational_Duration     34.472   0.000   140.749     0.000 7.579       34.472</w:t>
      </w:r>
      <w:r>
        <w:br/>
      </w:r>
      <w:r>
        <w:rPr>
          <w:rStyle w:val="VerbatimChar"/>
        </w:rPr>
        <w:t xml:space="preserve">ProductRelated_Duration 1,194.746 598.937 1,913.669 1,280.020 7.263      595.809</w:t>
      </w:r>
      <w:r>
        <w:br/>
      </w:r>
      <w:r>
        <w:rPr>
          <w:rStyle w:val="VerbatimChar"/>
        </w:rPr>
        <w:t xml:space="preserve">PageValues                  5.889   0.000    18.568     0.000 6.383        5.889</w:t>
      </w:r>
      <w:r>
        <w:br/>
      </w:r>
      <w:r>
        <w:rPr>
          <w:rStyle w:val="VerbatimChar"/>
        </w:rPr>
        <w:t xml:space="preserve">Administrative_Duration    80.819   7.500   176.779    93.256 5.616       73.319</w:t>
      </w:r>
      <w:r>
        <w:br/>
      </w:r>
      <w:r>
        <w:rPr>
          <w:rStyle w:val="VerbatimChar"/>
        </w:rPr>
        <w:t xml:space="preserve">ProductRelated             31.731  18.000    44.476    31.000 4.342       13.731</w:t>
      </w:r>
      <w:r>
        <w:br/>
      </w:r>
      <w:r>
        <w:rPr>
          <w:rStyle w:val="VerbatimChar"/>
        </w:rPr>
        <w:t xml:space="preserve">Informational               0.504   0.000     1.270     0.000 4.036        0.504</w:t>
      </w:r>
      <w:r>
        <w:br/>
      </w:r>
      <w:r>
        <w:br/>
      </w:r>
      <w:r>
        <w:rPr>
          <w:rStyle w:val="VerbatimChar"/>
        </w:rPr>
        <w:t xml:space="preserve">Rule: report mean with std, or median with IQR. Never mix the two.</w:t>
      </w:r>
    </w:p>
    <w:bookmarkEnd w:id="29"/>
    <w:bookmarkStart w:id="33" w:name="X5fe538c1d8802bed640e819f45475813dbbea20"/>
    <w:p>
      <w:pPr>
        <w:pStyle w:val="Heading3"/>
      </w:pPr>
      <w:r>
        <w:t xml:space="preserve">Example 3 — Skewness, kurtosis and a first look at outliers</w:t>
      </w:r>
    </w:p>
    <w:p>
      <w:pPr>
        <w:pStyle w:val="FirstParagraph"/>
      </w:pPr>
      <w:r>
        <w:rPr>
          <w:i/>
          <w:iCs/>
        </w:rPr>
        <w:t xml:space="preserve">Shape decides every later choice. Here the same variable is shown as a histogram and a boxplot: the histogram reveals the spike at zero, the boxplot reveals the tail.</w:t>
      </w:r>
    </w:p>
    <w:p>
      <w:pPr>
        <w:pStyle w:val="SourceCode"/>
      </w:pPr>
      <w:r>
        <w:rPr>
          <w:rStyle w:val="VerbatimChar"/>
        </w:rPr>
        <w:t xml:space="preserve">col = "ProductRelated_Duration"</w:t>
      </w:r>
      <w:r>
        <w:br/>
      </w:r>
      <w:r>
        <w:rPr>
          <w:rStyle w:val="VerbatimChar"/>
        </w:rPr>
        <w:t xml:space="preserve">s = df[col]</w:t>
      </w:r>
      <w:r>
        <w:br/>
      </w:r>
      <w:r>
        <w:rPr>
          <w:rStyle w:val="VerbatimChar"/>
        </w:rPr>
        <w:t xml:space="preserve">q1, q3 = s.quantile([.25, .75]); iqr = q3 - q1</w:t>
      </w:r>
      <w:r>
        <w:br/>
      </w:r>
      <w:r>
        <w:rPr>
          <w:rStyle w:val="VerbatimChar"/>
        </w:rPr>
        <w:t xml:space="preserve">flag = ((s &lt; q1 - 1.5*iqr) | (s &gt; q3 + 1.5*iqr))</w:t>
      </w:r>
      <w:r>
        <w:br/>
      </w:r>
      <w:r>
        <w:rPr>
          <w:rStyle w:val="VerbatimChar"/>
        </w:rPr>
        <w:t xml:space="preserve">print(f"{col}: skew {s.skew():.2f} | kurtosis {s.kurtosis():.2f} | "</w:t>
      </w:r>
      <w:r>
        <w:br/>
      </w:r>
      <w:r>
        <w:rPr>
          <w:rStyle w:val="VerbatimChar"/>
        </w:rPr>
        <w:t xml:space="preserve">      f"IQR-flagged {flag.sum():,} of {len(s):,} ({flag.mean()*100:.1f}%)")</w:t>
      </w:r>
      <w:r>
        <w:br/>
      </w:r>
      <w:r>
        <w:br/>
      </w:r>
      <w:r>
        <w:rPr>
          <w:rStyle w:val="VerbatimChar"/>
        </w:rPr>
        <w:t xml:space="preserve">fig, ax = plt.subplots(1, 2, figsize=(8.4, 2.6))</w:t>
      </w:r>
      <w:r>
        <w:br/>
      </w:r>
      <w:r>
        <w:rPr>
          <w:rStyle w:val="VerbatimChar"/>
        </w:rPr>
        <w:t xml:space="preserve">sns.histplot(s, bins=60, ax=ax[0], color="#3B6E8F"); ax[0].set_title("Histogram")</w:t>
      </w:r>
      <w:r>
        <w:br/>
      </w:r>
      <w:r>
        <w:rPr>
          <w:rStyle w:val="VerbatimChar"/>
        </w:rPr>
        <w:t xml:space="preserve">sns.boxplot(x=s, ax=ax[1], color="#3B6E8F"); ax[1].set_title("Boxplot")</w:t>
      </w:r>
      <w:r>
        <w:br/>
      </w:r>
      <w:r>
        <w:rPr>
          <w:rStyle w:val="VerbatimChar"/>
        </w:rPr>
        <w:t xml:space="preserve">plt.tight_layout()</w:t>
      </w:r>
    </w:p>
    <w:p>
      <w:pPr>
        <w:pStyle w:val="FirstParagraph"/>
      </w:pPr>
      <w:r>
        <w:rPr>
          <w:b/>
          <w:bCs/>
        </w:rPr>
        <w:t xml:space="preserve">Output</w:t>
      </w:r>
    </w:p>
    <w:p>
      <w:pPr>
        <w:pStyle w:val="SourceCode"/>
      </w:pPr>
      <w:r>
        <w:rPr>
          <w:rStyle w:val="VerbatimChar"/>
        </w:rPr>
        <w:t xml:space="preserve">ProductRelated_Duration: skew 7.26 | kurtosis 137.17 | IQR-flagged 961 of 12,330 (7.8%)</w:t>
      </w:r>
    </w:p>
    <w:p>
      <w:pPr>
        <w:pStyle w:val="FirstParagraph"/>
      </w:pPr>
      <w:r>
        <w:drawing>
          <wp:inline>
            <wp:extent cx="5334000" cy="1580764"/>
            <wp:effectExtent b="0" l="0" r="0" t="0"/>
            <wp:docPr descr="" title="" id="31" name="Picture"/>
            <a:graphic>
              <a:graphicData uri="http://schemas.openxmlformats.org/drawingml/2006/picture">
                <pic:pic>
                  <pic:nvPicPr>
                    <pic:cNvPr descr="figs/L1_2_3.png" id="32" name="Picture"/>
                    <pic:cNvPicPr>
                      <a:picLocks noChangeArrowheads="1" noChangeAspect="1"/>
                    </pic:cNvPicPr>
                  </pic:nvPicPr>
                  <pic:blipFill>
                    <a:blip r:embed="rId30"/>
                    <a:stretch>
                      <a:fillRect/>
                    </a:stretch>
                  </pic:blipFill>
                  <pic:spPr bwMode="auto">
                    <a:xfrm>
                      <a:off x="0" y="0"/>
                      <a:ext cx="5334000" cy="1580764"/>
                    </a:xfrm>
                    <a:prstGeom prst="rect">
                      <a:avLst/>
                    </a:prstGeom>
                    <a:noFill/>
                    <a:ln w="9525">
                      <a:noFill/>
                      <a:headEnd/>
                      <a:tailEnd/>
                    </a:ln>
                  </pic:spPr>
                </pic:pic>
              </a:graphicData>
            </a:graphic>
          </wp:inline>
        </w:drawing>
      </w:r>
    </w:p>
    <w:bookmarkEnd w:id="33"/>
    <w:bookmarkStart w:id="34" w:name="X7f0910d99e8e894d48b20c0c81626e76e2eb368"/>
    <w:p>
      <w:pPr>
        <w:pStyle w:val="Heading3"/>
      </w:pPr>
      <w:r>
        <w:t xml:space="preserve">Example 4 — Sampling frame — what the data cannot speak to</w:t>
      </w:r>
    </w:p>
    <w:p>
      <w:pPr>
        <w:pStyle w:val="FirstParagraph"/>
      </w:pPr>
      <w:r>
        <w:rPr>
          <w:i/>
          <w:iCs/>
        </w:rPr>
        <w:t xml:space="preserve">Exploratory findings are conditional on who is in the data. State the frame before you generalise; here two months of the year are simply absent.</w:t>
      </w:r>
    </w:p>
    <w:p>
      <w:pPr>
        <w:pStyle w:val="SourceCode"/>
      </w:pPr>
      <w:r>
        <w:rPr>
          <w:rStyle w:val="VerbatimChar"/>
        </w:rPr>
        <w:t xml:space="preserve">months = ["Jan","Feb","Mar","Apr","May","June","Jul","Aug","Sep","Oct","Nov","Dec"]</w:t>
      </w:r>
      <w:r>
        <w:br/>
      </w:r>
      <w:r>
        <w:rPr>
          <w:rStyle w:val="VerbatimChar"/>
        </w:rPr>
        <w:t xml:space="preserve">present = [m for m in months if m in df["Month"].unique()]</w:t>
      </w:r>
      <w:r>
        <w:br/>
      </w:r>
      <w:r>
        <w:rPr>
          <w:rStyle w:val="VerbatimChar"/>
        </w:rPr>
        <w:t xml:space="preserve">print("months present :", present)</w:t>
      </w:r>
      <w:r>
        <w:br/>
      </w:r>
      <w:r>
        <w:rPr>
          <w:rStyle w:val="VerbatimChar"/>
        </w:rPr>
        <w:t xml:space="preserve">print("months absent  :", [m for m in months if m not in present])</w:t>
      </w:r>
      <w:r>
        <w:br/>
      </w:r>
      <w:r>
        <w:rPr>
          <w:rStyle w:val="VerbatimChar"/>
        </w:rPr>
        <w:t xml:space="preserve">print("\nsessions per visitor type")</w:t>
      </w:r>
      <w:r>
        <w:br/>
      </w:r>
      <w:r>
        <w:rPr>
          <w:rStyle w:val="VerbatimChar"/>
        </w:rPr>
        <w:t xml:space="preserve">print(df["VisitorType"].value_counts().to_string())</w:t>
      </w:r>
      <w:r>
        <w:br/>
      </w:r>
      <w:r>
        <w:rPr>
          <w:rStyle w:val="VerbatimChar"/>
        </w:rPr>
        <w:t xml:space="preserve">print("\n-&gt; Claims apply to sessions on THIS site in THESE months. Nothing wider.")</w:t>
      </w:r>
    </w:p>
    <w:p>
      <w:pPr>
        <w:pStyle w:val="FirstParagraph"/>
      </w:pPr>
      <w:r>
        <w:rPr>
          <w:b/>
          <w:bCs/>
        </w:rPr>
        <w:t xml:space="preserve">Output</w:t>
      </w:r>
    </w:p>
    <w:p>
      <w:pPr>
        <w:pStyle w:val="SourceCode"/>
      </w:pPr>
      <w:r>
        <w:rPr>
          <w:rStyle w:val="VerbatimChar"/>
        </w:rPr>
        <w:t xml:space="preserve">months present : ['Feb', 'Mar', 'May', 'June', 'Jul', 'Aug', 'Sep', 'Oct', 'Nov', 'Dec']</w:t>
      </w:r>
      <w:r>
        <w:br/>
      </w:r>
      <w:r>
        <w:rPr>
          <w:rStyle w:val="VerbatimChar"/>
        </w:rPr>
        <w:t xml:space="preserve">months absent  : ['Jan', 'Apr']</w:t>
      </w:r>
      <w:r>
        <w:br/>
      </w:r>
      <w:r>
        <w:br/>
      </w:r>
      <w:r>
        <w:rPr>
          <w:rStyle w:val="VerbatimChar"/>
        </w:rPr>
        <w:t xml:space="preserve">sessions per visitor type</w:t>
      </w:r>
      <w:r>
        <w:br/>
      </w:r>
      <w:r>
        <w:rPr>
          <w:rStyle w:val="VerbatimChar"/>
        </w:rPr>
        <w:t xml:space="preserve">VisitorType</w:t>
      </w:r>
      <w:r>
        <w:br/>
      </w:r>
      <w:r>
        <w:rPr>
          <w:rStyle w:val="VerbatimChar"/>
        </w:rPr>
        <w:t xml:space="preserve">Returning_Visitor    10551</w:t>
      </w:r>
      <w:r>
        <w:br/>
      </w:r>
      <w:r>
        <w:rPr>
          <w:rStyle w:val="VerbatimChar"/>
        </w:rPr>
        <w:t xml:space="preserve">New_Visitor           1694</w:t>
      </w:r>
      <w:r>
        <w:br/>
      </w:r>
      <w:r>
        <w:rPr>
          <w:rStyle w:val="VerbatimChar"/>
        </w:rPr>
        <w:t xml:space="preserve">Other                   85</w:t>
      </w:r>
      <w:r>
        <w:br/>
      </w:r>
      <w:r>
        <w:br/>
      </w:r>
      <w:r>
        <w:rPr>
          <w:rStyle w:val="VerbatimChar"/>
        </w:rPr>
        <w:t xml:space="preserve">-&gt; Claims apply to sessions on THIS site in THESE months. Nothing wider.</w:t>
      </w:r>
    </w:p>
    <w:bookmarkEnd w:id="34"/>
    <w:bookmarkEnd w:id="35"/>
    <w:bookmarkStart w:id="36" w:name="key-terms"/>
    <w:p>
      <w:pPr>
        <w:pStyle w:val="Heading2"/>
      </w:pPr>
      <w:r>
        <w:t xml:space="preserve">Key terms</w:t>
      </w:r>
    </w:p>
    <w:p>
      <w:pPr>
        <w:pStyle w:val="FirstParagraph"/>
      </w:pPr>
      <w:r>
        <w:t xml:space="preserve">Exploratory data analysis · Confirmatory analysis · Sampling frame · Selection bias · Survivorship bias · Robust statistic · Skewness · Kurtosis · Interquartile range · Five-number summary</w:t>
      </w:r>
    </w:p>
    <w:bookmarkEnd w:id="36"/>
    <w:bookmarkStart w:id="37" w:name="common-errors-to-avoid"/>
    <w:p>
      <w:pPr>
        <w:pStyle w:val="Heading2"/>
      </w:pPr>
      <w:r>
        <w:t xml:space="preserve">Common errors to avoid</w:t>
      </w:r>
    </w:p>
    <w:p>
      <w:pPr>
        <w:pStyle w:val="Compact"/>
        <w:numPr>
          <w:ilvl w:val="0"/>
          <w:numId w:val="1008"/>
        </w:numPr>
      </w:pPr>
      <w:r>
        <w:t xml:space="preserve">Reporting a mean for a strongly skewed variable without also giving the median</w:t>
      </w:r>
    </w:p>
    <w:p>
      <w:pPr>
        <w:pStyle w:val="Compact"/>
        <w:numPr>
          <w:ilvl w:val="0"/>
          <w:numId w:val="1008"/>
        </w:numPr>
      </w:pPr>
      <w:r>
        <w:t xml:space="preserve">Pairing a mean with an IQR, or a median with a standard deviation</w:t>
      </w:r>
    </w:p>
    <w:p>
      <w:pPr>
        <w:pStyle w:val="Compact"/>
        <w:numPr>
          <w:ilvl w:val="0"/>
          <w:numId w:val="1008"/>
        </w:numPr>
      </w:pPr>
      <w:r>
        <w:t xml:space="preserve">Generalising beyond the sampling frame without saying so</w:t>
      </w:r>
    </w:p>
    <w:p>
      <w:pPr>
        <w:pStyle w:val="Compact"/>
        <w:numPr>
          <w:ilvl w:val="0"/>
          <w:numId w:val="1008"/>
        </w:numPr>
      </w:pPr>
      <w:r>
        <w:t xml:space="preserve">Treating flagged boxplot points as errors before investigating them</w:t>
      </w:r>
    </w:p>
    <w:bookmarkEnd w:id="37"/>
    <w:bookmarkStart w:id="38" w:name="readings-all-free-to-access"/>
    <w:p>
      <w:pPr>
        <w:pStyle w:val="Heading2"/>
      </w:pPr>
      <w:r>
        <w:t xml:space="preserve">Readings — all free to access</w:t>
      </w:r>
    </w:p>
    <w:p>
      <w:pPr>
        <w:pStyle w:val="Compact"/>
        <w:numPr>
          <w:ilvl w:val="0"/>
          <w:numId w:val="1009"/>
        </w:numPr>
      </w:pPr>
      <w:r>
        <w:t xml:space="preserve">NIST/SEMATECH e-Handbook — Ch.1 Exploratory Data Analysis</w:t>
      </w:r>
      <w:r>
        <w:br/>
      </w:r>
      <w:r>
        <w:rPr>
          <w:rStyle w:val="VerbatimChar"/>
        </w:rPr>
        <w:t xml:space="preserve">https://www.itl.nist.gov/div898/handbook/eda/eda.htm</w:t>
      </w:r>
    </w:p>
    <w:p>
      <w:pPr>
        <w:pStyle w:val="Compact"/>
        <w:numPr>
          <w:ilvl w:val="0"/>
          <w:numId w:val="1009"/>
        </w:numPr>
      </w:pPr>
      <w:r>
        <w:t xml:space="preserve">Downey — Think Stats, 2nd ed. (Ch. 1–4)</w:t>
      </w:r>
      <w:r>
        <w:br/>
      </w:r>
      <w:r>
        <w:rPr>
          <w:rStyle w:val="VerbatimChar"/>
        </w:rPr>
        <w:t xml:space="preserve">https://greenteapress.com/wp/think-stats-2e/</w:t>
      </w:r>
    </w:p>
    <w:p>
      <w:pPr>
        <w:pStyle w:val="Compact"/>
        <w:numPr>
          <w:ilvl w:val="0"/>
          <w:numId w:val="1009"/>
        </w:numPr>
      </w:pPr>
      <w:r>
        <w:t xml:space="preserve">Adhikari &amp; DeNero — Computational and Inferential Thinking</w:t>
      </w:r>
      <w:r>
        <w:br/>
      </w:r>
      <w:r>
        <w:rPr>
          <w:rStyle w:val="VerbatimChar"/>
        </w:rPr>
        <w:t xml:space="preserve">https://inferentialthinking.com/</w:t>
      </w:r>
    </w:p>
    <w:p>
      <w:pPr>
        <w:pStyle w:val="Compact"/>
        <w:numPr>
          <w:ilvl w:val="0"/>
          <w:numId w:val="1009"/>
        </w:numPr>
      </w:pPr>
      <w:r>
        <w:t xml:space="preserve">MIT OCW 6.0002 — sampling and statistical fallacies</w:t>
      </w:r>
      <w:r>
        <w:br/>
      </w:r>
      <w:r>
        <w:rPr>
          <w:rStyle w:val="VerbatimChar"/>
        </w:rPr>
        <w:t xml:space="preserve">https://ocw.mit.edu/courses/6-0002-introduction-to-computational-thinking-and-data-science-fall-2016/</w:t>
      </w:r>
    </w:p>
    <w:bookmarkEnd w:id="38"/>
    <w:bookmarkStart w:id="39" w:name="test-yourself"/>
    <w:p>
      <w:pPr>
        <w:pStyle w:val="Heading2"/>
      </w:pPr>
      <w:r>
        <w:t xml:space="preserve">Test yourself</w:t>
      </w:r>
    </w:p>
    <w:p>
      <w:pPr>
        <w:pStyle w:val="Compact"/>
        <w:numPr>
          <w:ilvl w:val="0"/>
          <w:numId w:val="1010"/>
        </w:numPr>
      </w:pPr>
      <w:r>
        <w:t xml:space="preserve">Give a variable for which the mode is the only meaningful measure of position.</w:t>
      </w:r>
    </w:p>
    <w:p>
      <w:pPr>
        <w:pStyle w:val="Compact"/>
        <w:numPr>
          <w:ilvl w:val="0"/>
          <w:numId w:val="1010"/>
        </w:numPr>
      </w:pPr>
      <w:r>
        <w:t xml:space="preserve">A dataset has mean 40 and median 12. Sketch the distribution and name the summary you would report.</w:t>
      </w:r>
    </w:p>
    <w:p>
      <w:pPr>
        <w:pStyle w:val="Compact"/>
        <w:numPr>
          <w:ilvl w:val="0"/>
          <w:numId w:val="1010"/>
        </w:numPr>
      </w:pPr>
      <w:r>
        <w:t xml:space="preserve">Why does increasing the sample size not fix selection bias?</w:t>
      </w:r>
    </w:p>
    <w:p>
      <w:pPr>
        <w:pStyle w:val="Compact"/>
        <w:numPr>
          <w:ilvl w:val="0"/>
          <w:numId w:val="1010"/>
        </w:numPr>
      </w:pPr>
      <w:r>
        <w:t xml:space="preserve">Q3 − Q2 = 5 and Q2 − Q1 = 18. Which way does the distribution lean?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L1-2 — The role of EDA, and robust statistics</dc:title>
  <dc:creator/>
  <cp:keywords/>
  <dcterms:created xsi:type="dcterms:W3CDTF">2026-07-30T10:02:08Z</dcterms:created>
  <dcterms:modified xsi:type="dcterms:W3CDTF">2026-07-30T10:02:08Z</dcterms:modified>
</cp:coreProperties>
</file>

<file path=docProps/custom.xml><?xml version="1.0" encoding="utf-8"?>
<Properties xmlns="http://schemas.openxmlformats.org/officeDocument/2006/custom-properties" xmlns:vt="http://schemas.openxmlformats.org/officeDocument/2006/docPropsVTypes"/>
</file>