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4.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L7-8 — Univariate EDA</w:t>
      </w:r>
    </w:p>
    <w:bookmarkStart w:id="43" w:name="l7-8-univariate-eda"/>
    <w:p>
      <w:pPr>
        <w:pStyle w:val="Heading1"/>
      </w:pPr>
      <w:r>
        <w:t xml:space="preserve">L7-8  —  Univariate EDA</w:t>
      </w:r>
    </w:p>
    <w:p>
      <w:pPr>
        <w:pStyle w:val="FirstParagraph"/>
      </w:pPr>
      <w:r>
        <w:rPr>
          <w:b/>
          <w:bCs/>
        </w:rPr>
        <w:t xml:space="preserve">DATA209 · Advanced Exploratory Data Analysis</w:t>
      </w:r>
      <w:r>
        <w:br/>
      </w:r>
      <w:r>
        <w:t xml:space="preserve">Vidyashilp University · School of Engineering and Technology</w:t>
      </w:r>
      <w:r>
        <w:br/>
      </w:r>
      <w:r>
        <w:t xml:space="preserve">BTech Hons. (Data Science), Semester III</w:t>
      </w:r>
    </w:p>
    <w:p>
      <w:pPr>
        <w:pStyle w:val="BodyText"/>
      </w:pPr>
      <w:r>
        <w:rPr>
          <w:b/>
          <w:bCs/>
        </w:rPr>
        <w:t xml:space="preserve">Week 4</w:t>
      </w:r>
      <w:r>
        <w:t xml:space="preserve"> </w:t>
      </w:r>
      <w:r>
        <w:t xml:space="preserve"> | </w:t>
      </w:r>
      <w:r>
        <w:t xml:space="preserve"> </w:t>
      </w:r>
      <w:r>
        <w:rPr>
          <w:b/>
          <w:bCs/>
        </w:rPr>
        <w:t xml:space="preserve">Module 2</w:t>
      </w:r>
      <w:r>
        <w:t xml:space="preserve"> </w:t>
      </w:r>
      <w:r>
        <w:t xml:space="preserve">—</w:t>
      </w:r>
      <w:r>
        <w:t xml:space="preserve"> </w:t>
      </w:r>
      <w:r>
        <w:t xml:space="preserve">Core Advanced EDA  | </w:t>
      </w:r>
      <w:r>
        <w:t xml:space="preserve"> </w:t>
      </w:r>
      <w:r>
        <w:rPr>
          <w:b/>
          <w:bCs/>
        </w:rPr>
        <w:t xml:space="preserve">Outcome CO2</w:t>
      </w:r>
      <w:r>
        <w:br/>
      </w:r>
      <w:r>
        <w:t xml:space="preserve">Slides: DATA209_Module_2_Core_Advanced_EDA.pptx, pages 3–10  | </w:t>
      </w:r>
      <w:r>
        <w:t xml:space="preserve"> </w:t>
      </w:r>
      <w:r>
        <w:t xml:space="preserve">Laboratory: P7-8</w:t>
      </w:r>
    </w:p>
    <w:p>
      <w:r>
        <w:pict>
          <v:rect style="width:0;height:1.5pt" o:hralign="center" o:hrstd="t" o:hr="t"/>
        </w:pict>
      </w:r>
    </w:p>
    <w:bookmarkStart w:id="20" w:name="topics-covered"/>
    <w:p>
      <w:pPr>
        <w:pStyle w:val="Heading2"/>
      </w:pPr>
      <w:r>
        <w:t xml:space="preserve">Topics covered</w:t>
      </w:r>
    </w:p>
    <w:p>
      <w:pPr>
        <w:pStyle w:val="Compact"/>
        <w:numPr>
          <w:ilvl w:val="0"/>
          <w:numId w:val="1001"/>
        </w:numPr>
      </w:pPr>
      <w:r>
        <w:t xml:space="preserve">Numerical variables: boxplot, density, distribution comparison</w:t>
      </w:r>
    </w:p>
    <w:p>
      <w:pPr>
        <w:pStyle w:val="Compact"/>
        <w:numPr>
          <w:ilvl w:val="0"/>
          <w:numId w:val="1001"/>
        </w:numPr>
      </w:pPr>
      <w:r>
        <w:t xml:space="preserve">Categorical variables: frequency tables, bar plots</w:t>
      </w:r>
    </w:p>
    <w:p>
      <w:pPr>
        <w:pStyle w:val="Compact"/>
        <w:numPr>
          <w:ilvl w:val="0"/>
          <w:numId w:val="1001"/>
        </w:numPr>
      </w:pPr>
      <w:r>
        <w:t xml:space="preserve">Detecting skewness and anomalies</w:t>
      </w:r>
    </w:p>
    <w:bookmarkEnd w:id="20"/>
    <w:bookmarkStart w:id="26" w:name="notes"/>
    <w:p>
      <w:pPr>
        <w:pStyle w:val="Heading2"/>
      </w:pPr>
      <w:r>
        <w:t xml:space="preserve">Notes</w:t>
      </w:r>
    </w:p>
    <w:bookmarkStart w:id="21" w:name="two-families-used-in-order"/>
    <w:p>
      <w:pPr>
        <w:pStyle w:val="Heading5"/>
      </w:pPr>
      <w:r>
        <w:t xml:space="preserve">Two families, used in order</w:t>
      </w:r>
    </w:p>
    <w:p>
      <w:pPr>
        <w:pStyle w:val="FirstParagraph"/>
      </w:pPr>
      <w:r>
        <w:rPr>
          <w:b/>
          <w:bCs/>
        </w:rPr>
        <w:t xml:space="preserve">Non-graphical</w:t>
      </w:r>
      <w:r>
        <w:t xml:space="preserve"> </w:t>
      </w:r>
      <w:r>
        <w:t xml:space="preserve">technique produces numerical summaries — quantiles, moments, frequency and contingency tables, correlation matrices. It is precise, reproducible and easy to tabulate, and it is blind to shape. Anscombe's quartet is four datasets sharing means, variances and correlation coefficients while looking completely different.</w:t>
      </w:r>
    </w:p>
    <w:p>
      <w:pPr>
        <w:pStyle w:val="BodyText"/>
      </w:pPr>
      <w:r>
        <w:rPr>
          <w:b/>
          <w:bCs/>
        </w:rPr>
        <w:t xml:space="preserve">Graphical</w:t>
      </w:r>
      <w:r>
        <w:t xml:space="preserve"> </w:t>
      </w:r>
      <w:r>
        <w:t xml:space="preserve">technique reveals shape, gaps, clusters and outliers instantly, and is sensitive to choices you make — bin width, axis limits, smoothing bandwidth.</w:t>
      </w:r>
    </w:p>
    <w:p>
      <w:pPr>
        <w:pStyle w:val="BodyText"/>
      </w:pPr>
      <w:r>
        <w:t xml:space="preserve">Use both, in this order: compute the summary, plot it, then reconcile the two when they disagree.</w:t>
      </w:r>
    </w:p>
    <w:bookmarkEnd w:id="21"/>
    <w:bookmarkStart w:id="22" w:name="the-four-questions"/>
    <w:p>
      <w:pPr>
        <w:pStyle w:val="Heading5"/>
      </w:pPr>
      <w:r>
        <w:t xml:space="preserve">The four questions</w:t>
      </w:r>
    </w:p>
    <w:p>
      <w:pPr>
        <w:pStyle w:val="FirstParagraph"/>
      </w:pPr>
      <w:r>
        <w:t xml:space="preserve">Answer all four for every column before looking at a single relationship.</w:t>
      </w:r>
    </w:p>
    <w:p>
      <w:pPr>
        <w:pStyle w:val="Compact"/>
        <w:numPr>
          <w:ilvl w:val="0"/>
          <w:numId w:val="1002"/>
        </w:numPr>
      </w:pPr>
      <w:r>
        <w:rPr>
          <w:b/>
          <w:bCs/>
        </w:rPr>
        <w:t xml:space="preserve">What is the centre?</w:t>
      </w:r>
      <w:r>
        <w:t xml:space="preserve"> </w:t>
      </w:r>
      <w:r>
        <w:t xml:space="preserve">Mean or median, whichever the skew justifies. State which you used.</w:t>
      </w:r>
    </w:p>
    <w:p>
      <w:pPr>
        <w:pStyle w:val="Compact"/>
        <w:numPr>
          <w:ilvl w:val="0"/>
          <w:numId w:val="1002"/>
        </w:numPr>
      </w:pPr>
      <w:r>
        <w:rPr>
          <w:b/>
          <w:bCs/>
        </w:rPr>
        <w:t xml:space="preserve">What is the spread?</w:t>
      </w:r>
      <w:r>
        <w:t xml:space="preserve"> </w:t>
      </w:r>
      <w:r>
        <w:t xml:space="preserve">Standard deviation or IQR, plus the range — which exposes impossible values.</w:t>
      </w:r>
    </w:p>
    <w:p>
      <w:pPr>
        <w:pStyle w:val="Compact"/>
        <w:numPr>
          <w:ilvl w:val="0"/>
          <w:numId w:val="1002"/>
        </w:numPr>
      </w:pPr>
      <w:r>
        <w:rPr>
          <w:b/>
          <w:bCs/>
        </w:rPr>
        <w:t xml:space="preserve">What is the shape?</w:t>
      </w:r>
      <w:r>
        <w:t xml:space="preserve"> </w:t>
      </w:r>
      <w:r>
        <w:t xml:space="preserve">Symmetric, skewed, bimodal, uniform, zero-inflated. This decides everything downstream.</w:t>
      </w:r>
    </w:p>
    <w:p>
      <w:pPr>
        <w:pStyle w:val="Compact"/>
        <w:numPr>
          <w:ilvl w:val="0"/>
          <w:numId w:val="1002"/>
        </w:numPr>
      </w:pPr>
      <w:r>
        <w:rPr>
          <w:b/>
          <w:bCs/>
        </w:rPr>
        <w:t xml:space="preserve">What is unusual?</w:t>
      </w:r>
      <w:r>
        <w:t xml:space="preserve"> </w:t>
      </w:r>
      <w:r>
        <w:t xml:space="preserve">Outliers, gaps, spikes at round numbers, impossible values.</w:t>
      </w:r>
    </w:p>
    <w:bookmarkEnd w:id="22"/>
    <w:bookmarkStart w:id="23" w:name="choosing-a-distribution-plot"/>
    <w:p>
      <w:pPr>
        <w:pStyle w:val="Heading5"/>
      </w:pPr>
      <w:r>
        <w:t xml:space="preserve">Choosing a distribution plot</w:t>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jc w:val="left"/>
            </w:pPr>
            <w:r>
              <w:t xml:space="preserve">Plot</w:t>
            </w:r>
          </w:p>
        </w:tc>
        <w:tc>
          <w:tcPr/>
          <w:p>
            <w:pPr>
              <w:pStyle w:val="Compact"/>
              <w:jc w:val="left"/>
            </w:pPr>
            <w:r>
              <w:t xml:space="preserve">Shows</w:t>
            </w:r>
          </w:p>
        </w:tc>
        <w:tc>
          <w:tcPr/>
          <w:p>
            <w:pPr>
              <w:pStyle w:val="Compact"/>
              <w:jc w:val="left"/>
            </w:pPr>
            <w:r>
              <w:t xml:space="preserve">Weakness</w:t>
            </w:r>
          </w:p>
        </w:tc>
      </w:tr>
      <w:tr>
        <w:tc>
          <w:tcPr/>
          <w:p>
            <w:pPr>
              <w:pStyle w:val="Compact"/>
              <w:jc w:val="left"/>
            </w:pPr>
            <w:r>
              <w:t xml:space="preserve">Histogram</w:t>
            </w:r>
          </w:p>
        </w:tc>
        <w:tc>
          <w:tcPr/>
          <w:p>
            <w:pPr>
              <w:pStyle w:val="Compact"/>
              <w:jc w:val="left"/>
            </w:pPr>
            <w:r>
              <w:t xml:space="preserve">frequency per bin</w:t>
            </w:r>
          </w:p>
        </w:tc>
        <w:tc>
          <w:tcPr/>
          <w:p>
            <w:pPr>
              <w:pStyle w:val="Compact"/>
              <w:jc w:val="left"/>
            </w:pPr>
            <w:r>
              <w:t xml:space="preserve">bin width changes the story</w:t>
            </w:r>
          </w:p>
        </w:tc>
      </w:tr>
      <w:tr>
        <w:tc>
          <w:tcPr/>
          <w:p>
            <w:pPr>
              <w:pStyle w:val="Compact"/>
              <w:jc w:val="left"/>
            </w:pPr>
            <w:r>
              <w:t xml:space="preserve">Density (KDE)</w:t>
            </w:r>
          </w:p>
        </w:tc>
        <w:tc>
          <w:tcPr/>
          <w:p>
            <w:pPr>
              <w:pStyle w:val="Compact"/>
              <w:jc w:val="left"/>
            </w:pPr>
            <w:r>
              <w:t xml:space="preserve">smoothed shape</w:t>
            </w:r>
          </w:p>
        </w:tc>
        <w:tc>
          <w:tcPr/>
          <w:p>
            <w:pPr>
              <w:pStyle w:val="Compact"/>
              <w:jc w:val="left"/>
            </w:pPr>
            <w:r>
              <w:t xml:space="preserve">bandwidth invents smoothness; spills past data limits</w:t>
            </w:r>
          </w:p>
        </w:tc>
      </w:tr>
      <w:tr>
        <w:tc>
          <w:tcPr/>
          <w:p>
            <w:pPr>
              <w:pStyle w:val="Compact"/>
              <w:jc w:val="left"/>
            </w:pPr>
            <w:r>
              <w:t xml:space="preserve">Boxplot</w:t>
            </w:r>
          </w:p>
        </w:tc>
        <w:tc>
          <w:tcPr/>
          <w:p>
            <w:pPr>
              <w:pStyle w:val="Compact"/>
              <w:jc w:val="left"/>
            </w:pPr>
            <w:r>
              <w:t xml:space="preserve">five-number summary</w:t>
            </w:r>
          </w:p>
        </w:tc>
        <w:tc>
          <w:tcPr/>
          <w:p>
            <w:pPr>
              <w:pStyle w:val="Compact"/>
              <w:jc w:val="left"/>
            </w:pPr>
            <w:r>
              <w:t xml:space="preserve">hides multimodality completely</w:t>
            </w:r>
          </w:p>
        </w:tc>
      </w:tr>
      <w:tr>
        <w:tc>
          <w:tcPr/>
          <w:p>
            <w:pPr>
              <w:pStyle w:val="Compact"/>
              <w:jc w:val="left"/>
            </w:pPr>
            <w:r>
              <w:t xml:space="preserve">Violin</w:t>
            </w:r>
          </w:p>
        </w:tc>
        <w:tc>
          <w:tcPr/>
          <w:p>
            <w:pPr>
              <w:pStyle w:val="Compact"/>
              <w:jc w:val="left"/>
            </w:pPr>
            <w:r>
              <w:t xml:space="preserve">density plus summary</w:t>
            </w:r>
          </w:p>
        </w:tc>
        <w:tc>
          <w:tcPr/>
          <w:p>
            <w:pPr>
              <w:pStyle w:val="Compact"/>
              <w:jc w:val="left"/>
            </w:pPr>
            <w:r>
              <w:t xml:space="preserve">cluttered with many groups</w:t>
            </w:r>
          </w:p>
        </w:tc>
      </w:tr>
      <w:tr>
        <w:tc>
          <w:tcPr/>
          <w:p>
            <w:pPr>
              <w:pStyle w:val="Compact"/>
              <w:jc w:val="left"/>
            </w:pPr>
            <w:r>
              <w:t xml:space="preserve">ECDF</w:t>
            </w:r>
          </w:p>
        </w:tc>
        <w:tc>
          <w:tcPr/>
          <w:p>
            <w:pPr>
              <w:pStyle w:val="Compact"/>
              <w:jc w:val="left"/>
            </w:pPr>
            <w:r>
              <w:t xml:space="preserve">cumulative proportion</w:t>
            </w:r>
          </w:p>
        </w:tc>
        <w:tc>
          <w:tcPr/>
          <w:p>
            <w:pPr>
              <w:pStyle w:val="Compact"/>
              <w:jc w:val="left"/>
            </w:pPr>
            <w:r>
              <w:t xml:space="preserve">less intuitive to a general audience</w:t>
            </w:r>
          </w:p>
        </w:tc>
      </w:tr>
    </w:tbl>
    <w:p>
      <w:pPr>
        <w:pStyle w:val="BodyText"/>
      </w:pPr>
      <w:r>
        <w:t xml:space="preserve">Default to histogram plus boxplot. Add a density overlay when comparing groups; reach for the ECDF when bin width is contested, since it requires no binning choice at all.</w:t>
      </w:r>
    </w:p>
    <w:bookmarkEnd w:id="23"/>
    <w:bookmarkStart w:id="24" w:name="reading-anomalies-off-a-plot"/>
    <w:p>
      <w:pPr>
        <w:pStyle w:val="Heading5"/>
      </w:pPr>
      <w:r>
        <w:t xml:space="preserve">Reading anomalies off a plot</w:t>
      </w:r>
    </w:p>
    <w:p>
      <w:pPr>
        <w:pStyle w:val="Compact"/>
        <w:numPr>
          <w:ilvl w:val="0"/>
          <w:numId w:val="1003"/>
        </w:numPr>
      </w:pPr>
      <w:r>
        <w:t xml:space="preserve">A</w:t>
      </w:r>
      <w:r>
        <w:t xml:space="preserve"> </w:t>
      </w:r>
      <w:r>
        <w:rPr>
          <w:b/>
          <w:bCs/>
        </w:rPr>
        <w:t xml:space="preserve">spike at exactly zero</w:t>
      </w:r>
      <w:r>
        <w:t xml:space="preserve"> </w:t>
      </w:r>
      <w:r>
        <w:t xml:space="preserve">usually means "not recorded", not "measured as zero".</w:t>
      </w:r>
    </w:p>
    <w:p>
      <w:pPr>
        <w:pStyle w:val="Compact"/>
        <w:numPr>
          <w:ilvl w:val="0"/>
          <w:numId w:val="1003"/>
        </w:numPr>
      </w:pPr>
      <w:r>
        <w:rPr>
          <w:b/>
          <w:bCs/>
        </w:rPr>
        <w:t xml:space="preserve">Two humps</w:t>
      </w:r>
      <w:r>
        <w:t xml:space="preserve"> </w:t>
      </w:r>
      <w:r>
        <w:t xml:space="preserve">mean two populations are mixed — find the variable that separates them.</w:t>
      </w:r>
    </w:p>
    <w:p>
      <w:pPr>
        <w:pStyle w:val="Compact"/>
        <w:numPr>
          <w:ilvl w:val="0"/>
          <w:numId w:val="1003"/>
        </w:numPr>
      </w:pPr>
      <w:r>
        <w:t xml:space="preserve">A</w:t>
      </w:r>
      <w:r>
        <w:t xml:space="preserve"> </w:t>
      </w:r>
      <w:r>
        <w:rPr>
          <w:b/>
          <w:bCs/>
        </w:rPr>
        <w:t xml:space="preserve">hard wall</w:t>
      </w:r>
      <w:r>
        <w:t xml:space="preserve"> </w:t>
      </w:r>
      <w:r>
        <w:t xml:space="preserve">at a round number suggests a cap, truncation or data-entry limit.</w:t>
      </w:r>
    </w:p>
    <w:p>
      <w:pPr>
        <w:pStyle w:val="Compact"/>
        <w:numPr>
          <w:ilvl w:val="0"/>
          <w:numId w:val="1003"/>
        </w:numPr>
      </w:pPr>
      <w:r>
        <w:rPr>
          <w:b/>
          <w:bCs/>
        </w:rPr>
        <w:t xml:space="preserve">Spikes at multiples of 5 or 10</w:t>
      </w:r>
      <w:r>
        <w:t xml:space="preserve"> </w:t>
      </w:r>
      <w:r>
        <w:t xml:space="preserve">indicate self-reported or rounded data.</w:t>
      </w:r>
    </w:p>
    <w:p>
      <w:pPr>
        <w:pStyle w:val="Compact"/>
        <w:numPr>
          <w:ilvl w:val="0"/>
          <w:numId w:val="1003"/>
        </w:numPr>
      </w:pPr>
      <w:r>
        <w:t xml:space="preserve">A</w:t>
      </w:r>
      <w:r>
        <w:t xml:space="preserve"> </w:t>
      </w:r>
      <w:r>
        <w:rPr>
          <w:b/>
          <w:bCs/>
        </w:rPr>
        <w:t xml:space="preserve">long thin tail</w:t>
      </w:r>
      <w:r>
        <w:t xml:space="preserve"> </w:t>
      </w:r>
      <w:r>
        <w:t xml:space="preserve">is skew;</w:t>
      </w:r>
      <w:r>
        <w:t xml:space="preserve"> </w:t>
      </w:r>
      <w:r>
        <w:rPr>
          <w:b/>
          <w:bCs/>
        </w:rPr>
        <w:t xml:space="preserve">isolated far points</w:t>
      </w:r>
      <w:r>
        <w:t xml:space="preserve"> </w:t>
      </w:r>
      <w:r>
        <w:t xml:space="preserve">are candidate outliers. Different problems.</w:t>
      </w:r>
    </w:p>
    <w:p>
      <w:pPr>
        <w:pStyle w:val="FirstParagraph"/>
      </w:pPr>
      <w:r>
        <w:t xml:space="preserve">In</w:t>
      </w:r>
      <w:r>
        <w:t xml:space="preserve"> </w:t>
      </w:r>
      <w:r>
        <w:rPr>
          <w:rStyle w:val="VerbatimChar"/>
        </w:rPr>
        <w:t xml:space="preserve">pima.csv</w:t>
      </w:r>
      <w:r>
        <w:t xml:space="preserve"> </w:t>
      </w:r>
      <w:r>
        <w:t xml:space="preserve">this reading finds 374 zeros in Insulin and 227 in SkinThickness — every one a disguised missing value that</w:t>
      </w:r>
      <w:r>
        <w:t xml:space="preserve"> </w:t>
      </w:r>
      <w:r>
        <w:rPr>
          <w:rStyle w:val="VerbatimChar"/>
        </w:rPr>
        <w:t xml:space="preserve">isna()</w:t>
      </w:r>
      <w:r>
        <w:t xml:space="preserve"> </w:t>
      </w:r>
      <w:r>
        <w:t xml:space="preserve">cannot see. Module 3 treats them; Module 2 finds them.</w:t>
      </w:r>
    </w:p>
    <w:bookmarkEnd w:id="24"/>
    <w:bookmarkStart w:id="25" w:name="categorical-univariate"/>
    <w:p>
      <w:pPr>
        <w:pStyle w:val="Heading5"/>
      </w:pPr>
      <w:r>
        <w:t xml:space="preserve">Categorical univariate</w:t>
      </w:r>
    </w:p>
    <w:p>
      <w:pPr>
        <w:pStyle w:val="FirstParagraph"/>
      </w:pPr>
      <w:r>
        <w:t xml:space="preserve">Frequency tables with counts</w:t>
      </w:r>
      <w:r>
        <w:t xml:space="preserve"> </w:t>
      </w:r>
      <w:r>
        <w:rPr>
          <w:i/>
          <w:iCs/>
        </w:rPr>
        <w:t xml:space="preserve">and</w:t>
      </w:r>
      <w:r>
        <w:t xml:space="preserve"> </w:t>
      </w:r>
      <w:r>
        <w:t xml:space="preserve">proportions. Check cardinality (5 levels is a bar plot, 500 is a grouping problem) and imbalance. The shoppers</w:t>
      </w:r>
      <w:r>
        <w:t xml:space="preserve"> </w:t>
      </w:r>
      <w:r>
        <w:rPr>
          <w:rStyle w:val="VerbatimChar"/>
        </w:rPr>
        <w:t xml:space="preserve">Revenue</w:t>
      </w:r>
      <w:r>
        <w:t xml:space="preserve"> </w:t>
      </w:r>
      <w:r>
        <w:t xml:space="preserve">flag is roughly 84.5% / 15.5%; the Pima outcome is 65% / 35%. Record this now — imbalance discovered here changes your sampling and evaluation strategy in Module 4, where a model predicting "never" would score 84.5% accuracy.</w:t>
      </w:r>
    </w:p>
    <w:bookmarkEnd w:id="25"/>
    <w:bookmarkEnd w:id="26"/>
    <w:bookmarkStart w:id="38" w:name="worked-examples"/>
    <w:p>
      <w:pPr>
        <w:pStyle w:val="Heading2"/>
      </w:pPr>
      <w:r>
        <w:t xml:space="preserve">Worked examples</w:t>
      </w:r>
    </w:p>
    <w:p>
      <w:pPr>
        <w:pStyle w:val="FirstParagraph"/>
      </w:pPr>
      <w:r>
        <w:t xml:space="preserve">Every example below was executed against the course datasets; the output shown is the real result, not an illustration. The primary dataset is</w:t>
      </w:r>
      <w:r>
        <w:t xml:space="preserve"> </w:t>
      </w:r>
      <w:r>
        <w:rPr>
          <w:b/>
          <w:bCs/>
        </w:rPr>
        <w:t xml:space="preserve">Online Shoppers Purchasing Intention</w:t>
      </w:r>
      <w:r>
        <w:t xml:space="preserve"> </w:t>
      </w:r>
      <w:r>
        <w:t xml:space="preserve">(12,330 sessions × 18 columns, UCI). Run the setup block once, then any example.</w:t>
      </w:r>
    </w:p>
    <w:bookmarkStart w:id="27" w:name="setup-run-this-first"/>
    <w:p>
      <w:pPr>
        <w:pStyle w:val="Heading3"/>
      </w:pPr>
      <w:r>
        <w:t xml:space="preserve">Setup — run this first</w:t>
      </w:r>
    </w:p>
    <w:p>
      <w:pPr>
        <w:pStyle w:val="SourceCode"/>
      </w:pPr>
      <w:r>
        <w:rPr>
          <w:rStyle w:val="VerbatimChar"/>
        </w:rPr>
        <w:t xml:space="preserve">import warnings; warnings.filterwarnings("ignore")</w:t>
      </w:r>
      <w:r>
        <w:br/>
      </w:r>
      <w:r>
        <w:rPr>
          <w:rStyle w:val="VerbatimChar"/>
        </w:rPr>
        <w:t xml:space="preserve">import numpy as np, pandas as pd</w:t>
      </w:r>
      <w:r>
        <w:br/>
      </w:r>
      <w:r>
        <w:rPr>
          <w:rStyle w:val="VerbatimChar"/>
        </w:rPr>
        <w:t xml:space="preserve">import matplotlib.pyplot as plt, seaborn as sns</w:t>
      </w:r>
      <w:r>
        <w:br/>
      </w:r>
      <w:r>
        <w:br/>
      </w:r>
      <w:r>
        <w:rPr>
          <w:rStyle w:val="VerbatimChar"/>
        </w:rPr>
        <w:t xml:space="preserve">pd.set_option("display.width", 108)</w:t>
      </w:r>
      <w:r>
        <w:br/>
      </w:r>
      <w:r>
        <w:rPr>
          <w:rStyle w:val="VerbatimChar"/>
        </w:rPr>
        <w:t xml:space="preserve">pd.set_option("display.float_format", lambda v: f"{v:,.3f}")</w:t>
      </w:r>
      <w:r>
        <w:br/>
      </w:r>
      <w:r>
        <w:rPr>
          <w:rStyle w:val="VerbatimChar"/>
        </w:rPr>
        <w:t xml:space="preserve">sns.set_theme(style="whitegrid")</w:t>
      </w:r>
      <w:r>
        <w:br/>
      </w:r>
      <w:r>
        <w:rPr>
          <w:rStyle w:val="VerbatimChar"/>
        </w:rPr>
        <w:t xml:space="preserve">RANDOM_STATE = 42</w:t>
      </w:r>
      <w:r>
        <w:br/>
      </w:r>
      <w:r>
        <w:rPr>
          <w:rStyle w:val="VerbatimChar"/>
        </w:rPr>
        <w:t xml:space="preserve">np.random.seed(RANDOM_STATE)</w:t>
      </w:r>
      <w:r>
        <w:br/>
      </w:r>
      <w:r>
        <w:br/>
      </w:r>
      <w:r>
        <w:rPr>
          <w:rStyle w:val="VerbatimChar"/>
        </w:rPr>
        <w:t xml:space="preserve">df = pd.read_csv("online_shoppers_intention.csv")   # 12,330 x 18</w:t>
      </w:r>
      <w:r>
        <w:br/>
      </w:r>
      <w:r>
        <w:rPr>
          <w:rStyle w:val="VerbatimChar"/>
        </w:rPr>
        <w:t xml:space="preserve">TARGET = "Revenue"</w:t>
      </w:r>
      <w:r>
        <w:br/>
      </w:r>
      <w:r>
        <w:rPr>
          <w:rStyle w:val="VerbatimChar"/>
        </w:rPr>
        <w:t xml:space="preserve">num = df.select_dtypes(include=[np.number]).columns.tolist()</w:t>
      </w:r>
    </w:p>
    <w:bookmarkEnd w:id="27"/>
    <w:bookmarkStart w:id="28" w:name="example-1-a-reusable-univariate-sweep"/>
    <w:p>
      <w:pPr>
        <w:pStyle w:val="Heading3"/>
      </w:pPr>
      <w:r>
        <w:t xml:space="preserve">Example 1 — A reusable univariate sweep</w:t>
      </w:r>
    </w:p>
    <w:p>
      <w:pPr>
        <w:pStyle w:val="FirstParagraph"/>
      </w:pPr>
      <w:r>
        <w:rPr>
          <w:i/>
          <w:iCs/>
        </w:rPr>
        <w:t xml:space="preserve">Centre, spread, shape and anomalies for every column, in one table. Write it once and reuse it in every project, including the final one.</w:t>
      </w:r>
    </w:p>
    <w:p>
      <w:pPr>
        <w:pStyle w:val="SourceCode"/>
      </w:pPr>
      <w:r>
        <w:rPr>
          <w:rStyle w:val="VerbatimChar"/>
        </w:rPr>
        <w:t xml:space="preserve">def sweep(frame, cols):</w:t>
      </w:r>
      <w:r>
        <w:br/>
      </w:r>
      <w:r>
        <w:rPr>
          <w:rStyle w:val="VerbatimChar"/>
        </w:rPr>
        <w:t xml:space="preserve">    out = []</w:t>
      </w:r>
      <w:r>
        <w:br/>
      </w:r>
      <w:r>
        <w:rPr>
          <w:rStyle w:val="VerbatimChar"/>
        </w:rPr>
        <w:t xml:space="preserve">    for c in cols:</w:t>
      </w:r>
      <w:r>
        <w:br/>
      </w:r>
      <w:r>
        <w:rPr>
          <w:rStyle w:val="VerbatimChar"/>
        </w:rPr>
        <w:t xml:space="preserve">        s = frame[c].dropna()</w:t>
      </w:r>
      <w:r>
        <w:br/>
      </w:r>
      <w:r>
        <w:rPr>
          <w:rStyle w:val="VerbatimChar"/>
        </w:rPr>
        <w:t xml:space="preserve">        q1, q3 = s.quantile([.25, .75]); iqr = q3 - q1</w:t>
      </w:r>
      <w:r>
        <w:br/>
      </w:r>
      <w:r>
        <w:rPr>
          <w:rStyle w:val="VerbatimChar"/>
        </w:rPr>
        <w:t xml:space="preserve">        out.append({"column": c, "median": s.median(), "IQR": iqr, "skew": s.skew(),</w:t>
      </w:r>
      <w:r>
        <w:br/>
      </w:r>
      <w:r>
        <w:rPr>
          <w:rStyle w:val="VerbatimChar"/>
        </w:rPr>
        <w:t xml:space="preserve">                    "kurtosis": s.kurtosis(), "zeros_%": (s == 0).mean()*100,</w:t>
      </w:r>
      <w:r>
        <w:br/>
      </w:r>
      <w:r>
        <w:rPr>
          <w:rStyle w:val="VerbatimChar"/>
        </w:rPr>
        <w:t xml:space="preserve">                    "iqr_out_%": (((s &lt; q1-1.5*iqr) | (s &gt; q3+1.5*iqr)).mean()*100)})</w:t>
      </w:r>
      <w:r>
        <w:br/>
      </w:r>
      <w:r>
        <w:rPr>
          <w:rStyle w:val="VerbatimChar"/>
        </w:rPr>
        <w:t xml:space="preserve">    return pd.DataFrame(out).set_index("column")</w:t>
      </w:r>
      <w:r>
        <w:br/>
      </w:r>
      <w:r>
        <w:br/>
      </w:r>
      <w:r>
        <w:rPr>
          <w:rStyle w:val="VerbatimChar"/>
        </w:rPr>
        <w:t xml:space="preserve">t = sweep(df, num)</w:t>
      </w:r>
      <w:r>
        <w:br/>
      </w:r>
      <w:r>
        <w:rPr>
          <w:rStyle w:val="VerbatimChar"/>
        </w:rPr>
        <w:t xml:space="preserve">print(t.round(2).to_string())</w:t>
      </w:r>
      <w:r>
        <w:br/>
      </w:r>
      <w:r>
        <w:rPr>
          <w:rStyle w:val="VerbatimChar"/>
        </w:rPr>
        <w:t xml:space="preserve">print("\nstrongly skewed (|skew| &gt; 1):", t.index[t["skew"].abs() &gt; 1].tolist())</w:t>
      </w:r>
    </w:p>
    <w:p>
      <w:pPr>
        <w:pStyle w:val="FirstParagraph"/>
      </w:pPr>
      <w:r>
        <w:rPr>
          <w:b/>
          <w:bCs/>
        </w:rPr>
        <w:t xml:space="preserve">Output</w:t>
      </w:r>
    </w:p>
    <w:p>
      <w:pPr>
        <w:pStyle w:val="SourceCode"/>
      </w:pPr>
      <w:r>
        <w:rPr>
          <w:rStyle w:val="VerbatimChar"/>
        </w:rPr>
        <w:t xml:space="preserve">                         median       IQR  skew  kurtosis  zeros_%  iqr_out_%</w:t>
      </w:r>
      <w:r>
        <w:br/>
      </w:r>
      <w:r>
        <w:rPr>
          <w:rStyle w:val="VerbatimChar"/>
        </w:rPr>
        <w:t xml:space="preserve">column                                                                       </w:t>
      </w:r>
      <w:r>
        <w:br/>
      </w:r>
      <w:r>
        <w:rPr>
          <w:rStyle w:val="VerbatimChar"/>
        </w:rPr>
        <w:t xml:space="preserve">Administrative            1.000     4.000 1.960     4.700   46.780      3.280</w:t>
      </w:r>
      <w:r>
        <w:br/>
      </w:r>
      <w:r>
        <w:rPr>
          <w:rStyle w:val="VerbatimChar"/>
        </w:rPr>
        <w:t xml:space="preserve">Administrative_Duration   7.500    93.260 5.620    50.560   47.880      9.510</w:t>
      </w:r>
      <w:r>
        <w:br/>
      </w:r>
      <w:r>
        <w:rPr>
          <w:rStyle w:val="VerbatimChar"/>
        </w:rPr>
        <w:t xml:space="preserve">Informational             0.000     0.000 4.040    26.930   78.660     21.340</w:t>
      </w:r>
      <w:r>
        <w:br/>
      </w:r>
      <w:r>
        <w:rPr>
          <w:rStyle w:val="VerbatimChar"/>
        </w:rPr>
        <w:t xml:space="preserve">Informational_Duration    0.000     0.000 7.580    76.320   80.490     19.510</w:t>
      </w:r>
      <w:r>
        <w:br/>
      </w:r>
      <w:r>
        <w:rPr>
          <w:rStyle w:val="VerbatimChar"/>
        </w:rPr>
        <w:t xml:space="preserve">ProductRelated           18.000    31.000 4.340    31.210    0.310      8.000</w:t>
      </w:r>
      <w:r>
        <w:br/>
      </w:r>
      <w:r>
        <w:rPr>
          <w:rStyle w:val="VerbatimChar"/>
        </w:rPr>
        <w:t xml:space="preserve">ProductRelated_Duration 598.940 1,280.020 7.260   137.170    6.120      7.790</w:t>
      </w:r>
      <w:r>
        <w:br/>
      </w:r>
      <w:r>
        <w:rPr>
          <w:rStyle w:val="VerbatimChar"/>
        </w:rPr>
        <w:t xml:space="preserve">BounceRates               0.000     0.020 2.950     7.720   44.750     12.580</w:t>
      </w:r>
      <w:r>
        <w:br/>
      </w:r>
      <w:r>
        <w:rPr>
          <w:rStyle w:val="VerbatimChar"/>
        </w:rPr>
        <w:t xml:space="preserve">ExitRates                 0.030     0.040 2.150     4.020    0.620      8.910</w:t>
      </w:r>
      <w:r>
        <w:br/>
      </w:r>
      <w:r>
        <w:rPr>
          <w:rStyle w:val="VerbatimChar"/>
        </w:rPr>
        <w:t xml:space="preserve">PageValues                0.000     0.000 6.380    65.640   77.860     22.140</w:t>
      </w:r>
      <w:r>
        <w:br/>
      </w:r>
      <w:r>
        <w:rPr>
          <w:rStyle w:val="VerbatimChar"/>
        </w:rPr>
        <w:t xml:space="preserve">SpecialDay                0.000     0.000 3.300     9.910   89.850     10.150</w:t>
      </w:r>
      <w:r>
        <w:br/>
      </w:r>
      <w:r>
        <w:rPr>
          <w:rStyle w:val="VerbatimChar"/>
        </w:rPr>
        <w:t xml:space="preserve">OperatingSystems          2.000     1.000 2.070    10.460    0.000      0.900</w:t>
      </w:r>
      <w:r>
        <w:br/>
      </w:r>
      <w:r>
        <w:rPr>
          <w:rStyle w:val="VerbatimChar"/>
        </w:rPr>
        <w:t xml:space="preserve">Browser                   2.000     0.000 3.240    12.750    0.000     35.430</w:t>
      </w:r>
      <w:r>
        <w:br/>
      </w:r>
      <w:r>
        <w:rPr>
          <w:rStyle w:val="VerbatimChar"/>
        </w:rPr>
        <w:t xml:space="preserve">Region                    3.000     3.000 0.980    -0.150    0.000      4.140</w:t>
      </w:r>
      <w:r>
        <w:br/>
      </w:r>
      <w:r>
        <w:rPr>
          <w:rStyle w:val="VerbatimChar"/>
        </w:rPr>
        <w:t xml:space="preserve">TrafficType               2.000     2.000 1.960     3.480    0.000     17.040</w:t>
      </w:r>
      <w:r>
        <w:br/>
      </w:r>
      <w:r>
        <w:br/>
      </w:r>
      <w:r>
        <w:rPr>
          <w:rStyle w:val="VerbatimChar"/>
        </w:rPr>
        <w:t xml:space="preserve">strongly skewed (|skew| &gt; 1): ['Administrative', 'Administrative_Duration', 'Informational', 'Informational_Duration', 'ProductRelated', 'ProductRelated_Duration', 'BounceRates', 'ExitRates', 'PageValues', 'SpecialDay', 'OperatingSystems', 'Browser', 'TrafficType']</w:t>
      </w:r>
    </w:p>
    <w:bookmarkEnd w:id="28"/>
    <w:bookmarkStart w:id="32" w:name="X2f2ac225423e311b5751f9dc07478d24a6a269a"/>
    <w:p>
      <w:pPr>
        <w:pStyle w:val="Heading3"/>
      </w:pPr>
      <w:r>
        <w:t xml:space="preserve">Example 2 — Five views of one variable — each hides something</w:t>
      </w:r>
    </w:p>
    <w:p>
      <w:pPr>
        <w:pStyle w:val="FirstParagraph"/>
      </w:pPr>
      <w:r>
        <w:rPr>
          <w:i/>
          <w:iCs/>
        </w:rPr>
        <w:t xml:space="preserve">Bin width changes the histogram's story; the KDE invents density beyond the data's limits; the boxplot conceals multimodality. This is the argument for using more than one.</w:t>
      </w:r>
    </w:p>
    <w:p>
      <w:pPr>
        <w:pStyle w:val="SourceCode"/>
      </w:pPr>
      <w:r>
        <w:rPr>
          <w:rStyle w:val="VerbatimChar"/>
        </w:rPr>
        <w:t xml:space="preserve">s = df["BounceRates"]</w:t>
      </w:r>
      <w:r>
        <w:br/>
      </w:r>
      <w:r>
        <w:rPr>
          <w:rStyle w:val="VerbatimChar"/>
        </w:rPr>
        <w:t xml:space="preserve">fig, ax = plt.subplots(1, 5, figsize=(12.6, 2.3))</w:t>
      </w:r>
      <w:r>
        <w:br/>
      </w:r>
      <w:r>
        <w:rPr>
          <w:rStyle w:val="VerbatimChar"/>
        </w:rPr>
        <w:t xml:space="preserve">sns.histplot(s, bins=40, ax=ax[0], color="#1F6F6B"); ax[0].set_title("Hist, 40 bins")</w:t>
      </w:r>
      <w:r>
        <w:br/>
      </w:r>
      <w:r>
        <w:rPr>
          <w:rStyle w:val="VerbatimChar"/>
        </w:rPr>
        <w:t xml:space="preserve">sns.histplot(s, bins=6,  ax=ax[1], color="#1F6F6B"); ax[1].set_title("Hist, 6 bins")</w:t>
      </w:r>
      <w:r>
        <w:br/>
      </w:r>
      <w:r>
        <w:rPr>
          <w:rStyle w:val="VerbatimChar"/>
        </w:rPr>
        <w:t xml:space="preserve">sns.kdeplot(s, ax=ax[2], fill=True, color="#1F6F6B"); ax[2].set_title("Density")</w:t>
      </w:r>
      <w:r>
        <w:br/>
      </w:r>
      <w:r>
        <w:rPr>
          <w:rStyle w:val="VerbatimChar"/>
        </w:rPr>
        <w:t xml:space="preserve">sns.boxplot(x=s, ax=ax[3], color="#1F6F6B"); ax[3].set_title("Boxplot")</w:t>
      </w:r>
      <w:r>
        <w:br/>
      </w:r>
      <w:r>
        <w:rPr>
          <w:rStyle w:val="VerbatimChar"/>
        </w:rPr>
        <w:t xml:space="preserve">sns.ecdfplot(s, ax=ax[4], color="#1F6F6B"); ax[4].set_title("ECDF")</w:t>
      </w:r>
      <w:r>
        <w:br/>
      </w:r>
      <w:r>
        <w:rPr>
          <w:rStyle w:val="VerbatimChar"/>
        </w:rPr>
        <w:t xml:space="preserve">for a in ax: a.set_xlabel(""); a.set_ylabel("")</w:t>
      </w:r>
      <w:r>
        <w:br/>
      </w:r>
      <w:r>
        <w:rPr>
          <w:rStyle w:val="VerbatimChar"/>
        </w:rPr>
        <w:t xml:space="preserve">plt.tight_layout()</w:t>
      </w:r>
      <w:r>
        <w:br/>
      </w:r>
      <w:r>
        <w:rPr>
          <w:rStyle w:val="VerbatimChar"/>
        </w:rPr>
        <w:t xml:space="preserve">print(f"BounceRates: {(s == 0).mean()*100:.1f}% of sessions are exactly zero.")</w:t>
      </w:r>
      <w:r>
        <w:br/>
      </w:r>
      <w:r>
        <w:rPr>
          <w:rStyle w:val="VerbatimChar"/>
        </w:rPr>
        <w:t xml:space="preserve">print("At 6 bins that spike is invisible. The KDE puts density below 0, which is impossible.")</w:t>
      </w:r>
    </w:p>
    <w:p>
      <w:pPr>
        <w:pStyle w:val="FirstParagraph"/>
      </w:pPr>
      <w:r>
        <w:rPr>
          <w:b/>
          <w:bCs/>
        </w:rPr>
        <w:t xml:space="preserve">Output</w:t>
      </w:r>
    </w:p>
    <w:p>
      <w:pPr>
        <w:pStyle w:val="SourceCode"/>
      </w:pPr>
      <w:r>
        <w:rPr>
          <w:rStyle w:val="VerbatimChar"/>
        </w:rPr>
        <w:t xml:space="preserve">BounceRates: 44.8% of sessions are exactly zero.</w:t>
      </w:r>
      <w:r>
        <w:br/>
      </w:r>
      <w:r>
        <w:rPr>
          <w:rStyle w:val="VerbatimChar"/>
        </w:rPr>
        <w:t xml:space="preserve">At 6 bins that spike is invisible. The KDE puts density below 0, which is impossible.</w:t>
      </w:r>
    </w:p>
    <w:p>
      <w:pPr>
        <w:pStyle w:val="FirstParagraph"/>
      </w:pPr>
      <w:r>
        <w:drawing>
          <wp:inline>
            <wp:extent cx="5334000" cy="918077"/>
            <wp:effectExtent b="0" l="0" r="0" t="0"/>
            <wp:docPr descr="" title="" id="30" name="Picture"/>
            <a:graphic>
              <a:graphicData uri="http://schemas.openxmlformats.org/drawingml/2006/picture">
                <pic:pic>
                  <pic:nvPicPr>
                    <pic:cNvPr descr="figs/L7_8_2.png" id="31" name="Picture"/>
                    <pic:cNvPicPr>
                      <a:picLocks noChangeArrowheads="1" noChangeAspect="1"/>
                    </pic:cNvPicPr>
                  </pic:nvPicPr>
                  <pic:blipFill>
                    <a:blip r:embed="rId29"/>
                    <a:stretch>
                      <a:fillRect/>
                    </a:stretch>
                  </pic:blipFill>
                  <pic:spPr bwMode="auto">
                    <a:xfrm>
                      <a:off x="0" y="0"/>
                      <a:ext cx="5334000" cy="918077"/>
                    </a:xfrm>
                    <a:prstGeom prst="rect">
                      <a:avLst/>
                    </a:prstGeom>
                    <a:noFill/>
                    <a:ln w="9525">
                      <a:noFill/>
                      <a:headEnd/>
                      <a:tailEnd/>
                    </a:ln>
                  </pic:spPr>
                </pic:pic>
              </a:graphicData>
            </a:graphic>
          </wp:inline>
        </w:drawing>
      </w:r>
    </w:p>
    <w:bookmarkEnd w:id="32"/>
    <w:bookmarkStart w:id="33" w:name="Xa0b687600415eea212698dd64704fccfbc05388"/>
    <w:p>
      <w:pPr>
        <w:pStyle w:val="Heading3"/>
      </w:pPr>
      <w:r>
        <w:t xml:space="preserve">Example 3 — Categorical variables: frequency tables and imbalance</w:t>
      </w:r>
    </w:p>
    <w:p>
      <w:pPr>
        <w:pStyle w:val="FirstParagraph"/>
      </w:pPr>
      <w:r>
        <w:rPr>
          <w:i/>
          <w:iCs/>
        </w:rPr>
        <w:t xml:space="preserve">For a categorical variable the frequency table is the analysis. Cardinality and imbalance recorded here change the split and the metric in Module 4.</w:t>
      </w:r>
    </w:p>
    <w:p>
      <w:pPr>
        <w:pStyle w:val="SourceCode"/>
      </w:pPr>
      <w:r>
        <w:rPr>
          <w:rStyle w:val="VerbatimChar"/>
        </w:rPr>
        <w:t xml:space="preserve">for c in ["VisitorType", "Weekend"]:</w:t>
      </w:r>
      <w:r>
        <w:br/>
      </w:r>
      <w:r>
        <w:rPr>
          <w:rStyle w:val="VerbatimChar"/>
        </w:rPr>
        <w:t xml:space="preserve">    vc = df[c].value_counts()</w:t>
      </w:r>
      <w:r>
        <w:br/>
      </w:r>
      <w:r>
        <w:rPr>
          <w:rStyle w:val="VerbatimChar"/>
        </w:rPr>
        <w:t xml:space="preserve">    tab = pd.DataFrame({"count": vc, "share_%": (vc/len(df)*100).round(2)})</w:t>
      </w:r>
      <w:r>
        <w:br/>
      </w:r>
      <w:r>
        <w:rPr>
          <w:rStyle w:val="VerbatimChar"/>
        </w:rPr>
        <w:t xml:space="preserve">    print(f"--- {c}\n{tab.to_string()}\n")</w:t>
      </w:r>
      <w:r>
        <w:br/>
      </w:r>
      <w:r>
        <w:br/>
      </w:r>
      <w:r>
        <w:rPr>
          <w:rStyle w:val="VerbatimChar"/>
        </w:rPr>
        <w:t xml:space="preserve">print("target imbalance:", f"{df[TARGET].mean()*100:.1f}% positive")</w:t>
      </w:r>
      <w:r>
        <w:br/>
      </w:r>
      <w:r>
        <w:rPr>
          <w:rStyle w:val="VerbatimChar"/>
        </w:rPr>
        <w:t xml:space="preserve">print("-&gt; a model predicting 'no purchase' always would be "</w:t>
      </w:r>
      <w:r>
        <w:br/>
      </w:r>
      <w:r>
        <w:rPr>
          <w:rStyle w:val="VerbatimChar"/>
        </w:rPr>
        <w:t xml:space="preserve">      f"{(1-df[TARGET].mean())*100:.1f}% accurate. Accuracy is the wrong metric here.")</w:t>
      </w:r>
    </w:p>
    <w:p>
      <w:pPr>
        <w:pStyle w:val="FirstParagraph"/>
      </w:pPr>
      <w:r>
        <w:rPr>
          <w:b/>
          <w:bCs/>
        </w:rPr>
        <w:t xml:space="preserve">Output</w:t>
      </w:r>
    </w:p>
    <w:p>
      <w:pPr>
        <w:pStyle w:val="SourceCode"/>
      </w:pPr>
      <w:r>
        <w:rPr>
          <w:rStyle w:val="VerbatimChar"/>
        </w:rPr>
        <w:t xml:space="preserve">--- VisitorType</w:t>
      </w:r>
      <w:r>
        <w:br/>
      </w:r>
      <w:r>
        <w:rPr>
          <w:rStyle w:val="VerbatimChar"/>
        </w:rPr>
        <w:t xml:space="preserve">                   count  share_%</w:t>
      </w:r>
      <w:r>
        <w:br/>
      </w:r>
      <w:r>
        <w:rPr>
          <w:rStyle w:val="VerbatimChar"/>
        </w:rPr>
        <w:t xml:space="preserve">VisitorType                      </w:t>
      </w:r>
      <w:r>
        <w:br/>
      </w:r>
      <w:r>
        <w:rPr>
          <w:rStyle w:val="VerbatimChar"/>
        </w:rPr>
        <w:t xml:space="preserve">Returning_Visitor  10551   85.570</w:t>
      </w:r>
      <w:r>
        <w:br/>
      </w:r>
      <w:r>
        <w:rPr>
          <w:rStyle w:val="VerbatimChar"/>
        </w:rPr>
        <w:t xml:space="preserve">New_Visitor         1694   13.740</w:t>
      </w:r>
      <w:r>
        <w:br/>
      </w:r>
      <w:r>
        <w:rPr>
          <w:rStyle w:val="VerbatimChar"/>
        </w:rPr>
        <w:t xml:space="preserve">Other                 85    0.690</w:t>
      </w:r>
      <w:r>
        <w:br/>
      </w:r>
      <w:r>
        <w:br/>
      </w:r>
      <w:r>
        <w:rPr>
          <w:rStyle w:val="VerbatimChar"/>
        </w:rPr>
        <w:t xml:space="preserve">--- Weekend</w:t>
      </w:r>
      <w:r>
        <w:br/>
      </w:r>
      <w:r>
        <w:rPr>
          <w:rStyle w:val="VerbatimChar"/>
        </w:rPr>
        <w:t xml:space="preserve">         count  share_%</w:t>
      </w:r>
      <w:r>
        <w:br/>
      </w:r>
      <w:r>
        <w:rPr>
          <w:rStyle w:val="VerbatimChar"/>
        </w:rPr>
        <w:t xml:space="preserve">Weekend                </w:t>
      </w:r>
      <w:r>
        <w:br/>
      </w:r>
      <w:r>
        <w:rPr>
          <w:rStyle w:val="VerbatimChar"/>
        </w:rPr>
        <w:t xml:space="preserve">False     9462   76.740</w:t>
      </w:r>
      <w:r>
        <w:br/>
      </w:r>
      <w:r>
        <w:rPr>
          <w:rStyle w:val="VerbatimChar"/>
        </w:rPr>
        <w:t xml:space="preserve">True      2868   23.260</w:t>
      </w:r>
      <w:r>
        <w:br/>
      </w:r>
      <w:r>
        <w:br/>
      </w:r>
      <w:r>
        <w:rPr>
          <w:rStyle w:val="VerbatimChar"/>
        </w:rPr>
        <w:t xml:space="preserve">target imbalance: 15.5% positive</w:t>
      </w:r>
      <w:r>
        <w:br/>
      </w:r>
      <w:r>
        <w:rPr>
          <w:rStyle w:val="VerbatimChar"/>
        </w:rPr>
        <w:t xml:space="preserve">-&gt; a model predicting 'no purchase' always would be 84.5% accurate. Accuracy is the wrong metric here.</w:t>
      </w:r>
    </w:p>
    <w:bookmarkEnd w:id="33"/>
    <w:bookmarkStart w:id="37" w:name="X81b193d9fa793215f2467d1fff2f8ffe9da88c3"/>
    <w:p>
      <w:pPr>
        <w:pStyle w:val="Heading3"/>
      </w:pPr>
      <w:r>
        <w:t xml:space="preserve">Example 4 — Comparing distributions across the target</w:t>
      </w:r>
    </w:p>
    <w:p>
      <w:pPr>
        <w:pStyle w:val="FirstParagraph"/>
      </w:pPr>
      <w:r>
        <w:rPr>
          <w:i/>
          <w:iCs/>
        </w:rPr>
        <w:t xml:space="preserve">The univariate question becomes useful when asked separately per group: which variables actually separate converting sessions from the rest?</w:t>
      </w:r>
    </w:p>
    <w:p>
      <w:pPr>
        <w:pStyle w:val="SourceCode"/>
      </w:pPr>
      <w:r>
        <w:rPr>
          <w:rStyle w:val="VerbatimChar"/>
        </w:rPr>
        <w:t xml:space="preserve">cols = ["PageValues", "ProductRelated", "BounceRates", "ExitRates"]</w:t>
      </w:r>
      <w:r>
        <w:br/>
      </w:r>
      <w:r>
        <w:rPr>
          <w:rStyle w:val="VerbatimChar"/>
        </w:rPr>
        <w:t xml:space="preserve">cmp = df.groupby(TARGET)[cols].median().T</w:t>
      </w:r>
      <w:r>
        <w:br/>
      </w:r>
      <w:r>
        <w:rPr>
          <w:rStyle w:val="VerbatimChar"/>
        </w:rPr>
        <w:t xml:space="preserve">cmp.columns = ["no purchase", "purchase"]</w:t>
      </w:r>
      <w:r>
        <w:br/>
      </w:r>
      <w:r>
        <w:rPr>
          <w:rStyle w:val="VerbatimChar"/>
        </w:rPr>
        <w:t xml:space="preserve">print(cmp.round(3).to_string())</w:t>
      </w:r>
      <w:r>
        <w:br/>
      </w:r>
      <w:r>
        <w:br/>
      </w:r>
      <w:r>
        <w:rPr>
          <w:rStyle w:val="VerbatimChar"/>
        </w:rPr>
        <w:t xml:space="preserve">fig, ax = plt.subplots(1, 4, figsize=(11.5, 2.4))</w:t>
      </w:r>
      <w:r>
        <w:br/>
      </w:r>
      <w:r>
        <w:rPr>
          <w:rStyle w:val="VerbatimChar"/>
        </w:rPr>
        <w:t xml:space="preserve">for a, c in zip(ax, cols):</w:t>
      </w:r>
      <w:r>
        <w:br/>
      </w:r>
      <w:r>
        <w:rPr>
          <w:rStyle w:val="VerbatimChar"/>
        </w:rPr>
        <w:t xml:space="preserve">    sns.boxplot(data=df, x=TARGET, y=c, ax=a, showfliers=False); a.set_title(c); a.set_xlabel("")</w:t>
      </w:r>
      <w:r>
        <w:br/>
      </w:r>
      <w:r>
        <w:rPr>
          <w:rStyle w:val="VerbatimChar"/>
        </w:rPr>
        <w:t xml:space="preserve">plt.tight_layout()</w:t>
      </w:r>
    </w:p>
    <w:p>
      <w:pPr>
        <w:pStyle w:val="FirstParagraph"/>
      </w:pPr>
      <w:r>
        <w:rPr>
          <w:b/>
          <w:bCs/>
        </w:rPr>
        <w:t xml:space="preserve">Output</w:t>
      </w:r>
    </w:p>
    <w:p>
      <w:pPr>
        <w:pStyle w:val="SourceCode"/>
      </w:pPr>
      <w:r>
        <w:rPr>
          <w:rStyle w:val="VerbatimChar"/>
        </w:rPr>
        <w:t xml:space="preserve">                no purchase  purchase</w:t>
      </w:r>
      <w:r>
        <w:br/>
      </w:r>
      <w:r>
        <w:rPr>
          <w:rStyle w:val="VerbatimChar"/>
        </w:rPr>
        <w:t xml:space="preserve">PageValues            0.000    16.758</w:t>
      </w:r>
      <w:r>
        <w:br/>
      </w:r>
      <w:r>
        <w:rPr>
          <w:rStyle w:val="VerbatimChar"/>
        </w:rPr>
        <w:t xml:space="preserve">ProductRelated       16.000    29.000</w:t>
      </w:r>
      <w:r>
        <w:br/>
      </w:r>
      <w:r>
        <w:rPr>
          <w:rStyle w:val="VerbatimChar"/>
        </w:rPr>
        <w:t xml:space="preserve">BounceRates           0.004     0.000</w:t>
      </w:r>
      <w:r>
        <w:br/>
      </w:r>
      <w:r>
        <w:rPr>
          <w:rStyle w:val="VerbatimChar"/>
        </w:rPr>
        <w:t xml:space="preserve">ExitRates             0.029     0.016</w:t>
      </w:r>
    </w:p>
    <w:p>
      <w:pPr>
        <w:pStyle w:val="FirstParagraph"/>
      </w:pPr>
      <w:r>
        <w:drawing>
          <wp:inline>
            <wp:extent cx="5334000" cy="1053629"/>
            <wp:effectExtent b="0" l="0" r="0" t="0"/>
            <wp:docPr descr="" title="" id="35" name="Picture"/>
            <a:graphic>
              <a:graphicData uri="http://schemas.openxmlformats.org/drawingml/2006/picture">
                <pic:pic>
                  <pic:nvPicPr>
                    <pic:cNvPr descr="figs/L7_8_4.png" id="36" name="Picture"/>
                    <pic:cNvPicPr>
                      <a:picLocks noChangeArrowheads="1" noChangeAspect="1"/>
                    </pic:cNvPicPr>
                  </pic:nvPicPr>
                  <pic:blipFill>
                    <a:blip r:embed="rId34"/>
                    <a:stretch>
                      <a:fillRect/>
                    </a:stretch>
                  </pic:blipFill>
                  <pic:spPr bwMode="auto">
                    <a:xfrm>
                      <a:off x="0" y="0"/>
                      <a:ext cx="5334000" cy="1053629"/>
                    </a:xfrm>
                    <a:prstGeom prst="rect">
                      <a:avLst/>
                    </a:prstGeom>
                    <a:noFill/>
                    <a:ln w="9525">
                      <a:noFill/>
                      <a:headEnd/>
                      <a:tailEnd/>
                    </a:ln>
                  </pic:spPr>
                </pic:pic>
              </a:graphicData>
            </a:graphic>
          </wp:inline>
        </w:drawing>
      </w:r>
    </w:p>
    <w:bookmarkEnd w:id="37"/>
    <w:bookmarkEnd w:id="38"/>
    <w:bookmarkStart w:id="39" w:name="key-terms"/>
    <w:p>
      <w:pPr>
        <w:pStyle w:val="Heading2"/>
      </w:pPr>
      <w:r>
        <w:t xml:space="preserve">Key terms</w:t>
      </w:r>
    </w:p>
    <w:p>
      <w:pPr>
        <w:pStyle w:val="FirstParagraph"/>
      </w:pPr>
      <w:r>
        <w:t xml:space="preserve">Non-graphical EDA · Graphical EDA · Anscombe's quartet · Kernel density estimate · ECDF · Zero-inflation · Multimodality · Class imbalance</w:t>
      </w:r>
    </w:p>
    <w:bookmarkEnd w:id="39"/>
    <w:bookmarkStart w:id="40" w:name="common-errors-to-avoid"/>
    <w:p>
      <w:pPr>
        <w:pStyle w:val="Heading2"/>
      </w:pPr>
      <w:r>
        <w:t xml:space="preserve">Common errors to avoid</w:t>
      </w:r>
    </w:p>
    <w:p>
      <w:pPr>
        <w:pStyle w:val="Compact"/>
        <w:numPr>
          <w:ilvl w:val="0"/>
          <w:numId w:val="1004"/>
        </w:numPr>
      </w:pPr>
      <w:r>
        <w:t xml:space="preserve">Presenting a single histogram without checking a second bin width</w:t>
      </w:r>
    </w:p>
    <w:p>
      <w:pPr>
        <w:pStyle w:val="Compact"/>
        <w:numPr>
          <w:ilvl w:val="0"/>
          <w:numId w:val="1004"/>
        </w:numPr>
      </w:pPr>
      <w:r>
        <w:t xml:space="preserve">Trusting a KDE that extends past the physical limits of the variable</w:t>
      </w:r>
    </w:p>
    <w:p>
      <w:pPr>
        <w:pStyle w:val="Compact"/>
        <w:numPr>
          <w:ilvl w:val="0"/>
          <w:numId w:val="1004"/>
        </w:numPr>
      </w:pPr>
      <w:r>
        <w:t xml:space="preserve">Using a boxplot alone on data that turns out to be bimodal</w:t>
      </w:r>
    </w:p>
    <w:p>
      <w:pPr>
        <w:pStyle w:val="Compact"/>
        <w:numPr>
          <w:ilvl w:val="0"/>
          <w:numId w:val="1004"/>
        </w:numPr>
      </w:pPr>
      <w:r>
        <w:t xml:space="preserve">Failing to record class imbalance during univariate analysis</w:t>
      </w:r>
    </w:p>
    <w:bookmarkEnd w:id="40"/>
    <w:bookmarkStart w:id="41" w:name="readings-all-free-to-access"/>
    <w:p>
      <w:pPr>
        <w:pStyle w:val="Heading2"/>
      </w:pPr>
      <w:r>
        <w:t xml:space="preserve">Readings — all free to access</w:t>
      </w:r>
    </w:p>
    <w:p>
      <w:pPr>
        <w:pStyle w:val="Compact"/>
        <w:numPr>
          <w:ilvl w:val="0"/>
          <w:numId w:val="1005"/>
        </w:numPr>
      </w:pPr>
      <w:r>
        <w:t xml:space="preserve">seaborn — visualising distributions</w:t>
      </w:r>
      <w:r>
        <w:br/>
      </w:r>
      <w:r>
        <w:rPr>
          <w:rStyle w:val="VerbatimChar"/>
        </w:rPr>
        <w:t xml:space="preserve">https://seaborn.pydata.org/tutorial/distributions.html</w:t>
      </w:r>
    </w:p>
    <w:p>
      <w:pPr>
        <w:pStyle w:val="Compact"/>
        <w:numPr>
          <w:ilvl w:val="0"/>
          <w:numId w:val="1005"/>
        </w:numPr>
      </w:pPr>
      <w:r>
        <w:t xml:space="preserve">NIST/SEMATECH — graphical techniques</w:t>
      </w:r>
      <w:r>
        <w:br/>
      </w:r>
      <w:r>
        <w:rPr>
          <w:rStyle w:val="VerbatimChar"/>
        </w:rPr>
        <w:t xml:space="preserve">https://www.itl.nist.gov/div898/handbook/eda/eda.htm</w:t>
      </w:r>
    </w:p>
    <w:p>
      <w:pPr>
        <w:pStyle w:val="Compact"/>
        <w:numPr>
          <w:ilvl w:val="0"/>
          <w:numId w:val="1005"/>
        </w:numPr>
      </w:pPr>
      <w:r>
        <w:t xml:space="preserve">Berkeley Data 100 — EDA notes</w:t>
      </w:r>
      <w:r>
        <w:br/>
      </w:r>
      <w:r>
        <w:rPr>
          <w:rStyle w:val="VerbatimChar"/>
        </w:rPr>
        <w:t xml:space="preserve">https://ds100.org/course-notes/</w:t>
      </w:r>
    </w:p>
    <w:bookmarkEnd w:id="41"/>
    <w:bookmarkStart w:id="42" w:name="test-yourself"/>
    <w:p>
      <w:pPr>
        <w:pStyle w:val="Heading2"/>
      </w:pPr>
      <w:r>
        <w:t xml:space="preserve">Test yourself</w:t>
      </w:r>
    </w:p>
    <w:p>
      <w:pPr>
        <w:pStyle w:val="Compact"/>
        <w:numPr>
          <w:ilvl w:val="0"/>
          <w:numId w:val="1006"/>
        </w:numPr>
      </w:pPr>
      <w:r>
        <w:t xml:space="preserve">Two variables share a mean and standard deviation. Name two plots that would distinguish them.</w:t>
      </w:r>
    </w:p>
    <w:p>
      <w:pPr>
        <w:pStyle w:val="Compact"/>
        <w:numPr>
          <w:ilvl w:val="0"/>
          <w:numId w:val="1006"/>
        </w:numPr>
      </w:pPr>
      <w:r>
        <w:t xml:space="preserve">A rate variable's KDE shows density below zero. What went wrong?</w:t>
      </w:r>
    </w:p>
    <w:p>
      <w:pPr>
        <w:pStyle w:val="Compact"/>
        <w:numPr>
          <w:ilvl w:val="0"/>
          <w:numId w:val="1006"/>
        </w:numPr>
      </w:pPr>
      <w:r>
        <w:t xml:space="preserve">Why is a spike at exactly zero worth more attention than a point in the far tail?</w:t>
      </w:r>
    </w:p>
    <w:p>
      <w:pPr>
        <w:pStyle w:val="Compact"/>
        <w:numPr>
          <w:ilvl w:val="0"/>
          <w:numId w:val="1006"/>
        </w:numPr>
      </w:pPr>
      <w:r>
        <w:t xml:space="preserve">At 15% positive class, what accuracy does a model that never predicts positive achieve?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L7-8 — Univariate EDA</dc:title>
  <dc:creator/>
  <cp:keywords/>
  <dcterms:created xsi:type="dcterms:W3CDTF">2026-07-30T10:02:08Z</dcterms:created>
  <dcterms:modified xsi:type="dcterms:W3CDTF">2026-07-30T10:02:08Z</dcterms:modified>
</cp:coreProperties>
</file>

<file path=docProps/custom.xml><?xml version="1.0" encoding="utf-8"?>
<Properties xmlns="http://schemas.openxmlformats.org/officeDocument/2006/custom-properties" xmlns:vt="http://schemas.openxmlformats.org/officeDocument/2006/docPropsVTypes"/>
</file>