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2E45"/>
          <w:sz w:val="48"/>
        </w:rPr>
        <w:t>Student Performance Analysis and Academic Insights</w:t>
      </w:r>
    </w:p>
    <w:p>
      <w:pPr>
        <w:jc w:val="center"/>
      </w:pPr>
      <w:r>
        <w:rPr>
          <w:color w:val="57606A"/>
          <w:sz w:val="30"/>
        </w:rPr>
        <w:t>Project Report</w:t>
      </w:r>
    </w:p>
    <w:p>
      <w:pPr>
        <w:jc w:val="center"/>
      </w:pPr>
      <w:r>
        <w:rPr>
          <w:b/>
        </w:rPr>
        <w:br/>
        <w:t>AICTE | IBM SkillsBuild Data Analytics with AI Academic Internship Program</w:t>
        <w:br/>
      </w:r>
      <w:r>
        <w:rPr>
          <w:sz w:val="20"/>
        </w:rPr>
        <w:t>BharatCares in association with AICTE</w:t>
      </w:r>
    </w:p>
    <w:p>
      <w:r>
        <w:br w:type="page"/>
      </w:r>
    </w:p>
    <w:p>
      <w:pPr>
        <w:pStyle w:val="Heading1"/>
      </w:pPr>
      <w:r>
        <w:t>1. Executive Summary</w:t>
      </w:r>
    </w:p>
    <w:p>
      <w:r>
        <w:t>This project analyses a dataset of 395 secondary-school students from two Portuguese schools, exploring factors associated with their final grade (G3, on a 0–20 scale). The analysis follows a four-level framework — Observations, Insights, Hypotheses, and Recommendations — to ensure that factual findings are clearly separated from interpretations and suggested actions.</w:t>
      </w:r>
    </w:p>
    <w:p>
      <w:r>
        <w:t>The strongest non-grade variable associated with lower final grades is the number of prior course failures, followed by maternal education level and weekly study time. Notably, absences show near-zero linear correlation with G3 in this dataset, contrary to common expectation. A machine learning early-warning model, built using only pre-year background factors (excluding period grades G1 and G2 to avoid target leakage), achieved a cross-validated R² of 0.293 — indicating that background factors alone have moderate predictive value.</w:t>
      </w:r>
    </w:p>
    <w:p>
      <w:r>
        <w:t>The top recommendation is to flag students with one or more prior failures for structured academic support at the start of the year, as this is the most consistently observed non-grade indicator of lower final performance.</w:t>
      </w:r>
    </w:p>
    <w:p>
      <w:pPr>
        <w:pStyle w:val="Heading1"/>
      </w:pPr>
      <w:r>
        <w:t>2. Dataset Overview</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E5E8E"/>
          </w:tcPr>
          <w:p>
            <w:pPr>
              <w:spacing w:after="0"/>
            </w:pPr>
            <w:r/>
            <w:r>
              <w:rPr>
                <w:rFonts w:ascii="Arial" w:hAnsi="Arial"/>
                <w:b/>
                <w:color w:val="FFFFFF"/>
                <w:sz w:val="18"/>
              </w:rPr>
              <w:t>Property</w:t>
            </w:r>
          </w:p>
        </w:tc>
        <w:tc>
          <w:tcPr>
            <w:tcW w:type="dxa" w:w="4968"/>
            <w:vAlign w:val="center"/>
            <w:shd w:fill="2E5E8E"/>
          </w:tcPr>
          <w:p>
            <w:pPr>
              <w:spacing w:after="0"/>
            </w:pPr>
            <w:r/>
            <w:r>
              <w:rPr>
                <w:rFonts w:ascii="Arial" w:hAnsi="Arial"/>
                <w:b/>
                <w:color w:val="FFFFFF"/>
                <w:sz w:val="18"/>
              </w:rPr>
              <w:t>Value</w:t>
            </w:r>
          </w:p>
        </w:tc>
      </w:tr>
      <w:tr>
        <w:tc>
          <w:tcPr>
            <w:tcW w:type="dxa" w:w="4968"/>
            <w:vAlign w:val="center"/>
            <w:shd w:fill="F0F5FA"/>
          </w:tcPr>
          <w:p>
            <w:pPr>
              <w:spacing w:after="0"/>
            </w:pPr>
            <w:r/>
            <w:r>
              <w:rPr>
                <w:rFonts w:ascii="Arial" w:hAnsi="Arial"/>
                <w:b w:val="0"/>
                <w:sz w:val="18"/>
              </w:rPr>
              <w:t>Rows (students)</w:t>
            </w:r>
          </w:p>
        </w:tc>
        <w:tc>
          <w:tcPr>
            <w:tcW w:type="dxa" w:w="4968"/>
            <w:vAlign w:val="center"/>
            <w:shd w:fill="F0F5FA"/>
          </w:tcPr>
          <w:p>
            <w:pPr>
              <w:spacing w:after="0"/>
            </w:pPr>
            <w:r/>
            <w:r>
              <w:rPr>
                <w:rFonts w:ascii="Arial" w:hAnsi="Arial"/>
                <w:b w:val="0"/>
                <w:sz w:val="18"/>
              </w:rPr>
              <w:t>395</w:t>
            </w:r>
          </w:p>
        </w:tc>
      </w:tr>
      <w:tr>
        <w:tc>
          <w:tcPr>
            <w:tcW w:type="dxa" w:w="4968"/>
            <w:vAlign w:val="center"/>
          </w:tcPr>
          <w:p>
            <w:pPr>
              <w:spacing w:after="0"/>
            </w:pPr>
            <w:r/>
            <w:r>
              <w:rPr>
                <w:rFonts w:ascii="Arial" w:hAnsi="Arial"/>
                <w:b w:val="0"/>
                <w:sz w:val="18"/>
              </w:rPr>
              <w:t>Columns (variables)</w:t>
            </w:r>
          </w:p>
        </w:tc>
        <w:tc>
          <w:tcPr>
            <w:tcW w:type="dxa" w:w="4968"/>
            <w:vAlign w:val="center"/>
          </w:tcPr>
          <w:p>
            <w:pPr>
              <w:spacing w:after="0"/>
            </w:pPr>
            <w:r/>
            <w:r>
              <w:rPr>
                <w:rFonts w:ascii="Arial" w:hAnsi="Arial"/>
                <w:b w:val="0"/>
                <w:sz w:val="18"/>
              </w:rPr>
              <w:t>33</w:t>
            </w:r>
          </w:p>
        </w:tc>
      </w:tr>
      <w:tr>
        <w:tc>
          <w:tcPr>
            <w:tcW w:type="dxa" w:w="4968"/>
            <w:vAlign w:val="center"/>
            <w:shd w:fill="F0F5FA"/>
          </w:tcPr>
          <w:p>
            <w:pPr>
              <w:spacing w:after="0"/>
            </w:pPr>
            <w:r/>
            <w:r>
              <w:rPr>
                <w:rFonts w:ascii="Arial" w:hAnsi="Arial"/>
                <w:b w:val="0"/>
                <w:sz w:val="18"/>
              </w:rPr>
              <w:t>Schools</w:t>
            </w:r>
          </w:p>
        </w:tc>
        <w:tc>
          <w:tcPr>
            <w:tcW w:type="dxa" w:w="4968"/>
            <w:vAlign w:val="center"/>
            <w:shd w:fill="F0F5FA"/>
          </w:tcPr>
          <w:p>
            <w:pPr>
              <w:spacing w:after="0"/>
            </w:pPr>
            <w:r/>
            <w:r>
              <w:rPr>
                <w:rFonts w:ascii="Arial" w:hAnsi="Arial"/>
                <w:b w:val="0"/>
                <w:sz w:val="18"/>
              </w:rPr>
              <w:t>GP (n = 349), MS (n = 46)</w:t>
            </w:r>
          </w:p>
        </w:tc>
      </w:tr>
      <w:tr>
        <w:tc>
          <w:tcPr>
            <w:tcW w:type="dxa" w:w="4968"/>
            <w:vAlign w:val="center"/>
          </w:tcPr>
          <w:p>
            <w:pPr>
              <w:spacing w:after="0"/>
            </w:pPr>
            <w:r/>
            <w:r>
              <w:rPr>
                <w:rFonts w:ascii="Arial" w:hAnsi="Arial"/>
                <w:b w:val="0"/>
                <w:sz w:val="18"/>
              </w:rPr>
              <w:t>Sex</w:t>
            </w:r>
          </w:p>
        </w:tc>
        <w:tc>
          <w:tcPr>
            <w:tcW w:type="dxa" w:w="4968"/>
            <w:vAlign w:val="center"/>
          </w:tcPr>
          <w:p>
            <w:pPr>
              <w:spacing w:after="0"/>
            </w:pPr>
            <w:r/>
            <w:r>
              <w:rPr>
                <w:rFonts w:ascii="Arial" w:hAnsi="Arial"/>
                <w:b w:val="0"/>
                <w:sz w:val="18"/>
              </w:rPr>
              <w:t>F = 208, M = 187</w:t>
            </w:r>
          </w:p>
        </w:tc>
      </w:tr>
      <w:tr>
        <w:tc>
          <w:tcPr>
            <w:tcW w:type="dxa" w:w="4968"/>
            <w:vAlign w:val="center"/>
            <w:shd w:fill="F0F5FA"/>
          </w:tcPr>
          <w:p>
            <w:pPr>
              <w:spacing w:after="0"/>
            </w:pPr>
            <w:r/>
            <w:r>
              <w:rPr>
                <w:rFonts w:ascii="Arial" w:hAnsi="Arial"/>
                <w:b w:val="0"/>
                <w:sz w:val="18"/>
              </w:rPr>
              <w:t>Target variable</w:t>
            </w:r>
          </w:p>
        </w:tc>
        <w:tc>
          <w:tcPr>
            <w:tcW w:type="dxa" w:w="4968"/>
            <w:vAlign w:val="center"/>
            <w:shd w:fill="F0F5FA"/>
          </w:tcPr>
          <w:p>
            <w:pPr>
              <w:spacing w:after="0"/>
            </w:pPr>
            <w:r/>
            <w:r>
              <w:rPr>
                <w:rFonts w:ascii="Arial" w:hAnsi="Arial"/>
                <w:b w:val="0"/>
                <w:sz w:val="18"/>
              </w:rPr>
              <w:t>G3 — final grade on a 0–20 scale</w:t>
            </w:r>
          </w:p>
        </w:tc>
      </w:tr>
    </w:tbl>
    <w:p/>
    <w:p>
      <w:r>
        <w:t>Variable taxonomy: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E5E8E"/>
          </w:tcPr>
          <w:p>
            <w:pPr>
              <w:spacing w:after="0"/>
            </w:pPr>
            <w:r/>
            <w:r>
              <w:rPr>
                <w:rFonts w:ascii="Arial" w:hAnsi="Arial"/>
                <w:b/>
                <w:color w:val="FFFFFF"/>
                <w:sz w:val="18"/>
              </w:rPr>
              <w:t>Group</w:t>
            </w:r>
          </w:p>
        </w:tc>
        <w:tc>
          <w:tcPr>
            <w:tcW w:type="dxa" w:w="4968"/>
            <w:vAlign w:val="center"/>
            <w:shd w:fill="2E5E8E"/>
          </w:tcPr>
          <w:p>
            <w:pPr>
              <w:spacing w:after="0"/>
            </w:pPr>
            <w:r/>
            <w:r>
              <w:rPr>
                <w:rFonts w:ascii="Arial" w:hAnsi="Arial"/>
                <w:b/>
                <w:color w:val="FFFFFF"/>
                <w:sz w:val="18"/>
              </w:rPr>
              <w:t>Variables</w:t>
            </w:r>
          </w:p>
        </w:tc>
      </w:tr>
      <w:tr>
        <w:tc>
          <w:tcPr>
            <w:tcW w:type="dxa" w:w="4968"/>
            <w:vAlign w:val="center"/>
            <w:shd w:fill="F0F5FA"/>
          </w:tcPr>
          <w:p>
            <w:pPr>
              <w:spacing w:after="0"/>
            </w:pPr>
            <w:r/>
            <w:r>
              <w:rPr>
                <w:rFonts w:ascii="Arial" w:hAnsi="Arial"/>
                <w:b w:val="0"/>
                <w:sz w:val="18"/>
              </w:rPr>
              <w:t>Demographic</w:t>
            </w:r>
          </w:p>
        </w:tc>
        <w:tc>
          <w:tcPr>
            <w:tcW w:type="dxa" w:w="4968"/>
            <w:vAlign w:val="center"/>
            <w:shd w:fill="F0F5FA"/>
          </w:tcPr>
          <w:p>
            <w:pPr>
              <w:spacing w:after="0"/>
            </w:pPr>
            <w:r/>
            <w:r>
              <w:rPr>
                <w:rFonts w:ascii="Arial" w:hAnsi="Arial"/>
                <w:b w:val="0"/>
                <w:sz w:val="18"/>
              </w:rPr>
              <w:t>school, sex, age, address</w:t>
            </w:r>
          </w:p>
        </w:tc>
      </w:tr>
      <w:tr>
        <w:tc>
          <w:tcPr>
            <w:tcW w:type="dxa" w:w="4968"/>
            <w:vAlign w:val="center"/>
          </w:tcPr>
          <w:p>
            <w:pPr>
              <w:spacing w:after="0"/>
            </w:pPr>
            <w:r/>
            <w:r>
              <w:rPr>
                <w:rFonts w:ascii="Arial" w:hAnsi="Arial"/>
                <w:b w:val="0"/>
                <w:sz w:val="18"/>
              </w:rPr>
              <w:t>Family</w:t>
            </w:r>
          </w:p>
        </w:tc>
        <w:tc>
          <w:tcPr>
            <w:tcW w:type="dxa" w:w="4968"/>
            <w:vAlign w:val="center"/>
          </w:tcPr>
          <w:p>
            <w:pPr>
              <w:spacing w:after="0"/>
            </w:pPr>
            <w:r/>
            <w:r>
              <w:rPr>
                <w:rFonts w:ascii="Arial" w:hAnsi="Arial"/>
                <w:b w:val="0"/>
                <w:sz w:val="18"/>
              </w:rPr>
              <w:t>famsize, Pstatus, Medu, Fedu, Mjob, Fjob, guardian, famsup, famrel</w:t>
            </w:r>
          </w:p>
        </w:tc>
      </w:tr>
      <w:tr>
        <w:tc>
          <w:tcPr>
            <w:tcW w:type="dxa" w:w="4968"/>
            <w:vAlign w:val="center"/>
            <w:shd w:fill="F0F5FA"/>
          </w:tcPr>
          <w:p>
            <w:pPr>
              <w:spacing w:after="0"/>
            </w:pPr>
            <w:r/>
            <w:r>
              <w:rPr>
                <w:rFonts w:ascii="Arial" w:hAnsi="Arial"/>
                <w:b w:val="0"/>
                <w:sz w:val="18"/>
              </w:rPr>
              <w:t>Academic</w:t>
            </w:r>
          </w:p>
        </w:tc>
        <w:tc>
          <w:tcPr>
            <w:tcW w:type="dxa" w:w="4968"/>
            <w:vAlign w:val="center"/>
            <w:shd w:fill="F0F5FA"/>
          </w:tcPr>
          <w:p>
            <w:pPr>
              <w:spacing w:after="0"/>
            </w:pPr>
            <w:r/>
            <w:r>
              <w:rPr>
                <w:rFonts w:ascii="Arial" w:hAnsi="Arial"/>
                <w:b w:val="0"/>
                <w:sz w:val="18"/>
              </w:rPr>
              <w:t>failures, studytime, traveltime, schoolsup, paid, reason, higher</w:t>
            </w:r>
          </w:p>
        </w:tc>
      </w:tr>
      <w:tr>
        <w:tc>
          <w:tcPr>
            <w:tcW w:type="dxa" w:w="4968"/>
            <w:vAlign w:val="center"/>
          </w:tcPr>
          <w:p>
            <w:pPr>
              <w:spacing w:after="0"/>
            </w:pPr>
            <w:r/>
            <w:r>
              <w:rPr>
                <w:rFonts w:ascii="Arial" w:hAnsi="Arial"/>
                <w:b w:val="0"/>
                <w:sz w:val="18"/>
              </w:rPr>
              <w:t>Lifestyle &amp; Social</w:t>
            </w:r>
          </w:p>
        </w:tc>
        <w:tc>
          <w:tcPr>
            <w:tcW w:type="dxa" w:w="4968"/>
            <w:vAlign w:val="center"/>
          </w:tcPr>
          <w:p>
            <w:pPr>
              <w:spacing w:after="0"/>
            </w:pPr>
            <w:r/>
            <w:r>
              <w:rPr>
                <w:rFonts w:ascii="Arial" w:hAnsi="Arial"/>
                <w:b w:val="0"/>
                <w:sz w:val="18"/>
              </w:rPr>
              <w:t>activities, nursery, internet, romantic, freetime, goout, Dalc, Walc</w:t>
            </w:r>
          </w:p>
        </w:tc>
      </w:tr>
      <w:tr>
        <w:tc>
          <w:tcPr>
            <w:tcW w:type="dxa" w:w="4968"/>
            <w:vAlign w:val="center"/>
            <w:shd w:fill="F0F5FA"/>
          </w:tcPr>
          <w:p>
            <w:pPr>
              <w:spacing w:after="0"/>
            </w:pPr>
            <w:r/>
            <w:r>
              <w:rPr>
                <w:rFonts w:ascii="Arial" w:hAnsi="Arial"/>
                <w:b w:val="0"/>
                <w:sz w:val="18"/>
              </w:rPr>
              <w:t>Health</w:t>
            </w:r>
          </w:p>
        </w:tc>
        <w:tc>
          <w:tcPr>
            <w:tcW w:type="dxa" w:w="4968"/>
            <w:vAlign w:val="center"/>
            <w:shd w:fill="F0F5FA"/>
          </w:tcPr>
          <w:p>
            <w:pPr>
              <w:spacing w:after="0"/>
            </w:pPr>
            <w:r/>
            <w:r>
              <w:rPr>
                <w:rFonts w:ascii="Arial" w:hAnsi="Arial"/>
                <w:b w:val="0"/>
                <w:sz w:val="18"/>
              </w:rPr>
              <w:t>health</w:t>
            </w:r>
          </w:p>
        </w:tc>
      </w:tr>
      <w:tr>
        <w:tc>
          <w:tcPr>
            <w:tcW w:type="dxa" w:w="4968"/>
            <w:vAlign w:val="center"/>
          </w:tcPr>
          <w:p>
            <w:pPr>
              <w:spacing w:after="0"/>
            </w:pPr>
            <w:r/>
            <w:r>
              <w:rPr>
                <w:rFonts w:ascii="Arial" w:hAnsi="Arial"/>
                <w:b w:val="0"/>
                <w:sz w:val="18"/>
              </w:rPr>
              <w:t>Other</w:t>
            </w:r>
          </w:p>
        </w:tc>
        <w:tc>
          <w:tcPr>
            <w:tcW w:type="dxa" w:w="4968"/>
            <w:vAlign w:val="center"/>
          </w:tcPr>
          <w:p>
            <w:pPr>
              <w:spacing w:after="0"/>
            </w:pPr>
            <w:r/>
            <w:r>
              <w:rPr>
                <w:rFonts w:ascii="Arial" w:hAnsi="Arial"/>
                <w:b w:val="0"/>
                <w:sz w:val="18"/>
              </w:rPr>
              <w:t>absences</w:t>
            </w:r>
          </w:p>
        </w:tc>
      </w:tr>
      <w:tr>
        <w:tc>
          <w:tcPr>
            <w:tcW w:type="dxa" w:w="4968"/>
            <w:vAlign w:val="center"/>
            <w:shd w:fill="F0F5FA"/>
          </w:tcPr>
          <w:p>
            <w:pPr>
              <w:spacing w:after="0"/>
            </w:pPr>
            <w:r/>
            <w:r>
              <w:rPr>
                <w:rFonts w:ascii="Arial" w:hAnsi="Arial"/>
                <w:b w:val="0"/>
                <w:sz w:val="18"/>
              </w:rPr>
              <w:t>Grade outcomes</w:t>
            </w:r>
          </w:p>
        </w:tc>
        <w:tc>
          <w:tcPr>
            <w:tcW w:type="dxa" w:w="4968"/>
            <w:vAlign w:val="center"/>
            <w:shd w:fill="F0F5FA"/>
          </w:tcPr>
          <w:p>
            <w:pPr>
              <w:spacing w:after="0"/>
            </w:pPr>
            <w:r/>
            <w:r>
              <w:rPr>
                <w:rFonts w:ascii="Arial" w:hAnsi="Arial"/>
                <w:b w:val="0"/>
                <w:sz w:val="18"/>
              </w:rPr>
              <w:t>G1 (first period), G2 (second period), G3 (final — target)</w:t>
            </w:r>
          </w:p>
        </w:tc>
      </w:tr>
    </w:tbl>
    <w:p/>
    <w:p>
      <w:r>
        <w:t>Ordinal encoding keys:</w:t>
      </w:r>
    </w:p>
    <w:p>
      <w:pPr>
        <w:pStyle w:val="ListBullet"/>
        <w:spacing w:after="60"/>
      </w:pPr>
      <w:r>
        <w:t>studytime: 1 = &lt; 2h/wk, 2 = 2–5h/wk, 3 = 5–10h/wk, 4 = &gt; 10h/wk</w:t>
      </w:r>
    </w:p>
    <w:p>
      <w:pPr>
        <w:pStyle w:val="ListBullet"/>
        <w:spacing w:after="60"/>
      </w:pPr>
      <w:r>
        <w:t>Medu / Fedu: 0 = None, 1 = Primary (4th grade), 2 = Primary (9th grade), 3 = Secondary, 4 = Higher Education</w:t>
      </w:r>
    </w:p>
    <w:p>
      <w:pPr>
        <w:pStyle w:val="ListBullet"/>
        <w:spacing w:after="60"/>
      </w:pPr>
      <w:r>
        <w:t>failures: number of past class failures (3 means ≥ 3)</w:t>
      </w:r>
    </w:p>
    <w:p>
      <w:pPr>
        <w:pStyle w:val="Heading1"/>
      </w:pPr>
      <w:r>
        <w:t>3. Data Quality Assessment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E5E8E"/>
          </w:tcPr>
          <w:p>
            <w:pPr>
              <w:spacing w:after="0"/>
            </w:pPr>
            <w:r/>
            <w:r>
              <w:rPr>
                <w:rFonts w:ascii="Arial" w:hAnsi="Arial"/>
                <w:b/>
                <w:color w:val="FFFFFF"/>
                <w:sz w:val="18"/>
              </w:rPr>
              <w:t>Check</w:t>
            </w:r>
          </w:p>
        </w:tc>
        <w:tc>
          <w:tcPr>
            <w:tcW w:type="dxa" w:w="4968"/>
            <w:vAlign w:val="center"/>
            <w:shd w:fill="2E5E8E"/>
          </w:tcPr>
          <w:p>
            <w:pPr>
              <w:spacing w:after="0"/>
            </w:pPr>
            <w:r/>
            <w:r>
              <w:rPr>
                <w:rFonts w:ascii="Arial" w:hAnsi="Arial"/>
                <w:b/>
                <w:color w:val="FFFFFF"/>
                <w:sz w:val="18"/>
              </w:rPr>
              <w:t>Result</w:t>
            </w:r>
          </w:p>
        </w:tc>
      </w:tr>
      <w:tr>
        <w:tc>
          <w:tcPr>
            <w:tcW w:type="dxa" w:w="4968"/>
            <w:vAlign w:val="center"/>
            <w:shd w:fill="F0F5FA"/>
          </w:tcPr>
          <w:p>
            <w:pPr>
              <w:spacing w:after="0"/>
            </w:pPr>
            <w:r/>
            <w:r>
              <w:rPr>
                <w:rFonts w:ascii="Arial" w:hAnsi="Arial"/>
                <w:b w:val="0"/>
                <w:sz w:val="18"/>
              </w:rPr>
              <w:t>Missing values</w:t>
            </w:r>
          </w:p>
        </w:tc>
        <w:tc>
          <w:tcPr>
            <w:tcW w:type="dxa" w:w="4968"/>
            <w:vAlign w:val="center"/>
            <w:shd w:fill="F0F5FA"/>
          </w:tcPr>
          <w:p>
            <w:pPr>
              <w:spacing w:after="0"/>
            </w:pPr>
            <w:r/>
            <w:r>
              <w:rPr>
                <w:rFonts w:ascii="Arial" w:hAnsi="Arial"/>
                <w:b w:val="0"/>
                <w:sz w:val="18"/>
              </w:rPr>
              <w:t>None (0 across all 33 columns)</w:t>
            </w:r>
          </w:p>
        </w:tc>
      </w:tr>
      <w:tr>
        <w:tc>
          <w:tcPr>
            <w:tcW w:type="dxa" w:w="4968"/>
            <w:vAlign w:val="center"/>
          </w:tcPr>
          <w:p>
            <w:pPr>
              <w:spacing w:after="0"/>
            </w:pPr>
            <w:r/>
            <w:r>
              <w:rPr>
                <w:rFonts w:ascii="Arial" w:hAnsi="Arial"/>
                <w:b w:val="0"/>
                <w:sz w:val="18"/>
              </w:rPr>
              <w:t>Duplicate rows</w:t>
            </w:r>
          </w:p>
        </w:tc>
        <w:tc>
          <w:tcPr>
            <w:tcW w:type="dxa" w:w="4968"/>
            <w:vAlign w:val="center"/>
          </w:tcPr>
          <w:p>
            <w:pPr>
              <w:spacing w:after="0"/>
            </w:pPr>
            <w:r/>
            <w:r>
              <w:rPr>
                <w:rFonts w:ascii="Arial" w:hAnsi="Arial"/>
                <w:b w:val="0"/>
                <w:sz w:val="18"/>
              </w:rPr>
              <w:t>None</w:t>
            </w:r>
          </w:p>
        </w:tc>
      </w:tr>
      <w:tr>
        <w:tc>
          <w:tcPr>
            <w:tcW w:type="dxa" w:w="4968"/>
            <w:vAlign w:val="center"/>
            <w:shd w:fill="F0F5FA"/>
          </w:tcPr>
          <w:p>
            <w:pPr>
              <w:spacing w:after="0"/>
            </w:pPr>
            <w:r/>
            <w:r>
              <w:rPr>
                <w:rFonts w:ascii="Arial" w:hAnsi="Arial"/>
                <w:b w:val="0"/>
                <w:sz w:val="18"/>
              </w:rPr>
              <w:t>Dataset modifications</w:t>
            </w:r>
          </w:p>
        </w:tc>
        <w:tc>
          <w:tcPr>
            <w:tcW w:type="dxa" w:w="4968"/>
            <w:vAlign w:val="center"/>
            <w:shd w:fill="F0F5FA"/>
          </w:tcPr>
          <w:p>
            <w:pPr>
              <w:spacing w:after="0"/>
            </w:pPr>
            <w:r/>
            <w:r>
              <w:rPr>
                <w:rFonts w:ascii="Arial" w:hAnsi="Arial"/>
                <w:b w:val="0"/>
                <w:sz w:val="18"/>
              </w:rPr>
              <w:t>None — original CSV untouched</w:t>
            </w:r>
          </w:p>
        </w:tc>
      </w:tr>
    </w:tbl>
    <w:p/>
    <w:p>
      <w:r>
        <w:t>Two distributional observations are noted:</w:t>
      </w:r>
    </w:p>
    <w:p>
      <w:pPr>
        <w:pStyle w:val="ListBullet"/>
        <w:spacing w:after="60"/>
      </w:pPr>
      <w:r>
        <w:t>G3 = 0 pattern: 38 students have a recorded final grade of zero. All 38 have non-zero G1 (first-period grade), making this a pattern distinct from missing data. The cause is not documented in the dataset and no assumption is made here.</w:t>
      </w:r>
    </w:p>
    <w:p>
      <w:pPr>
        <w:pStyle w:val="ListBullet"/>
        <w:spacing w:after="60"/>
      </w:pPr>
      <w:r>
        <w:t>Right-skewed absences: absences ranges from 0 to 75 with a mean of 5.71 and a median of 4. The distribution is heavily right-skewed; 75% of students have 8 or fewer absences. Five students have more than 30 absences.</w:t>
      </w:r>
    </w:p>
    <w:p>
      <w:r>
        <w:t>No rows or values were modified. Both observations are carried through the analysis with appropriate qualifications.</w:t>
      </w:r>
    </w:p>
    <w:p>
      <w:pPr>
        <w:pStyle w:val="Heading1"/>
      </w:pPr>
      <w:r>
        <w:t>4. Exploratory Data Analysis</w:t>
      </w:r>
    </w:p>
    <w:p>
      <w:pPr>
        <w:pStyle w:val="Heading2"/>
      </w:pPr>
      <w:r>
        <w:t>Chart 1 — Distribution of Final Grade (G3)</w:t>
      </w:r>
    </w:p>
    <w:p>
      <w:r>
        <w:t>Saved as: figures/chart1_g3_distribution.png</w:t>
      </w:r>
    </w:p>
    <w:p>
      <w:r>
        <w:t>G3 is roughly bell-shaped, centred around a mean of 10.42 and a median of 11. A distinct spike at G3 = 0 represents 38 students whose final grade is recorded as zero. The bulk of the main distribution falls between approximately 7 and 16. The G3 = 0 spike introduces a slight left tail relative to the otherwise symmetric distribution.</w:t>
      </w:r>
    </w:p>
    <w:p>
      <w:pPr>
        <w:pStyle w:val="Heading2"/>
      </w:pPr>
      <w:r>
        <w:t>Chart 2 — G3 by Number of Prior Failures</w:t>
      </w:r>
    </w:p>
    <w:p>
      <w:r>
        <w:t>Saved as: figures/chart2_failures_vs_g3.png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E5E8E"/>
          </w:tcPr>
          <w:p>
            <w:pPr>
              <w:spacing w:after="0"/>
            </w:pPr>
            <w:r/>
            <w:r>
              <w:rPr>
                <w:rFonts w:ascii="Arial" w:hAnsi="Arial"/>
                <w:b/>
                <w:color w:val="FFFFFF"/>
                <w:sz w:val="18"/>
              </w:rPr>
              <w:t>Failures</w:t>
            </w:r>
          </w:p>
        </w:tc>
        <w:tc>
          <w:tcPr>
            <w:tcW w:type="dxa" w:w="3312"/>
            <w:vAlign w:val="center"/>
            <w:shd w:fill="2E5E8E"/>
          </w:tcPr>
          <w:p>
            <w:pPr>
              <w:spacing w:after="0"/>
            </w:pPr>
            <w:r/>
            <w:r>
              <w:rPr>
                <w:rFonts w:ascii="Arial" w:hAnsi="Arial"/>
                <w:b/>
                <w:color w:val="FFFFFF"/>
                <w:sz w:val="18"/>
              </w:rPr>
              <w:t>n</w:t>
            </w:r>
          </w:p>
        </w:tc>
        <w:tc>
          <w:tcPr>
            <w:tcW w:type="dxa" w:w="3312"/>
            <w:vAlign w:val="center"/>
            <w:shd w:fill="2E5E8E"/>
          </w:tcPr>
          <w:p>
            <w:pPr>
              <w:spacing w:after="0"/>
            </w:pPr>
            <w:r/>
            <w:r>
              <w:rPr>
                <w:rFonts w:ascii="Arial" w:hAnsi="Arial"/>
                <w:b/>
                <w:color w:val="FFFFFF"/>
                <w:sz w:val="18"/>
              </w:rPr>
              <w:t>Median G3</w:t>
            </w:r>
          </w:p>
        </w:tc>
      </w:tr>
      <w:tr>
        <w:tc>
          <w:tcPr>
            <w:tcW w:type="dxa" w:w="3312"/>
            <w:vAlign w:val="center"/>
            <w:shd w:fill="F0F5FA"/>
          </w:tcPr>
          <w:p>
            <w:pPr>
              <w:spacing w:after="0"/>
            </w:pPr>
            <w:r/>
            <w:r>
              <w:rPr>
                <w:rFonts w:ascii="Arial" w:hAnsi="Arial"/>
                <w:b w:val="0"/>
                <w:sz w:val="18"/>
              </w:rPr>
              <w:t>0</w:t>
            </w:r>
          </w:p>
        </w:tc>
        <w:tc>
          <w:tcPr>
            <w:tcW w:type="dxa" w:w="3312"/>
            <w:vAlign w:val="center"/>
            <w:shd w:fill="F0F5FA"/>
          </w:tcPr>
          <w:p>
            <w:pPr>
              <w:spacing w:after="0"/>
            </w:pPr>
            <w:r/>
            <w:r>
              <w:rPr>
                <w:rFonts w:ascii="Arial" w:hAnsi="Arial"/>
                <w:b w:val="0"/>
                <w:sz w:val="18"/>
              </w:rPr>
              <w:t>312</w:t>
            </w:r>
          </w:p>
        </w:tc>
        <w:tc>
          <w:tcPr>
            <w:tcW w:type="dxa" w:w="3312"/>
            <w:vAlign w:val="center"/>
            <w:shd w:fill="F0F5FA"/>
          </w:tcPr>
          <w:p>
            <w:pPr>
              <w:spacing w:after="0"/>
            </w:pPr>
            <w:r/>
            <w:r>
              <w:rPr>
                <w:rFonts w:ascii="Arial" w:hAnsi="Arial"/>
                <w:b w:val="0"/>
                <w:sz w:val="18"/>
              </w:rPr>
              <w:t>11.0</w:t>
            </w:r>
          </w:p>
        </w:tc>
      </w:tr>
      <w:tr>
        <w:tc>
          <w:tcPr>
            <w:tcW w:type="dxa" w:w="3312"/>
            <w:vAlign w:val="center"/>
          </w:tcPr>
          <w:p>
            <w:pPr>
              <w:spacing w:after="0"/>
            </w:pPr>
            <w:r/>
            <w:r>
              <w:rPr>
                <w:rFonts w:ascii="Arial" w:hAnsi="Arial"/>
                <w:b w:val="0"/>
                <w:sz w:val="18"/>
              </w:rPr>
              <w:t>1</w:t>
            </w:r>
          </w:p>
        </w:tc>
        <w:tc>
          <w:tcPr>
            <w:tcW w:type="dxa" w:w="3312"/>
            <w:vAlign w:val="center"/>
          </w:tcPr>
          <w:p>
            <w:pPr>
              <w:spacing w:after="0"/>
            </w:pPr>
            <w:r/>
            <w:r>
              <w:rPr>
                <w:rFonts w:ascii="Arial" w:hAnsi="Arial"/>
                <w:b w:val="0"/>
                <w:sz w:val="18"/>
              </w:rPr>
              <w:t>50</w:t>
            </w:r>
          </w:p>
        </w:tc>
        <w:tc>
          <w:tcPr>
            <w:tcW w:type="dxa" w:w="3312"/>
            <w:vAlign w:val="center"/>
          </w:tcPr>
          <w:p>
            <w:pPr>
              <w:spacing w:after="0"/>
            </w:pPr>
            <w:r/>
            <w:r>
              <w:rPr>
                <w:rFonts w:ascii="Arial" w:hAnsi="Arial"/>
                <w:b w:val="0"/>
                <w:sz w:val="18"/>
              </w:rPr>
              <w:t>9.0</w:t>
            </w:r>
          </w:p>
        </w:tc>
      </w:tr>
      <w:tr>
        <w:tc>
          <w:tcPr>
            <w:tcW w:type="dxa" w:w="3312"/>
            <w:vAlign w:val="center"/>
            <w:shd w:fill="F0F5FA"/>
          </w:tcPr>
          <w:p>
            <w:pPr>
              <w:spacing w:after="0"/>
            </w:pPr>
            <w:r/>
            <w:r>
              <w:rPr>
                <w:rFonts w:ascii="Arial" w:hAnsi="Arial"/>
                <w:b w:val="0"/>
                <w:sz w:val="18"/>
              </w:rPr>
              <w:t>2</w:t>
            </w:r>
          </w:p>
        </w:tc>
        <w:tc>
          <w:tcPr>
            <w:tcW w:type="dxa" w:w="3312"/>
            <w:vAlign w:val="center"/>
            <w:shd w:fill="F0F5FA"/>
          </w:tcPr>
          <w:p>
            <w:pPr>
              <w:spacing w:after="0"/>
            </w:pPr>
            <w:r/>
            <w:r>
              <w:rPr>
                <w:rFonts w:ascii="Arial" w:hAnsi="Arial"/>
                <w:b w:val="0"/>
                <w:sz w:val="18"/>
              </w:rPr>
              <w:t>17</w:t>
            </w:r>
          </w:p>
        </w:tc>
        <w:tc>
          <w:tcPr>
            <w:tcW w:type="dxa" w:w="3312"/>
            <w:vAlign w:val="center"/>
            <w:shd w:fill="F0F5FA"/>
          </w:tcPr>
          <w:p>
            <w:pPr>
              <w:spacing w:after="0"/>
            </w:pPr>
            <w:r/>
            <w:r>
              <w:rPr>
                <w:rFonts w:ascii="Arial" w:hAnsi="Arial"/>
                <w:b w:val="0"/>
                <w:sz w:val="18"/>
              </w:rPr>
              <w:t>8.0</w:t>
            </w:r>
          </w:p>
        </w:tc>
      </w:tr>
      <w:tr>
        <w:tc>
          <w:tcPr>
            <w:tcW w:type="dxa" w:w="3312"/>
            <w:vAlign w:val="center"/>
          </w:tcPr>
          <w:p>
            <w:pPr>
              <w:spacing w:after="0"/>
            </w:pPr>
            <w:r/>
            <w:r>
              <w:rPr>
                <w:rFonts w:ascii="Arial" w:hAnsi="Arial"/>
                <w:b w:val="0"/>
                <w:sz w:val="18"/>
              </w:rPr>
              <w:t>3</w:t>
            </w:r>
          </w:p>
        </w:tc>
        <w:tc>
          <w:tcPr>
            <w:tcW w:type="dxa" w:w="3312"/>
            <w:vAlign w:val="center"/>
          </w:tcPr>
          <w:p>
            <w:pPr>
              <w:spacing w:after="0"/>
            </w:pPr>
            <w:r/>
            <w:r>
              <w:rPr>
                <w:rFonts w:ascii="Arial" w:hAnsi="Arial"/>
                <w:b w:val="0"/>
                <w:sz w:val="18"/>
              </w:rPr>
              <w:t>16</w:t>
            </w:r>
          </w:p>
        </w:tc>
        <w:tc>
          <w:tcPr>
            <w:tcW w:type="dxa" w:w="3312"/>
            <w:vAlign w:val="center"/>
          </w:tcPr>
          <w:p>
            <w:pPr>
              <w:spacing w:after="0"/>
            </w:pPr>
            <w:r/>
            <w:r>
              <w:rPr>
                <w:rFonts w:ascii="Arial" w:hAnsi="Arial"/>
                <w:b w:val="0"/>
                <w:sz w:val="18"/>
              </w:rPr>
              <w:t>7.0</w:t>
            </w:r>
          </w:p>
        </w:tc>
      </w:tr>
    </w:tbl>
    <w:p/>
    <w:p>
      <w:r>
        <w:t>The median G3 declines with each increase in prior failure count. The interquartile range widens for students with more failures. Groups with 2 or 3 prior failures are small (n = 17 and n = 16) and are interpreted with caution.</w:t>
      </w:r>
    </w:p>
    <w:p>
      <w:pPr>
        <w:pStyle w:val="Heading2"/>
      </w:pPr>
      <w:r>
        <w:t>Chart 3 — G3 by Weekly Study Time</w:t>
      </w:r>
    </w:p>
    <w:p>
      <w:r>
        <w:t>Saved as: figures/chart3_studytime_vs_g3.png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E5E8E"/>
          </w:tcPr>
          <w:p>
            <w:pPr>
              <w:spacing w:after="0"/>
            </w:pPr>
            <w:r/>
            <w:r>
              <w:rPr>
                <w:rFonts w:ascii="Arial" w:hAnsi="Arial"/>
                <w:b/>
                <w:color w:val="FFFFFF"/>
                <w:sz w:val="18"/>
              </w:rPr>
              <w:t>Study Time</w:t>
            </w:r>
          </w:p>
        </w:tc>
        <w:tc>
          <w:tcPr>
            <w:tcW w:type="dxa" w:w="3312"/>
            <w:vAlign w:val="center"/>
            <w:shd w:fill="2E5E8E"/>
          </w:tcPr>
          <w:p>
            <w:pPr>
              <w:spacing w:after="0"/>
            </w:pPr>
            <w:r/>
            <w:r>
              <w:rPr>
                <w:rFonts w:ascii="Arial" w:hAnsi="Arial"/>
                <w:b/>
                <w:color w:val="FFFFFF"/>
                <w:sz w:val="18"/>
              </w:rPr>
              <w:t>n</w:t>
            </w:r>
          </w:p>
        </w:tc>
        <w:tc>
          <w:tcPr>
            <w:tcW w:type="dxa" w:w="3312"/>
            <w:vAlign w:val="center"/>
            <w:shd w:fill="2E5E8E"/>
          </w:tcPr>
          <w:p>
            <w:pPr>
              <w:spacing w:after="0"/>
            </w:pPr>
            <w:r/>
            <w:r>
              <w:rPr>
                <w:rFonts w:ascii="Arial" w:hAnsi="Arial"/>
                <w:b/>
                <w:color w:val="FFFFFF"/>
                <w:sz w:val="18"/>
              </w:rPr>
              <w:t>Median G3</w:t>
            </w:r>
          </w:p>
        </w:tc>
      </w:tr>
      <w:tr>
        <w:tc>
          <w:tcPr>
            <w:tcW w:type="dxa" w:w="3312"/>
            <w:vAlign w:val="center"/>
            <w:shd w:fill="F0F5FA"/>
          </w:tcPr>
          <w:p>
            <w:pPr>
              <w:spacing w:after="0"/>
            </w:pPr>
            <w:r/>
            <w:r>
              <w:rPr>
                <w:rFonts w:ascii="Arial" w:hAnsi="Arial"/>
                <w:b w:val="0"/>
                <w:sz w:val="18"/>
              </w:rPr>
              <w:t>&lt; 2h/wk</w:t>
            </w:r>
          </w:p>
        </w:tc>
        <w:tc>
          <w:tcPr>
            <w:tcW w:type="dxa" w:w="3312"/>
            <w:vAlign w:val="center"/>
            <w:shd w:fill="F0F5FA"/>
          </w:tcPr>
          <w:p>
            <w:pPr>
              <w:spacing w:after="0"/>
            </w:pPr>
            <w:r/>
            <w:r>
              <w:rPr>
                <w:rFonts w:ascii="Arial" w:hAnsi="Arial"/>
                <w:b w:val="0"/>
                <w:sz w:val="18"/>
              </w:rPr>
              <w:t>105</w:t>
            </w:r>
          </w:p>
        </w:tc>
        <w:tc>
          <w:tcPr>
            <w:tcW w:type="dxa" w:w="3312"/>
            <w:vAlign w:val="center"/>
            <w:shd w:fill="F0F5FA"/>
          </w:tcPr>
          <w:p>
            <w:pPr>
              <w:spacing w:after="0"/>
            </w:pPr>
            <w:r/>
            <w:r>
              <w:rPr>
                <w:rFonts w:ascii="Arial" w:hAnsi="Arial"/>
                <w:b w:val="0"/>
                <w:sz w:val="18"/>
              </w:rPr>
              <w:t>10.0</w:t>
            </w:r>
          </w:p>
        </w:tc>
      </w:tr>
      <w:tr>
        <w:tc>
          <w:tcPr>
            <w:tcW w:type="dxa" w:w="3312"/>
            <w:vAlign w:val="center"/>
          </w:tcPr>
          <w:p>
            <w:pPr>
              <w:spacing w:after="0"/>
            </w:pPr>
            <w:r/>
            <w:r>
              <w:rPr>
                <w:rFonts w:ascii="Arial" w:hAnsi="Arial"/>
                <w:b w:val="0"/>
                <w:sz w:val="18"/>
              </w:rPr>
              <w:t>2–5h/wk</w:t>
            </w:r>
          </w:p>
        </w:tc>
        <w:tc>
          <w:tcPr>
            <w:tcW w:type="dxa" w:w="3312"/>
            <w:vAlign w:val="center"/>
          </w:tcPr>
          <w:p>
            <w:pPr>
              <w:spacing w:after="0"/>
            </w:pPr>
            <w:r/>
            <w:r>
              <w:rPr>
                <w:rFonts w:ascii="Arial" w:hAnsi="Arial"/>
                <w:b w:val="0"/>
                <w:sz w:val="18"/>
              </w:rPr>
              <w:t>198</w:t>
            </w:r>
          </w:p>
        </w:tc>
        <w:tc>
          <w:tcPr>
            <w:tcW w:type="dxa" w:w="3312"/>
            <w:vAlign w:val="center"/>
          </w:tcPr>
          <w:p>
            <w:pPr>
              <w:spacing w:after="0"/>
            </w:pPr>
            <w:r/>
            <w:r>
              <w:rPr>
                <w:rFonts w:ascii="Arial" w:hAnsi="Arial"/>
                <w:b w:val="0"/>
                <w:sz w:val="18"/>
              </w:rPr>
              <w:t>11.0</w:t>
            </w:r>
          </w:p>
        </w:tc>
      </w:tr>
      <w:tr>
        <w:tc>
          <w:tcPr>
            <w:tcW w:type="dxa" w:w="3312"/>
            <w:vAlign w:val="center"/>
            <w:shd w:fill="F0F5FA"/>
          </w:tcPr>
          <w:p>
            <w:pPr>
              <w:spacing w:after="0"/>
            </w:pPr>
            <w:r/>
            <w:r>
              <w:rPr>
                <w:rFonts w:ascii="Arial" w:hAnsi="Arial"/>
                <w:b w:val="0"/>
                <w:sz w:val="18"/>
              </w:rPr>
              <w:t>5–10h/wk</w:t>
            </w:r>
          </w:p>
        </w:tc>
        <w:tc>
          <w:tcPr>
            <w:tcW w:type="dxa" w:w="3312"/>
            <w:vAlign w:val="center"/>
            <w:shd w:fill="F0F5FA"/>
          </w:tcPr>
          <w:p>
            <w:pPr>
              <w:spacing w:after="0"/>
            </w:pPr>
            <w:r/>
            <w:r>
              <w:rPr>
                <w:rFonts w:ascii="Arial" w:hAnsi="Arial"/>
                <w:b w:val="0"/>
                <w:sz w:val="18"/>
              </w:rPr>
              <w:t>65</w:t>
            </w:r>
          </w:p>
        </w:tc>
        <w:tc>
          <w:tcPr>
            <w:tcW w:type="dxa" w:w="3312"/>
            <w:vAlign w:val="center"/>
            <w:shd w:fill="F0F5FA"/>
          </w:tcPr>
          <w:p>
            <w:pPr>
              <w:spacing w:after="0"/>
            </w:pPr>
            <w:r/>
            <w:r>
              <w:rPr>
                <w:rFonts w:ascii="Arial" w:hAnsi="Arial"/>
                <w:b w:val="0"/>
                <w:sz w:val="18"/>
              </w:rPr>
              <w:t>12.0</w:t>
            </w:r>
          </w:p>
        </w:tc>
      </w:tr>
      <w:tr>
        <w:tc>
          <w:tcPr>
            <w:tcW w:type="dxa" w:w="3312"/>
            <w:vAlign w:val="center"/>
          </w:tcPr>
          <w:p>
            <w:pPr>
              <w:spacing w:after="0"/>
            </w:pPr>
            <w:r/>
            <w:r>
              <w:rPr>
                <w:rFonts w:ascii="Arial" w:hAnsi="Arial"/>
                <w:b w:val="0"/>
                <w:sz w:val="18"/>
              </w:rPr>
              <w:t>&gt; 10h/wk</w:t>
            </w:r>
          </w:p>
        </w:tc>
        <w:tc>
          <w:tcPr>
            <w:tcW w:type="dxa" w:w="3312"/>
            <w:vAlign w:val="center"/>
          </w:tcPr>
          <w:p>
            <w:pPr>
              <w:spacing w:after="0"/>
            </w:pPr>
            <w:r/>
            <w:r>
              <w:rPr>
                <w:rFonts w:ascii="Arial" w:hAnsi="Arial"/>
                <w:b w:val="0"/>
                <w:sz w:val="18"/>
              </w:rPr>
              <w:t>27</w:t>
            </w:r>
          </w:p>
        </w:tc>
        <w:tc>
          <w:tcPr>
            <w:tcW w:type="dxa" w:w="3312"/>
            <w:vAlign w:val="center"/>
          </w:tcPr>
          <w:p>
            <w:pPr>
              <w:spacing w:after="0"/>
            </w:pPr>
            <w:r/>
            <w:r>
              <w:rPr>
                <w:rFonts w:ascii="Arial" w:hAnsi="Arial"/>
                <w:b w:val="0"/>
                <w:sz w:val="18"/>
              </w:rPr>
              <w:t>12.0</w:t>
            </w:r>
          </w:p>
        </w:tc>
      </w:tr>
    </w:tbl>
    <w:p/>
    <w:p>
      <w:r>
        <w:t>Median G3 is higher for students reporting more weekly study time. However, within-group variation is wide at all levels, and the Pearson correlation between studytime and G3 is only 0.098 — a weak association.</w:t>
      </w:r>
    </w:p>
    <w:p>
      <w:pPr>
        <w:pStyle w:val="Heading2"/>
      </w:pPr>
      <w:r>
        <w:t>Chart 4 — Mean G3 by Maternal Education Level</w:t>
      </w:r>
    </w:p>
    <w:p>
      <w:r>
        <w:t>Saved as: figures/chart4_medu_vs_g3.png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2E5E8E"/>
          </w:tcPr>
          <w:p>
            <w:pPr>
              <w:spacing w:after="0"/>
            </w:pPr>
            <w:r/>
            <w:r>
              <w:rPr>
                <w:rFonts w:ascii="Arial" w:hAnsi="Arial"/>
                <w:b/>
                <w:color w:val="FFFFFF"/>
                <w:sz w:val="18"/>
              </w:rPr>
              <w:t>Medu</w:t>
            </w:r>
          </w:p>
        </w:tc>
        <w:tc>
          <w:tcPr>
            <w:tcW w:type="dxa" w:w="2484"/>
            <w:vAlign w:val="center"/>
            <w:shd w:fill="2E5E8E"/>
          </w:tcPr>
          <w:p>
            <w:pPr>
              <w:spacing w:after="0"/>
            </w:pPr>
            <w:r/>
            <w:r>
              <w:rPr>
                <w:rFonts w:ascii="Arial" w:hAnsi="Arial"/>
                <w:b/>
                <w:color w:val="FFFFFF"/>
                <w:sz w:val="18"/>
              </w:rPr>
              <w:t>Level</w:t>
            </w:r>
          </w:p>
        </w:tc>
        <w:tc>
          <w:tcPr>
            <w:tcW w:type="dxa" w:w="2484"/>
            <w:vAlign w:val="center"/>
            <w:shd w:fill="2E5E8E"/>
          </w:tcPr>
          <w:p>
            <w:pPr>
              <w:spacing w:after="0"/>
            </w:pPr>
            <w:r/>
            <w:r>
              <w:rPr>
                <w:rFonts w:ascii="Arial" w:hAnsi="Arial"/>
                <w:b/>
                <w:color w:val="FFFFFF"/>
                <w:sz w:val="18"/>
              </w:rPr>
              <w:t>n</w:t>
            </w:r>
          </w:p>
        </w:tc>
        <w:tc>
          <w:tcPr>
            <w:tcW w:type="dxa" w:w="2484"/>
            <w:vAlign w:val="center"/>
            <w:shd w:fill="2E5E8E"/>
          </w:tcPr>
          <w:p>
            <w:pPr>
              <w:spacing w:after="0"/>
            </w:pPr>
            <w:r/>
            <w:r>
              <w:rPr>
                <w:rFonts w:ascii="Arial" w:hAnsi="Arial"/>
                <w:b/>
                <w:color w:val="FFFFFF"/>
                <w:sz w:val="18"/>
              </w:rPr>
              <w:t>Mean G3</w:t>
            </w:r>
          </w:p>
        </w:tc>
      </w:tr>
      <w:tr>
        <w:tc>
          <w:tcPr>
            <w:tcW w:type="dxa" w:w="2484"/>
            <w:vAlign w:val="center"/>
            <w:shd w:fill="F0F5FA"/>
          </w:tcPr>
          <w:p>
            <w:pPr>
              <w:spacing w:after="0"/>
            </w:pPr>
            <w:r/>
            <w:r>
              <w:rPr>
                <w:rFonts w:ascii="Arial" w:hAnsi="Arial"/>
                <w:b w:val="0"/>
                <w:sz w:val="18"/>
              </w:rPr>
              <w:t>0</w:t>
            </w:r>
          </w:p>
        </w:tc>
        <w:tc>
          <w:tcPr>
            <w:tcW w:type="dxa" w:w="2484"/>
            <w:vAlign w:val="center"/>
            <w:shd w:fill="F0F5FA"/>
          </w:tcPr>
          <w:p>
            <w:pPr>
              <w:spacing w:after="0"/>
            </w:pPr>
            <w:r/>
            <w:r>
              <w:rPr>
                <w:rFonts w:ascii="Arial" w:hAnsi="Arial"/>
                <w:b w:val="0"/>
                <w:sz w:val="18"/>
              </w:rPr>
              <w:t>None</w:t>
            </w:r>
          </w:p>
        </w:tc>
        <w:tc>
          <w:tcPr>
            <w:tcW w:type="dxa" w:w="2484"/>
            <w:vAlign w:val="center"/>
            <w:shd w:fill="F0F5FA"/>
          </w:tcPr>
          <w:p>
            <w:pPr>
              <w:spacing w:after="0"/>
            </w:pPr>
            <w:r/>
            <w:r>
              <w:rPr>
                <w:rFonts w:ascii="Arial" w:hAnsi="Arial"/>
                <w:b w:val="0"/>
                <w:sz w:val="18"/>
              </w:rPr>
              <w:t>3</w:t>
            </w:r>
          </w:p>
        </w:tc>
        <w:tc>
          <w:tcPr>
            <w:tcW w:type="dxa" w:w="2484"/>
            <w:vAlign w:val="center"/>
            <w:shd w:fill="F0F5FA"/>
          </w:tcPr>
          <w:p>
            <w:pPr>
              <w:spacing w:after="0"/>
            </w:pPr>
            <w:r/>
            <w:r>
              <w:rPr>
                <w:rFonts w:ascii="Arial" w:hAnsi="Arial"/>
                <w:b w:val="0"/>
                <w:sz w:val="18"/>
              </w:rPr>
              <w:t>13.00 (n too small)</w:t>
            </w:r>
          </w:p>
        </w:tc>
      </w:tr>
      <w:tr>
        <w:tc>
          <w:tcPr>
            <w:tcW w:type="dxa" w:w="2484"/>
            <w:vAlign w:val="center"/>
          </w:tcPr>
          <w:p>
            <w:pPr>
              <w:spacing w:after="0"/>
            </w:pPr>
            <w:r/>
            <w:r>
              <w:rPr>
                <w:rFonts w:ascii="Arial" w:hAnsi="Arial"/>
                <w:b w:val="0"/>
                <w:sz w:val="18"/>
              </w:rPr>
              <w:t>1</w:t>
            </w:r>
          </w:p>
        </w:tc>
        <w:tc>
          <w:tcPr>
            <w:tcW w:type="dxa" w:w="2484"/>
            <w:vAlign w:val="center"/>
          </w:tcPr>
          <w:p>
            <w:pPr>
              <w:spacing w:after="0"/>
            </w:pPr>
            <w:r/>
            <w:r>
              <w:rPr>
                <w:rFonts w:ascii="Arial" w:hAnsi="Arial"/>
                <w:b w:val="0"/>
                <w:sz w:val="18"/>
              </w:rPr>
              <w:t>Primary (4th grade)</w:t>
            </w:r>
          </w:p>
        </w:tc>
        <w:tc>
          <w:tcPr>
            <w:tcW w:type="dxa" w:w="2484"/>
            <w:vAlign w:val="center"/>
          </w:tcPr>
          <w:p>
            <w:pPr>
              <w:spacing w:after="0"/>
            </w:pPr>
            <w:r/>
            <w:r>
              <w:rPr>
                <w:rFonts w:ascii="Arial" w:hAnsi="Arial"/>
                <w:b w:val="0"/>
                <w:sz w:val="18"/>
              </w:rPr>
              <w:t>59</w:t>
            </w:r>
          </w:p>
        </w:tc>
        <w:tc>
          <w:tcPr>
            <w:tcW w:type="dxa" w:w="2484"/>
            <w:vAlign w:val="center"/>
          </w:tcPr>
          <w:p>
            <w:pPr>
              <w:spacing w:after="0"/>
            </w:pPr>
            <w:r/>
            <w:r>
              <w:rPr>
                <w:rFonts w:ascii="Arial" w:hAnsi="Arial"/>
                <w:b w:val="0"/>
                <w:sz w:val="18"/>
              </w:rPr>
              <w:t>8.68</w:t>
            </w:r>
          </w:p>
        </w:tc>
      </w:tr>
      <w:tr>
        <w:tc>
          <w:tcPr>
            <w:tcW w:type="dxa" w:w="2484"/>
            <w:vAlign w:val="center"/>
            <w:shd w:fill="F0F5FA"/>
          </w:tcPr>
          <w:p>
            <w:pPr>
              <w:spacing w:after="0"/>
            </w:pPr>
            <w:r/>
            <w:r>
              <w:rPr>
                <w:rFonts w:ascii="Arial" w:hAnsi="Arial"/>
                <w:b w:val="0"/>
                <w:sz w:val="18"/>
              </w:rPr>
              <w:t>2</w:t>
            </w:r>
          </w:p>
        </w:tc>
        <w:tc>
          <w:tcPr>
            <w:tcW w:type="dxa" w:w="2484"/>
            <w:vAlign w:val="center"/>
            <w:shd w:fill="F0F5FA"/>
          </w:tcPr>
          <w:p>
            <w:pPr>
              <w:spacing w:after="0"/>
            </w:pPr>
            <w:r/>
            <w:r>
              <w:rPr>
                <w:rFonts w:ascii="Arial" w:hAnsi="Arial"/>
                <w:b w:val="0"/>
                <w:sz w:val="18"/>
              </w:rPr>
              <w:t>Primary (9th grade)</w:t>
            </w:r>
          </w:p>
        </w:tc>
        <w:tc>
          <w:tcPr>
            <w:tcW w:type="dxa" w:w="2484"/>
            <w:vAlign w:val="center"/>
            <w:shd w:fill="F0F5FA"/>
          </w:tcPr>
          <w:p>
            <w:pPr>
              <w:spacing w:after="0"/>
            </w:pPr>
            <w:r/>
            <w:r>
              <w:rPr>
                <w:rFonts w:ascii="Arial" w:hAnsi="Arial"/>
                <w:b w:val="0"/>
                <w:sz w:val="18"/>
              </w:rPr>
              <w:t>103</w:t>
            </w:r>
          </w:p>
        </w:tc>
        <w:tc>
          <w:tcPr>
            <w:tcW w:type="dxa" w:w="2484"/>
            <w:vAlign w:val="center"/>
            <w:shd w:fill="F0F5FA"/>
          </w:tcPr>
          <w:p>
            <w:pPr>
              <w:spacing w:after="0"/>
            </w:pPr>
            <w:r/>
            <w:r>
              <w:rPr>
                <w:rFonts w:ascii="Arial" w:hAnsi="Arial"/>
                <w:b w:val="0"/>
                <w:sz w:val="18"/>
              </w:rPr>
              <w:t>9.73</w:t>
            </w:r>
          </w:p>
        </w:tc>
      </w:tr>
      <w:tr>
        <w:tc>
          <w:tcPr>
            <w:tcW w:type="dxa" w:w="2484"/>
            <w:vAlign w:val="center"/>
          </w:tcPr>
          <w:p>
            <w:pPr>
              <w:spacing w:after="0"/>
            </w:pPr>
            <w:r/>
            <w:r>
              <w:rPr>
                <w:rFonts w:ascii="Arial" w:hAnsi="Arial"/>
                <w:b w:val="0"/>
                <w:sz w:val="18"/>
              </w:rPr>
              <w:t>3</w:t>
            </w:r>
          </w:p>
        </w:tc>
        <w:tc>
          <w:tcPr>
            <w:tcW w:type="dxa" w:w="2484"/>
            <w:vAlign w:val="center"/>
          </w:tcPr>
          <w:p>
            <w:pPr>
              <w:spacing w:after="0"/>
            </w:pPr>
            <w:r/>
            <w:r>
              <w:rPr>
                <w:rFonts w:ascii="Arial" w:hAnsi="Arial"/>
                <w:b w:val="0"/>
                <w:sz w:val="18"/>
              </w:rPr>
              <w:t>Secondary</w:t>
            </w:r>
          </w:p>
        </w:tc>
        <w:tc>
          <w:tcPr>
            <w:tcW w:type="dxa" w:w="2484"/>
            <w:vAlign w:val="center"/>
          </w:tcPr>
          <w:p>
            <w:pPr>
              <w:spacing w:after="0"/>
            </w:pPr>
            <w:r/>
            <w:r>
              <w:rPr>
                <w:rFonts w:ascii="Arial" w:hAnsi="Arial"/>
                <w:b w:val="0"/>
                <w:sz w:val="18"/>
              </w:rPr>
              <w:t>99</w:t>
            </w:r>
          </w:p>
        </w:tc>
        <w:tc>
          <w:tcPr>
            <w:tcW w:type="dxa" w:w="2484"/>
            <w:vAlign w:val="center"/>
          </w:tcPr>
          <w:p>
            <w:pPr>
              <w:spacing w:after="0"/>
            </w:pPr>
            <w:r/>
            <w:r>
              <w:rPr>
                <w:rFonts w:ascii="Arial" w:hAnsi="Arial"/>
                <w:b w:val="0"/>
                <w:sz w:val="18"/>
              </w:rPr>
              <w:t>10.30</w:t>
            </w:r>
          </w:p>
        </w:tc>
      </w:tr>
      <w:tr>
        <w:tc>
          <w:tcPr>
            <w:tcW w:type="dxa" w:w="2484"/>
            <w:vAlign w:val="center"/>
            <w:shd w:fill="F0F5FA"/>
          </w:tcPr>
          <w:p>
            <w:pPr>
              <w:spacing w:after="0"/>
            </w:pPr>
            <w:r/>
            <w:r>
              <w:rPr>
                <w:rFonts w:ascii="Arial" w:hAnsi="Arial"/>
                <w:b w:val="0"/>
                <w:sz w:val="18"/>
              </w:rPr>
              <w:t>4</w:t>
            </w:r>
          </w:p>
        </w:tc>
        <w:tc>
          <w:tcPr>
            <w:tcW w:type="dxa" w:w="2484"/>
            <w:vAlign w:val="center"/>
            <w:shd w:fill="F0F5FA"/>
          </w:tcPr>
          <w:p>
            <w:pPr>
              <w:spacing w:after="0"/>
            </w:pPr>
            <w:r/>
            <w:r>
              <w:rPr>
                <w:rFonts w:ascii="Arial" w:hAnsi="Arial"/>
                <w:b w:val="0"/>
                <w:sz w:val="18"/>
              </w:rPr>
              <w:t>Higher Education</w:t>
            </w:r>
          </w:p>
        </w:tc>
        <w:tc>
          <w:tcPr>
            <w:tcW w:type="dxa" w:w="2484"/>
            <w:vAlign w:val="center"/>
            <w:shd w:fill="F0F5FA"/>
          </w:tcPr>
          <w:p>
            <w:pPr>
              <w:spacing w:after="0"/>
            </w:pPr>
            <w:r/>
            <w:r>
              <w:rPr>
                <w:rFonts w:ascii="Arial" w:hAnsi="Arial"/>
                <w:b w:val="0"/>
                <w:sz w:val="18"/>
              </w:rPr>
              <w:t>131</w:t>
            </w:r>
          </w:p>
        </w:tc>
        <w:tc>
          <w:tcPr>
            <w:tcW w:type="dxa" w:w="2484"/>
            <w:vAlign w:val="center"/>
            <w:shd w:fill="F0F5FA"/>
          </w:tcPr>
          <w:p>
            <w:pPr>
              <w:spacing w:after="0"/>
            </w:pPr>
            <w:r/>
            <w:r>
              <w:rPr>
                <w:rFonts w:ascii="Arial" w:hAnsi="Arial"/>
                <w:b w:val="0"/>
                <w:sz w:val="18"/>
              </w:rPr>
              <w:t>11.76</w:t>
            </w:r>
          </w:p>
        </w:tc>
      </w:tr>
    </w:tbl>
    <w:p/>
    <w:p>
      <w:r>
        <w:t>Among the well-populated groups (Medu 1–4), mean G3 increases progressively from 8.68 at level 1 to 11.76 at level 4, a difference of approximately 3 grade points. The Medu = 0 group (n = 3) is too small to interpret. The Pearson correlation between Medu and G3 is 0.217.</w:t>
      </w:r>
    </w:p>
    <w:p>
      <w:pPr>
        <w:pStyle w:val="Heading2"/>
      </w:pPr>
      <w:r>
        <w:t>Chart 5 — Absences vs. Final Grade (G3)</w:t>
      </w:r>
    </w:p>
    <w:p>
      <w:r>
        <w:t>Saved as: figures/chart5_absences_vs_g3.png</w:t>
      </w:r>
    </w:p>
    <w:p>
      <w:r>
        <w:t>The scatter plot shows a nearly flat regression line (Pearson r ≈ 0.034) — indicating very little linear association between absences and G3 in this dataset. Variance is high across all absence levels. Five students with absences &gt; 30 are highlighted; their G3 values range from 8 to 11.</w:t>
      </w:r>
    </w:p>
    <w:p>
      <w:pPr>
        <w:pStyle w:val="Heading2"/>
      </w:pPr>
      <w:r>
        <w:t>Chart 6 — Correlation Heatmap (Reference)</w:t>
      </w:r>
    </w:p>
    <w:p>
      <w:r>
        <w:t>Saved as: figures/chart6_correlation_heatmap.png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E5E8E"/>
          </w:tcPr>
          <w:p>
            <w:pPr>
              <w:spacing w:after="0"/>
            </w:pPr>
            <w:r/>
            <w:r>
              <w:rPr>
                <w:rFonts w:ascii="Arial" w:hAnsi="Arial"/>
                <w:b/>
                <w:color w:val="FFFFFF"/>
                <w:sz w:val="18"/>
              </w:rPr>
              <w:t>Variable</w:t>
            </w:r>
          </w:p>
        </w:tc>
        <w:tc>
          <w:tcPr>
            <w:tcW w:type="dxa" w:w="4968"/>
            <w:vAlign w:val="center"/>
            <w:shd w:fill="2E5E8E"/>
          </w:tcPr>
          <w:p>
            <w:pPr>
              <w:spacing w:after="0"/>
            </w:pPr>
            <w:r/>
            <w:r>
              <w:rPr>
                <w:rFonts w:ascii="Arial" w:hAnsi="Arial"/>
                <w:b/>
                <w:color w:val="FFFFFF"/>
                <w:sz w:val="18"/>
              </w:rPr>
              <w:t>Pearson r with G3</w:t>
            </w:r>
          </w:p>
        </w:tc>
      </w:tr>
      <w:tr>
        <w:tc>
          <w:tcPr>
            <w:tcW w:type="dxa" w:w="4968"/>
            <w:vAlign w:val="center"/>
            <w:shd w:fill="F0F5FA"/>
          </w:tcPr>
          <w:p>
            <w:pPr>
              <w:spacing w:after="0"/>
            </w:pPr>
            <w:r/>
            <w:r>
              <w:rPr>
                <w:rFonts w:ascii="Arial" w:hAnsi="Arial"/>
                <w:b w:val="0"/>
                <w:sz w:val="18"/>
              </w:rPr>
              <w:t>G2</w:t>
            </w:r>
          </w:p>
        </w:tc>
        <w:tc>
          <w:tcPr>
            <w:tcW w:type="dxa" w:w="4968"/>
            <w:vAlign w:val="center"/>
            <w:shd w:fill="F0F5FA"/>
          </w:tcPr>
          <w:p>
            <w:pPr>
              <w:spacing w:after="0"/>
            </w:pPr>
            <w:r/>
            <w:r>
              <w:rPr>
                <w:rFonts w:ascii="Arial" w:hAnsi="Arial"/>
                <w:b w:val="0"/>
                <w:sz w:val="18"/>
              </w:rPr>
              <w:t>0.905</w:t>
            </w:r>
          </w:p>
        </w:tc>
      </w:tr>
      <w:tr>
        <w:tc>
          <w:tcPr>
            <w:tcW w:type="dxa" w:w="4968"/>
            <w:vAlign w:val="center"/>
          </w:tcPr>
          <w:p>
            <w:pPr>
              <w:spacing w:after="0"/>
            </w:pPr>
            <w:r/>
            <w:r>
              <w:rPr>
                <w:rFonts w:ascii="Arial" w:hAnsi="Arial"/>
                <w:b w:val="0"/>
                <w:sz w:val="18"/>
              </w:rPr>
              <w:t>G1</w:t>
            </w:r>
          </w:p>
        </w:tc>
        <w:tc>
          <w:tcPr>
            <w:tcW w:type="dxa" w:w="4968"/>
            <w:vAlign w:val="center"/>
          </w:tcPr>
          <w:p>
            <w:pPr>
              <w:spacing w:after="0"/>
            </w:pPr>
            <w:r/>
            <w:r>
              <w:rPr>
                <w:rFonts w:ascii="Arial" w:hAnsi="Arial"/>
                <w:b w:val="0"/>
                <w:sz w:val="18"/>
              </w:rPr>
              <w:t>0.801</w:t>
            </w:r>
          </w:p>
        </w:tc>
      </w:tr>
      <w:tr>
        <w:tc>
          <w:tcPr>
            <w:tcW w:type="dxa" w:w="4968"/>
            <w:vAlign w:val="center"/>
            <w:shd w:fill="F0F5FA"/>
          </w:tcPr>
          <w:p>
            <w:pPr>
              <w:spacing w:after="0"/>
            </w:pPr>
            <w:r/>
            <w:r>
              <w:rPr>
                <w:rFonts w:ascii="Arial" w:hAnsi="Arial"/>
                <w:b w:val="0"/>
                <w:sz w:val="18"/>
              </w:rPr>
              <w:t>Medu</w:t>
            </w:r>
          </w:p>
        </w:tc>
        <w:tc>
          <w:tcPr>
            <w:tcW w:type="dxa" w:w="4968"/>
            <w:vAlign w:val="center"/>
            <w:shd w:fill="F0F5FA"/>
          </w:tcPr>
          <w:p>
            <w:pPr>
              <w:spacing w:after="0"/>
            </w:pPr>
            <w:r/>
            <w:r>
              <w:rPr>
                <w:rFonts w:ascii="Arial" w:hAnsi="Arial"/>
                <w:b w:val="0"/>
                <w:sz w:val="18"/>
              </w:rPr>
              <w:t>0.217</w:t>
            </w:r>
          </w:p>
        </w:tc>
      </w:tr>
      <w:tr>
        <w:tc>
          <w:tcPr>
            <w:tcW w:type="dxa" w:w="4968"/>
            <w:vAlign w:val="center"/>
          </w:tcPr>
          <w:p>
            <w:pPr>
              <w:spacing w:after="0"/>
            </w:pPr>
            <w:r/>
            <w:r>
              <w:rPr>
                <w:rFonts w:ascii="Arial" w:hAnsi="Arial"/>
                <w:b w:val="0"/>
                <w:sz w:val="18"/>
              </w:rPr>
              <w:t>Fedu</w:t>
            </w:r>
          </w:p>
        </w:tc>
        <w:tc>
          <w:tcPr>
            <w:tcW w:type="dxa" w:w="4968"/>
            <w:vAlign w:val="center"/>
          </w:tcPr>
          <w:p>
            <w:pPr>
              <w:spacing w:after="0"/>
            </w:pPr>
            <w:r/>
            <w:r>
              <w:rPr>
                <w:rFonts w:ascii="Arial" w:hAnsi="Arial"/>
                <w:b w:val="0"/>
                <w:sz w:val="18"/>
              </w:rPr>
              <w:t>0.152</w:t>
            </w:r>
          </w:p>
        </w:tc>
      </w:tr>
      <w:tr>
        <w:tc>
          <w:tcPr>
            <w:tcW w:type="dxa" w:w="4968"/>
            <w:vAlign w:val="center"/>
            <w:shd w:fill="F0F5FA"/>
          </w:tcPr>
          <w:p>
            <w:pPr>
              <w:spacing w:after="0"/>
            </w:pPr>
            <w:r/>
            <w:r>
              <w:rPr>
                <w:rFonts w:ascii="Arial" w:hAnsi="Arial"/>
                <w:b w:val="0"/>
                <w:sz w:val="18"/>
              </w:rPr>
              <w:t>studytime</w:t>
            </w:r>
          </w:p>
        </w:tc>
        <w:tc>
          <w:tcPr>
            <w:tcW w:type="dxa" w:w="4968"/>
            <w:vAlign w:val="center"/>
            <w:shd w:fill="F0F5FA"/>
          </w:tcPr>
          <w:p>
            <w:pPr>
              <w:spacing w:after="0"/>
            </w:pPr>
            <w:r/>
            <w:r>
              <w:rPr>
                <w:rFonts w:ascii="Arial" w:hAnsi="Arial"/>
                <w:b w:val="0"/>
                <w:sz w:val="18"/>
              </w:rPr>
              <w:t>0.098</w:t>
            </w:r>
          </w:p>
        </w:tc>
      </w:tr>
      <w:tr>
        <w:tc>
          <w:tcPr>
            <w:tcW w:type="dxa" w:w="4968"/>
            <w:vAlign w:val="center"/>
          </w:tcPr>
          <w:p>
            <w:pPr>
              <w:spacing w:after="0"/>
            </w:pPr>
            <w:r/>
            <w:r>
              <w:rPr>
                <w:rFonts w:ascii="Arial" w:hAnsi="Arial"/>
                <w:b w:val="0"/>
                <w:sz w:val="18"/>
              </w:rPr>
              <w:t>famrel</w:t>
            </w:r>
          </w:p>
        </w:tc>
        <w:tc>
          <w:tcPr>
            <w:tcW w:type="dxa" w:w="4968"/>
            <w:vAlign w:val="center"/>
          </w:tcPr>
          <w:p>
            <w:pPr>
              <w:spacing w:after="0"/>
            </w:pPr>
            <w:r/>
            <w:r>
              <w:rPr>
                <w:rFonts w:ascii="Arial" w:hAnsi="Arial"/>
                <w:b w:val="0"/>
                <w:sz w:val="18"/>
              </w:rPr>
              <w:t>0.051</w:t>
            </w:r>
          </w:p>
        </w:tc>
      </w:tr>
      <w:tr>
        <w:tc>
          <w:tcPr>
            <w:tcW w:type="dxa" w:w="4968"/>
            <w:vAlign w:val="center"/>
            <w:shd w:fill="F0F5FA"/>
          </w:tcPr>
          <w:p>
            <w:pPr>
              <w:spacing w:after="0"/>
            </w:pPr>
            <w:r/>
            <w:r>
              <w:rPr>
                <w:rFonts w:ascii="Arial" w:hAnsi="Arial"/>
                <w:b w:val="0"/>
                <w:sz w:val="18"/>
              </w:rPr>
              <w:t>absences</w:t>
            </w:r>
          </w:p>
        </w:tc>
        <w:tc>
          <w:tcPr>
            <w:tcW w:type="dxa" w:w="4968"/>
            <w:vAlign w:val="center"/>
            <w:shd w:fill="F0F5FA"/>
          </w:tcPr>
          <w:p>
            <w:pPr>
              <w:spacing w:after="0"/>
            </w:pPr>
            <w:r/>
            <w:r>
              <w:rPr>
                <w:rFonts w:ascii="Arial" w:hAnsi="Arial"/>
                <w:b w:val="0"/>
                <w:sz w:val="18"/>
              </w:rPr>
              <w:t>0.034</w:t>
            </w:r>
          </w:p>
        </w:tc>
      </w:tr>
      <w:tr>
        <w:tc>
          <w:tcPr>
            <w:tcW w:type="dxa" w:w="4968"/>
            <w:vAlign w:val="center"/>
          </w:tcPr>
          <w:p>
            <w:pPr>
              <w:spacing w:after="0"/>
            </w:pPr>
            <w:r/>
            <w:r>
              <w:rPr>
                <w:rFonts w:ascii="Arial" w:hAnsi="Arial"/>
                <w:b w:val="0"/>
                <w:sz w:val="18"/>
              </w:rPr>
              <w:t>failures</w:t>
            </w:r>
          </w:p>
        </w:tc>
        <w:tc>
          <w:tcPr>
            <w:tcW w:type="dxa" w:w="4968"/>
            <w:vAlign w:val="center"/>
          </w:tcPr>
          <w:p>
            <w:pPr>
              <w:spacing w:after="0"/>
            </w:pPr>
            <w:r/>
            <w:r>
              <w:rPr>
                <w:rFonts w:ascii="Arial" w:hAnsi="Arial"/>
                <w:b w:val="0"/>
                <w:sz w:val="18"/>
              </w:rPr>
              <w:t>−0.360</w:t>
            </w:r>
          </w:p>
        </w:tc>
      </w:tr>
      <w:tr>
        <w:tc>
          <w:tcPr>
            <w:tcW w:type="dxa" w:w="4968"/>
            <w:vAlign w:val="center"/>
            <w:shd w:fill="F0F5FA"/>
          </w:tcPr>
          <w:p>
            <w:pPr>
              <w:spacing w:after="0"/>
            </w:pPr>
            <w:r/>
            <w:r>
              <w:rPr>
                <w:rFonts w:ascii="Arial" w:hAnsi="Arial"/>
                <w:b w:val="0"/>
                <w:sz w:val="18"/>
              </w:rPr>
              <w:t>age</w:t>
            </w:r>
          </w:p>
        </w:tc>
        <w:tc>
          <w:tcPr>
            <w:tcW w:type="dxa" w:w="4968"/>
            <w:vAlign w:val="center"/>
            <w:shd w:fill="F0F5FA"/>
          </w:tcPr>
          <w:p>
            <w:pPr>
              <w:spacing w:after="0"/>
            </w:pPr>
            <w:r/>
            <w:r>
              <w:rPr>
                <w:rFonts w:ascii="Arial" w:hAnsi="Arial"/>
                <w:b w:val="0"/>
                <w:sz w:val="18"/>
              </w:rPr>
              <w:t>−0.162</w:t>
            </w:r>
          </w:p>
        </w:tc>
      </w:tr>
      <w:tr>
        <w:tc>
          <w:tcPr>
            <w:tcW w:type="dxa" w:w="4968"/>
            <w:vAlign w:val="center"/>
          </w:tcPr>
          <w:p>
            <w:pPr>
              <w:spacing w:after="0"/>
            </w:pPr>
            <w:r/>
            <w:r>
              <w:rPr>
                <w:rFonts w:ascii="Arial" w:hAnsi="Arial"/>
                <w:b w:val="0"/>
                <w:sz w:val="18"/>
              </w:rPr>
              <w:t>goout</w:t>
            </w:r>
          </w:p>
        </w:tc>
        <w:tc>
          <w:tcPr>
            <w:tcW w:type="dxa" w:w="4968"/>
            <w:vAlign w:val="center"/>
          </w:tcPr>
          <w:p>
            <w:pPr>
              <w:spacing w:after="0"/>
            </w:pPr>
            <w:r/>
            <w:r>
              <w:rPr>
                <w:rFonts w:ascii="Arial" w:hAnsi="Arial"/>
                <w:b w:val="0"/>
                <w:sz w:val="18"/>
              </w:rPr>
              <w:t>−0.133</w:t>
            </w:r>
          </w:p>
        </w:tc>
      </w:tr>
      <w:tr>
        <w:tc>
          <w:tcPr>
            <w:tcW w:type="dxa" w:w="4968"/>
            <w:vAlign w:val="center"/>
            <w:shd w:fill="F0F5FA"/>
          </w:tcPr>
          <w:p>
            <w:pPr>
              <w:spacing w:after="0"/>
            </w:pPr>
            <w:r/>
            <w:r>
              <w:rPr>
                <w:rFonts w:ascii="Arial" w:hAnsi="Arial"/>
                <w:b w:val="0"/>
                <w:sz w:val="18"/>
              </w:rPr>
              <w:t>traveltime</w:t>
            </w:r>
          </w:p>
        </w:tc>
        <w:tc>
          <w:tcPr>
            <w:tcW w:type="dxa" w:w="4968"/>
            <w:vAlign w:val="center"/>
            <w:shd w:fill="F0F5FA"/>
          </w:tcPr>
          <w:p>
            <w:pPr>
              <w:spacing w:after="0"/>
            </w:pPr>
            <w:r/>
            <w:r>
              <w:rPr>
                <w:rFonts w:ascii="Arial" w:hAnsi="Arial"/>
                <w:b w:val="0"/>
                <w:sz w:val="18"/>
              </w:rPr>
              <w:t>−0.117</w:t>
            </w:r>
          </w:p>
        </w:tc>
      </w:tr>
    </w:tbl>
    <w:p/>
    <w:p>
      <w:r>
        <w:t>G1 and G2 are shown here for reference only and are excluded from the ML model (see Section 8 for the leakage explanation).</w:t>
      </w:r>
    </w:p>
    <w:p>
      <w:pPr>
        <w:pStyle w:val="Heading1"/>
      </w:pPr>
      <w:r>
        <w:t>5. Observations and Insights</w:t>
      </w:r>
    </w:p>
    <w:p>
      <w:r>
        <w:t>Note: The following insights describe associations in this dataset. They do not establish cause and effect.</w:t>
      </w:r>
    </w:p>
    <w:p>
      <w:pPr>
        <w:pStyle w:val="Heading2"/>
      </w:pPr>
      <w:r>
        <w:t>Key Observations</w:t>
      </w:r>
    </w:p>
    <w:p>
      <w:pPr>
        <w:pStyle w:val="ListBullet"/>
        <w:spacing w:after="60"/>
      </w:pPr>
      <w:r>
        <w:t>G3 = 0 pattern: 38 students have G3 = 0. All have non-zero G1. The cause is not documented and is treated as an observation only.</w:t>
      </w:r>
    </w:p>
    <w:p>
      <w:pPr>
        <w:pStyle w:val="ListBullet"/>
        <w:spacing w:after="60"/>
      </w:pPr>
      <w:r>
        <w:t>Prior failures: Median G3 declines monotonically as failures increases from 0 (median = 11) to 3 (median = 7). Pearson r = −0.360, the strongest linear association among non-grade numeric variables.</w:t>
      </w:r>
    </w:p>
    <w:p>
      <w:pPr>
        <w:pStyle w:val="ListBullet"/>
        <w:spacing w:after="60"/>
      </w:pPr>
      <w:r>
        <w:t>Study time: Median G3 increases from 10 (&lt;2h/wk) to 12 (≥5h/wk). Pearson r = 0.098. Within-group variation is wide.</w:t>
      </w:r>
    </w:p>
    <w:p>
      <w:pPr>
        <w:pStyle w:val="ListBullet"/>
        <w:spacing w:after="60"/>
      </w:pPr>
      <w:r>
        <w:t>Maternal education: Mean G3 increases from 8.68 (Medu = 1) to 11.76 (Medu = 4). Pearson r = 0.217. Medu = 0 group (n = 3) excluded.</w:t>
      </w:r>
    </w:p>
    <w:p>
      <w:pPr>
        <w:pStyle w:val="ListBullet"/>
        <w:spacing w:after="60"/>
      </w:pPr>
      <w:r>
        <w:t>Absences: Pearson r = 0.034 — no meaningful linear association with G3 in this dataset. The scatter plot confirms a near-flat trend with high variance.</w:t>
      </w:r>
    </w:p>
    <w:p>
      <w:pPr>
        <w:pStyle w:val="ListBullet"/>
        <w:spacing w:after="60"/>
      </w:pPr>
      <w:r>
        <w:t>Grade associations: G2 (r = 0.905) and G1 (r = 0.801) have by far the strongest linear associations with G3. These are excluded from the ML model.</w:t>
      </w:r>
    </w:p>
    <w:p>
      <w:pPr>
        <w:pStyle w:val="Heading2"/>
      </w:pPr>
      <w:r>
        <w:t>Insights</w:t>
      </w:r>
    </w:p>
    <w:p>
      <w:pPr>
        <w:pStyle w:val="ListBullet"/>
        <w:spacing w:after="60"/>
      </w:pPr>
      <w:r>
        <w:t>Prior failures are the non-grade variable most consistently associated with lower G3. Each increase in failure count corresponds to a lower median G3 (r = −0.360), and the pattern holds across all four groups.</w:t>
      </w:r>
    </w:p>
    <w:p>
      <w:pPr>
        <w:pStyle w:val="ListBullet"/>
        <w:spacing w:after="60"/>
      </w:pPr>
      <w:r>
        <w:t>Higher maternal education level is associated with higher mean G3 across the well-populated groups (Medu 1–4). The difference between the lowest and highest well-populated groups is approximately 3 grade points.</w:t>
      </w:r>
    </w:p>
    <w:p>
      <w:pPr>
        <w:pStyle w:val="ListBullet"/>
        <w:spacing w:after="60"/>
      </w:pPr>
      <w:r>
        <w:t>Greater weekly study time is associated with higher G3, but the relationship is weak (r = 0.098) and wide within-group variation means study time alone does not reliably distinguish performance levels.</w:t>
      </w:r>
    </w:p>
    <w:p>
      <w:pPr>
        <w:pStyle w:val="ListBullet"/>
        <w:spacing w:after="60"/>
      </w:pPr>
      <w:r>
        <w:t>Absences show no meaningful linear association with G3 in this dataset (r = 0.034). This is a dataset-specific finding and may not hold in other populations.</w:t>
      </w:r>
    </w:p>
    <w:p>
      <w:pPr>
        <w:pStyle w:val="ListBullet"/>
        <w:spacing w:after="60"/>
      </w:pPr>
      <w:r>
        <w:t>The 38 students with G3 = 0 form a pattern distinct from the main distribution. All had non-zero G1, and the sensitivity analysis (Section 8) shows they materially affect model metrics.</w:t>
      </w:r>
    </w:p>
    <w:p>
      <w:pPr>
        <w:pStyle w:val="Heading1"/>
      </w:pPr>
      <w:r>
        <w:t>6. Hypotheses</w:t>
      </w:r>
    </w:p>
    <w:p>
      <w:r>
        <w:t>The following are plausible explanations requiring additional evidence to test.</w:t>
      </w:r>
    </w:p>
    <w:p>
      <w:pPr>
        <w:pStyle w:val="ListBullet"/>
        <w:spacing w:after="60"/>
      </w:pPr>
      <w:r>
        <w:t>Compounding academic difficulty: Students who have previously failed a course may face cumulative challenges — such as knowledge gaps or reduced engagement — that persist into the final period. Whether targeted support after a first failure changes this pattern could be tested by comparing outcomes of students who received structured intervention versus those who did not.</w:t>
      </w:r>
    </w:p>
    <w:p>
      <w:pPr>
        <w:pStyle w:val="ListBullet"/>
        <w:spacing w:after="60"/>
      </w:pPr>
      <w:r>
        <w:t>Home learning environment: Higher maternal education may be associated with greater access to learning resources, academic guidance, or higher expectations at home — any of which could partially account for the observed grade difference. A study collecting home-environment data would be needed to test this.</w:t>
      </w:r>
    </w:p>
    <w:p>
      <w:pPr>
        <w:pStyle w:val="ListBullet"/>
        <w:spacing w:after="60"/>
      </w:pPr>
      <w:r>
        <w:t>Nature of G3 = 0 records: The 38 G3 = 0 students may represent a qualitatively different outcome — such as non-submission, administrative recording, or withdrawal — rather than measured academic performance of zero. This should be investigated through institutional records.</w:t>
      </w:r>
    </w:p>
    <w:p>
      <w:pPr>
        <w:pStyle w:val="Heading1"/>
      </w:pPr>
      <w:r>
        <w:t>7. Recommendations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E5E8E"/>
          </w:tcPr>
          <w:p>
            <w:pPr>
              <w:spacing w:after="0"/>
            </w:pPr>
            <w:r/>
            <w:r>
              <w:rPr>
                <w:rFonts w:ascii="Arial" w:hAnsi="Arial"/>
                <w:b/>
                <w:color w:val="FFFFFF"/>
                <w:sz w:val="18"/>
              </w:rPr>
              <w:t>#</w:t>
            </w:r>
          </w:p>
        </w:tc>
        <w:tc>
          <w:tcPr>
            <w:tcW w:type="dxa" w:w="3312"/>
            <w:vAlign w:val="center"/>
            <w:shd w:fill="2E5E8E"/>
          </w:tcPr>
          <w:p>
            <w:pPr>
              <w:spacing w:after="0"/>
            </w:pPr>
            <w:r/>
            <w:r>
              <w:rPr>
                <w:rFonts w:ascii="Arial" w:hAnsi="Arial"/>
                <w:b/>
                <w:color w:val="FFFFFF"/>
                <w:sz w:val="18"/>
              </w:rPr>
              <w:t>Recommendation</w:t>
            </w:r>
          </w:p>
        </w:tc>
        <w:tc>
          <w:tcPr>
            <w:tcW w:type="dxa" w:w="3312"/>
            <w:vAlign w:val="center"/>
            <w:shd w:fill="2E5E8E"/>
          </w:tcPr>
          <w:p>
            <w:pPr>
              <w:spacing w:after="0"/>
            </w:pPr>
            <w:r/>
            <w:r>
              <w:rPr>
                <w:rFonts w:ascii="Arial" w:hAnsi="Arial"/>
                <w:b/>
                <w:color w:val="FFFFFF"/>
                <w:sz w:val="18"/>
              </w:rPr>
              <w:t>Evidence Strength</w:t>
            </w:r>
          </w:p>
        </w:tc>
      </w:tr>
      <w:tr>
        <w:tc>
          <w:tcPr>
            <w:tcW w:type="dxa" w:w="3312"/>
            <w:vAlign w:val="center"/>
            <w:shd w:fill="F0F5FA"/>
          </w:tcPr>
          <w:p>
            <w:pPr>
              <w:spacing w:after="0"/>
            </w:pPr>
            <w:r/>
            <w:r>
              <w:rPr>
                <w:rFonts w:ascii="Arial" w:hAnsi="Arial"/>
                <w:b w:val="0"/>
                <w:sz w:val="18"/>
              </w:rPr>
              <w:t>1</w:t>
            </w:r>
          </w:p>
        </w:tc>
        <w:tc>
          <w:tcPr>
            <w:tcW w:type="dxa" w:w="3312"/>
            <w:vAlign w:val="center"/>
            <w:shd w:fill="F0F5FA"/>
          </w:tcPr>
          <w:p>
            <w:pPr>
              <w:spacing w:after="0"/>
            </w:pPr>
            <w:r/>
            <w:r>
              <w:rPr>
                <w:rFonts w:ascii="Arial" w:hAnsi="Arial"/>
                <w:b w:val="0"/>
                <w:sz w:val="18"/>
              </w:rPr>
              <w:t>Flag students with ≥ 1 prior failure for structured academic support at the start of the year. This is the most consistently observed non-grade indicator (r = −0.360, monotonic decline across all failure levels).</w:t>
            </w:r>
          </w:p>
        </w:tc>
        <w:tc>
          <w:tcPr>
            <w:tcW w:type="dxa" w:w="3312"/>
            <w:vAlign w:val="center"/>
            <w:shd w:fill="F0F5FA"/>
          </w:tcPr>
          <w:p>
            <w:pPr>
              <w:spacing w:after="0"/>
            </w:pPr>
            <w:r/>
            <w:r>
              <w:rPr>
                <w:rFonts w:ascii="Arial" w:hAnsi="Arial"/>
                <w:b w:val="0"/>
                <w:sz w:val="18"/>
              </w:rPr>
              <w:t>Supported by consistent observation</w:t>
            </w:r>
          </w:p>
        </w:tc>
      </w:tr>
      <w:tr>
        <w:tc>
          <w:tcPr>
            <w:tcW w:type="dxa" w:w="3312"/>
            <w:vAlign w:val="center"/>
          </w:tcPr>
          <w:p>
            <w:pPr>
              <w:spacing w:after="0"/>
            </w:pPr>
            <w:r/>
            <w:r>
              <w:rPr>
                <w:rFonts w:ascii="Arial" w:hAnsi="Arial"/>
                <w:b w:val="0"/>
                <w:sz w:val="18"/>
              </w:rPr>
              <w:t>2</w:t>
            </w:r>
          </w:p>
        </w:tc>
        <w:tc>
          <w:tcPr>
            <w:tcW w:type="dxa" w:w="3312"/>
            <w:vAlign w:val="center"/>
          </w:tcPr>
          <w:p>
            <w:pPr>
              <w:spacing w:after="0"/>
            </w:pPr>
            <w:r/>
            <w:r>
              <w:rPr>
                <w:rFonts w:ascii="Arial" w:hAnsi="Arial"/>
                <w:b w:val="0"/>
                <w:sz w:val="18"/>
              </w:rPr>
              <w:t>Provide study-skill support for students in the lowest study-time band (&lt; 2h/wk, n = 105). This group shows the lowest median G3 (10). The association is modest but the factor is measurable and actionable.</w:t>
            </w:r>
          </w:p>
        </w:tc>
        <w:tc>
          <w:tcPr>
            <w:tcW w:type="dxa" w:w="3312"/>
            <w:vAlign w:val="center"/>
          </w:tcPr>
          <w:p>
            <w:pPr>
              <w:spacing w:after="0"/>
            </w:pPr>
            <w:r/>
            <w:r>
              <w:rPr>
                <w:rFonts w:ascii="Arial" w:hAnsi="Arial"/>
                <w:b w:val="0"/>
                <w:sz w:val="18"/>
              </w:rPr>
              <w:t>Supported by moderate association</w:t>
            </w:r>
          </w:p>
        </w:tc>
      </w:tr>
      <w:tr>
        <w:tc>
          <w:tcPr>
            <w:tcW w:type="dxa" w:w="3312"/>
            <w:vAlign w:val="center"/>
            <w:shd w:fill="F0F5FA"/>
          </w:tcPr>
          <w:p>
            <w:pPr>
              <w:spacing w:after="0"/>
            </w:pPr>
            <w:r/>
            <w:r>
              <w:rPr>
                <w:rFonts w:ascii="Arial" w:hAnsi="Arial"/>
                <w:b w:val="0"/>
                <w:sz w:val="18"/>
              </w:rPr>
              <w:t>3</w:t>
            </w:r>
          </w:p>
        </w:tc>
        <w:tc>
          <w:tcPr>
            <w:tcW w:type="dxa" w:w="3312"/>
            <w:vAlign w:val="center"/>
            <w:shd w:fill="F0F5FA"/>
          </w:tcPr>
          <w:p>
            <w:pPr>
              <w:spacing w:after="0"/>
            </w:pPr>
            <w:r/>
            <w:r>
              <w:rPr>
                <w:rFonts w:ascii="Arial" w:hAnsi="Arial"/>
                <w:b w:val="0"/>
                <w:sz w:val="18"/>
              </w:rPr>
              <w:t>Use the combination of prior failures and very low study time as a composite early-warning profile, rather than relying on any single variable in isolation.</w:t>
            </w:r>
          </w:p>
        </w:tc>
        <w:tc>
          <w:tcPr>
            <w:tcW w:type="dxa" w:w="3312"/>
            <w:vAlign w:val="center"/>
            <w:shd w:fill="F0F5FA"/>
          </w:tcPr>
          <w:p>
            <w:pPr>
              <w:spacing w:after="0"/>
            </w:pPr>
            <w:r/>
            <w:r>
              <w:rPr>
                <w:rFonts w:ascii="Arial" w:hAnsi="Arial"/>
                <w:b w:val="0"/>
                <w:sz w:val="18"/>
              </w:rPr>
              <w:t>Supported by observation; indirect evidence for action</w:t>
            </w:r>
          </w:p>
        </w:tc>
      </w:tr>
      <w:tr>
        <w:tc>
          <w:tcPr>
            <w:tcW w:type="dxa" w:w="3312"/>
            <w:vAlign w:val="center"/>
          </w:tcPr>
          <w:p>
            <w:pPr>
              <w:spacing w:after="0"/>
            </w:pPr>
            <w:r/>
            <w:r>
              <w:rPr>
                <w:rFonts w:ascii="Arial" w:hAnsi="Arial"/>
                <w:b w:val="0"/>
                <w:sz w:val="18"/>
              </w:rPr>
              <w:t>4</w:t>
            </w:r>
          </w:p>
        </w:tc>
        <w:tc>
          <w:tcPr>
            <w:tcW w:type="dxa" w:w="3312"/>
            <w:vAlign w:val="center"/>
          </w:tcPr>
          <w:p>
            <w:pPr>
              <w:spacing w:after="0"/>
            </w:pPr>
            <w:r/>
            <w:r>
              <w:rPr>
                <w:rFonts w:ascii="Arial" w:hAnsi="Arial"/>
                <w:b w:val="0"/>
                <w:sz w:val="18"/>
              </w:rPr>
              <w:t>Note the maternal education gradient when designing student support programmes. The observed ~3-point mean G3 difference between Medu = 1 and Medu = 4 is real, though its mechanism is unclear from this data alone.</w:t>
            </w:r>
          </w:p>
        </w:tc>
        <w:tc>
          <w:tcPr>
            <w:tcW w:type="dxa" w:w="3312"/>
            <w:vAlign w:val="center"/>
          </w:tcPr>
          <w:p>
            <w:pPr>
              <w:spacing w:after="0"/>
            </w:pPr>
            <w:r/>
            <w:r>
              <w:rPr>
                <w:rFonts w:ascii="Arial" w:hAnsi="Arial"/>
                <w:b w:val="0"/>
                <w:sz w:val="18"/>
              </w:rPr>
              <w:t>Supported by observation; mechanism unclear</w:t>
            </w:r>
          </w:p>
        </w:tc>
      </w:tr>
      <w:tr>
        <w:tc>
          <w:tcPr>
            <w:tcW w:type="dxa" w:w="3312"/>
            <w:vAlign w:val="center"/>
            <w:shd w:fill="F0F5FA"/>
          </w:tcPr>
          <w:p>
            <w:pPr>
              <w:spacing w:after="0"/>
            </w:pPr>
            <w:r/>
            <w:r>
              <w:rPr>
                <w:rFonts w:ascii="Arial" w:hAnsi="Arial"/>
                <w:b w:val="0"/>
                <w:sz w:val="18"/>
              </w:rPr>
              <w:t>5</w:t>
            </w:r>
          </w:p>
        </w:tc>
        <w:tc>
          <w:tcPr>
            <w:tcW w:type="dxa" w:w="3312"/>
            <w:vAlign w:val="center"/>
            <w:shd w:fill="F0F5FA"/>
          </w:tcPr>
          <w:p>
            <w:pPr>
              <w:spacing w:after="0"/>
            </w:pPr>
            <w:r/>
            <w:r>
              <w:rPr>
                <w:rFonts w:ascii="Arial" w:hAnsi="Arial"/>
                <w:b w:val="0"/>
                <w:sz w:val="18"/>
              </w:rPr>
              <w:t>Audit the 38 G3 = 0 records to determine their institutional meaning before using this dataset in further analysis or modelling.</w:t>
            </w:r>
          </w:p>
        </w:tc>
        <w:tc>
          <w:tcPr>
            <w:tcW w:type="dxa" w:w="3312"/>
            <w:vAlign w:val="center"/>
            <w:shd w:fill="F0F5FA"/>
          </w:tcPr>
          <w:p>
            <w:pPr>
              <w:spacing w:after="0"/>
            </w:pPr>
            <w:r/>
            <w:r>
              <w:rPr>
                <w:rFonts w:ascii="Arial" w:hAnsi="Arial"/>
                <w:b w:val="0"/>
                <w:sz w:val="18"/>
              </w:rPr>
              <w:t>Requires investigation before action</w:t>
            </w:r>
          </w:p>
        </w:tc>
      </w:tr>
    </w:tbl>
    <w:p/>
    <w:p>
      <w:pPr>
        <w:pStyle w:val="Heading1"/>
      </w:pPr>
      <w:r>
        <w:t>8. Machine Learning Approach</w:t>
      </w:r>
    </w:p>
    <w:p>
      <w:pPr>
        <w:pStyle w:val="Heading2"/>
      </w:pPr>
      <w:r>
        <w:t>Scenario and Leakage Reasoning</w:t>
      </w:r>
    </w:p>
    <w:p>
      <w:r>
        <w:t>Why G1 and G2 are excluded: G1 and G2 are period grades from the same academic year as G3. G2 alone has a Pearson correlation of 0.905 with G3. A model using these features would appear highly accurate but would only be applicable after those grades already exist — offering no early-warning value. The chosen scenario predicts G3 using only information available before the academic year begins.</w:t>
      </w:r>
    </w:p>
    <w:p>
      <w:r>
        <w:t>Features excluded: G1, G2 (target leakage), G3 (target variable)</w:t>
      </w:r>
    </w:p>
    <w:p>
      <w:r>
        <w:t>Features included: All remaining 30 columns</w:t>
      </w:r>
    </w:p>
    <w:p>
      <w:r>
        <w:t>Model: Random Forest Regressor (n_estimators = 100, random_state = 42)</w:t>
      </w:r>
    </w:p>
    <w:p>
      <w:r>
        <w:t>Encoding: Binary yes/no columns → 0/1; multi-category columns → one-hot (drop_first = True); ordinal integers kept as-is</w:t>
      </w:r>
    </w:p>
    <w:p>
      <w:pPr>
        <w:pStyle w:val="Heading2"/>
      </w:pPr>
      <w:r>
        <w:t>Evaluation Results</w:t>
      </w:r>
    </w:p>
    <w:p>
      <w:r>
        <w:t>Primary evaluation — 5-fold cross-validation (n = 395):</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E5E8E"/>
          </w:tcPr>
          <w:p>
            <w:pPr>
              <w:spacing w:after="0"/>
            </w:pPr>
            <w:r/>
            <w:r>
              <w:rPr>
                <w:rFonts w:ascii="Arial" w:hAnsi="Arial"/>
                <w:b/>
                <w:color w:val="FFFFFF"/>
                <w:sz w:val="18"/>
              </w:rPr>
              <w:t>Metric</w:t>
            </w:r>
          </w:p>
        </w:tc>
        <w:tc>
          <w:tcPr>
            <w:tcW w:type="dxa" w:w="4968"/>
            <w:vAlign w:val="center"/>
            <w:shd w:fill="2E5E8E"/>
          </w:tcPr>
          <w:p>
            <w:pPr>
              <w:spacing w:after="0"/>
            </w:pPr>
            <w:r/>
            <w:r>
              <w:rPr>
                <w:rFonts w:ascii="Arial" w:hAnsi="Arial"/>
                <w:b/>
                <w:color w:val="FFFFFF"/>
                <w:sz w:val="18"/>
              </w:rPr>
              <w:t>Result</w:t>
            </w:r>
          </w:p>
        </w:tc>
      </w:tr>
      <w:tr>
        <w:tc>
          <w:tcPr>
            <w:tcW w:type="dxa" w:w="4968"/>
            <w:vAlign w:val="center"/>
            <w:shd w:fill="F0F5FA"/>
          </w:tcPr>
          <w:p>
            <w:pPr>
              <w:spacing w:after="0"/>
            </w:pPr>
            <w:r/>
            <w:r>
              <w:rPr>
                <w:rFonts w:ascii="Arial" w:hAnsi="Arial"/>
                <w:b w:val="0"/>
                <w:sz w:val="18"/>
              </w:rPr>
              <w:t>CV RMSE</w:t>
            </w:r>
          </w:p>
        </w:tc>
        <w:tc>
          <w:tcPr>
            <w:tcW w:type="dxa" w:w="4968"/>
            <w:vAlign w:val="center"/>
            <w:shd w:fill="F0F5FA"/>
          </w:tcPr>
          <w:p>
            <w:pPr>
              <w:spacing w:after="0"/>
            </w:pPr>
            <w:r/>
            <w:r>
              <w:rPr>
                <w:rFonts w:ascii="Arial" w:hAnsi="Arial"/>
                <w:b w:val="0"/>
                <w:sz w:val="18"/>
              </w:rPr>
              <w:t>3.819 ± 0.238</w:t>
            </w:r>
          </w:p>
        </w:tc>
      </w:tr>
      <w:tr>
        <w:tc>
          <w:tcPr>
            <w:tcW w:type="dxa" w:w="4968"/>
            <w:vAlign w:val="center"/>
          </w:tcPr>
          <w:p>
            <w:pPr>
              <w:spacing w:after="0"/>
            </w:pPr>
            <w:r/>
            <w:r>
              <w:rPr>
                <w:rFonts w:ascii="Arial" w:hAnsi="Arial"/>
                <w:b w:val="0"/>
                <w:sz w:val="18"/>
              </w:rPr>
              <w:t>CV R²</w:t>
            </w:r>
          </w:p>
        </w:tc>
        <w:tc>
          <w:tcPr>
            <w:tcW w:type="dxa" w:w="4968"/>
            <w:vAlign w:val="center"/>
          </w:tcPr>
          <w:p>
            <w:pPr>
              <w:spacing w:after="0"/>
            </w:pPr>
            <w:r/>
            <w:r>
              <w:rPr>
                <w:rFonts w:ascii="Arial" w:hAnsi="Arial"/>
                <w:b w:val="0"/>
                <w:sz w:val="18"/>
              </w:rPr>
              <w:t>0.293 ± 0.040</w:t>
            </w:r>
          </w:p>
        </w:tc>
      </w:tr>
    </w:tbl>
    <w:p/>
    <w:p>
      <w:r>
        <w:t>Single 80/20 split (supplementary; used for feature importance chart):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E5E8E"/>
          </w:tcPr>
          <w:p>
            <w:pPr>
              <w:spacing w:after="0"/>
            </w:pPr>
            <w:r/>
            <w:r>
              <w:rPr>
                <w:rFonts w:ascii="Arial" w:hAnsi="Arial"/>
                <w:b/>
                <w:color w:val="FFFFFF"/>
                <w:sz w:val="18"/>
              </w:rPr>
              <w:t>Metric</w:t>
            </w:r>
          </w:p>
        </w:tc>
        <w:tc>
          <w:tcPr>
            <w:tcW w:type="dxa" w:w="4968"/>
            <w:vAlign w:val="center"/>
            <w:shd w:fill="2E5E8E"/>
          </w:tcPr>
          <w:p>
            <w:pPr>
              <w:spacing w:after="0"/>
            </w:pPr>
            <w:r/>
            <w:r>
              <w:rPr>
                <w:rFonts w:ascii="Arial" w:hAnsi="Arial"/>
                <w:b/>
                <w:color w:val="FFFFFF"/>
                <w:sz w:val="18"/>
              </w:rPr>
              <w:t>Result</w:t>
            </w:r>
          </w:p>
        </w:tc>
      </w:tr>
      <w:tr>
        <w:tc>
          <w:tcPr>
            <w:tcW w:type="dxa" w:w="4968"/>
            <w:vAlign w:val="center"/>
            <w:shd w:fill="F0F5FA"/>
          </w:tcPr>
          <w:p>
            <w:pPr>
              <w:spacing w:after="0"/>
            </w:pPr>
            <w:r/>
            <w:r>
              <w:rPr>
                <w:rFonts w:ascii="Arial" w:hAnsi="Arial"/>
                <w:b w:val="0"/>
                <w:sz w:val="18"/>
              </w:rPr>
              <w:t>Baseline RMSE (predict training mean)</w:t>
            </w:r>
          </w:p>
        </w:tc>
        <w:tc>
          <w:tcPr>
            <w:tcW w:type="dxa" w:w="4968"/>
            <w:vAlign w:val="center"/>
            <w:shd w:fill="F0F5FA"/>
          </w:tcPr>
          <w:p>
            <w:pPr>
              <w:spacing w:after="0"/>
            </w:pPr>
            <w:r/>
            <w:r>
              <w:rPr>
                <w:rFonts w:ascii="Arial" w:hAnsi="Arial"/>
                <w:b w:val="0"/>
                <w:sz w:val="18"/>
              </w:rPr>
              <w:t>4.550</w:t>
            </w:r>
          </w:p>
        </w:tc>
      </w:tr>
      <w:tr>
        <w:tc>
          <w:tcPr>
            <w:tcW w:type="dxa" w:w="4968"/>
            <w:vAlign w:val="center"/>
          </w:tcPr>
          <w:p>
            <w:pPr>
              <w:spacing w:after="0"/>
            </w:pPr>
            <w:r/>
            <w:r>
              <w:rPr>
                <w:rFonts w:ascii="Arial" w:hAnsi="Arial"/>
                <w:b w:val="0"/>
                <w:sz w:val="18"/>
              </w:rPr>
              <w:t>Model Test RMSE</w:t>
            </w:r>
          </w:p>
        </w:tc>
        <w:tc>
          <w:tcPr>
            <w:tcW w:type="dxa" w:w="4968"/>
            <w:vAlign w:val="center"/>
          </w:tcPr>
          <w:p>
            <w:pPr>
              <w:spacing w:after="0"/>
            </w:pPr>
            <w:r/>
            <w:r>
              <w:rPr>
                <w:rFonts w:ascii="Arial" w:hAnsi="Arial"/>
                <w:b w:val="0"/>
                <w:sz w:val="18"/>
              </w:rPr>
              <w:t>3.921</w:t>
            </w:r>
          </w:p>
        </w:tc>
      </w:tr>
      <w:tr>
        <w:tc>
          <w:tcPr>
            <w:tcW w:type="dxa" w:w="4968"/>
            <w:vAlign w:val="center"/>
            <w:shd w:fill="F0F5FA"/>
          </w:tcPr>
          <w:p>
            <w:pPr>
              <w:spacing w:after="0"/>
            </w:pPr>
            <w:r/>
            <w:r>
              <w:rPr>
                <w:rFonts w:ascii="Arial" w:hAnsi="Arial"/>
                <w:b w:val="0"/>
                <w:sz w:val="18"/>
              </w:rPr>
              <w:t>Model Test R²</w:t>
            </w:r>
          </w:p>
        </w:tc>
        <w:tc>
          <w:tcPr>
            <w:tcW w:type="dxa" w:w="4968"/>
            <w:vAlign w:val="center"/>
            <w:shd w:fill="F0F5FA"/>
          </w:tcPr>
          <w:p>
            <w:pPr>
              <w:spacing w:after="0"/>
            </w:pPr>
            <w:r/>
            <w:r>
              <w:rPr>
                <w:rFonts w:ascii="Arial" w:hAnsi="Arial"/>
                <w:b w:val="0"/>
                <w:sz w:val="18"/>
              </w:rPr>
              <w:t>0.250</w:t>
            </w:r>
          </w:p>
        </w:tc>
      </w:tr>
    </w:tbl>
    <w:p/>
    <w:p>
      <w:r>
        <w:t>The model improves on the naive baseline (RMSE 4.550 → 3.921 on the test split; cross-validated RMSE of 3.819). The R² of 0.293 indicates that background factors alone explain approximately 29% of G3 variance. This is modest — as expected and appropriate for an early-warning model without access to period grades. A substantially higher R² without G1/G2 would be a signal to investigate for additional leakage.</w:t>
      </w:r>
    </w:p>
    <w:p>
      <w:r>
        <w:rPr>
          <w:i/>
        </w:rPr>
        <w:t>Limitation: A single 80/20 split on 395 rows is sensitive to the random seed. Cross-validation is the primary reliability measure.</w:t>
      </w:r>
    </w:p>
    <w:p>
      <w:pPr>
        <w:pStyle w:val="Heading2"/>
      </w:pPr>
      <w:r>
        <w:t>Feature Importances (Top 15)</w:t>
      </w:r>
    </w:p>
    <w:p>
      <w:r>
        <w:t>Saved as: figures/chart_ml_feature_importances.png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E5E8E"/>
          </w:tcPr>
          <w:p>
            <w:pPr>
              <w:spacing w:after="0"/>
            </w:pPr>
            <w:r/>
            <w:r>
              <w:rPr>
                <w:rFonts w:ascii="Arial" w:hAnsi="Arial"/>
                <w:b/>
                <w:color w:val="FFFFFF"/>
                <w:sz w:val="18"/>
              </w:rPr>
              <w:t>Rank</w:t>
            </w:r>
          </w:p>
        </w:tc>
        <w:tc>
          <w:tcPr>
            <w:tcW w:type="dxa" w:w="3312"/>
            <w:vAlign w:val="center"/>
            <w:shd w:fill="2E5E8E"/>
          </w:tcPr>
          <w:p>
            <w:pPr>
              <w:spacing w:after="0"/>
            </w:pPr>
            <w:r/>
            <w:r>
              <w:rPr>
                <w:rFonts w:ascii="Arial" w:hAnsi="Arial"/>
                <w:b/>
                <w:color w:val="FFFFFF"/>
                <w:sz w:val="18"/>
              </w:rPr>
              <w:t>Feature</w:t>
            </w:r>
          </w:p>
        </w:tc>
        <w:tc>
          <w:tcPr>
            <w:tcW w:type="dxa" w:w="3312"/>
            <w:vAlign w:val="center"/>
            <w:shd w:fill="2E5E8E"/>
          </w:tcPr>
          <w:p>
            <w:pPr>
              <w:spacing w:after="0"/>
            </w:pPr>
            <w:r/>
            <w:r>
              <w:rPr>
                <w:rFonts w:ascii="Arial" w:hAnsi="Arial"/>
                <w:b/>
                <w:color w:val="FFFFFF"/>
                <w:sz w:val="18"/>
              </w:rPr>
              <w:t>Importance</w:t>
            </w:r>
          </w:p>
        </w:tc>
      </w:tr>
      <w:tr>
        <w:tc>
          <w:tcPr>
            <w:tcW w:type="dxa" w:w="3312"/>
            <w:vAlign w:val="center"/>
            <w:shd w:fill="F0F5FA"/>
          </w:tcPr>
          <w:p>
            <w:pPr>
              <w:spacing w:after="0"/>
            </w:pPr>
            <w:r/>
            <w:r>
              <w:rPr>
                <w:rFonts w:ascii="Arial" w:hAnsi="Arial"/>
                <w:b w:val="0"/>
                <w:sz w:val="18"/>
              </w:rPr>
              <w:t>1</w:t>
            </w:r>
          </w:p>
        </w:tc>
        <w:tc>
          <w:tcPr>
            <w:tcW w:type="dxa" w:w="3312"/>
            <w:vAlign w:val="center"/>
            <w:shd w:fill="F0F5FA"/>
          </w:tcPr>
          <w:p>
            <w:pPr>
              <w:spacing w:after="0"/>
            </w:pPr>
            <w:r/>
            <w:r>
              <w:rPr>
                <w:rFonts w:ascii="Arial" w:hAnsi="Arial"/>
                <w:b w:val="0"/>
                <w:sz w:val="18"/>
              </w:rPr>
              <w:t>absences</w:t>
            </w:r>
          </w:p>
        </w:tc>
        <w:tc>
          <w:tcPr>
            <w:tcW w:type="dxa" w:w="3312"/>
            <w:vAlign w:val="center"/>
            <w:shd w:fill="F0F5FA"/>
          </w:tcPr>
          <w:p>
            <w:pPr>
              <w:spacing w:after="0"/>
            </w:pPr>
            <w:r/>
            <w:r>
              <w:rPr>
                <w:rFonts w:ascii="Arial" w:hAnsi="Arial"/>
                <w:b w:val="0"/>
                <w:sz w:val="18"/>
              </w:rPr>
              <w:t>0.1926</w:t>
            </w:r>
          </w:p>
        </w:tc>
      </w:tr>
      <w:tr>
        <w:tc>
          <w:tcPr>
            <w:tcW w:type="dxa" w:w="3312"/>
            <w:vAlign w:val="center"/>
          </w:tcPr>
          <w:p>
            <w:pPr>
              <w:spacing w:after="0"/>
            </w:pPr>
            <w:r/>
            <w:r>
              <w:rPr>
                <w:rFonts w:ascii="Arial" w:hAnsi="Arial"/>
                <w:b w:val="0"/>
                <w:sz w:val="18"/>
              </w:rPr>
              <w:t>2</w:t>
            </w:r>
          </w:p>
        </w:tc>
        <w:tc>
          <w:tcPr>
            <w:tcW w:type="dxa" w:w="3312"/>
            <w:vAlign w:val="center"/>
          </w:tcPr>
          <w:p>
            <w:pPr>
              <w:spacing w:after="0"/>
            </w:pPr>
            <w:r/>
            <w:r>
              <w:rPr>
                <w:rFonts w:ascii="Arial" w:hAnsi="Arial"/>
                <w:b w:val="0"/>
                <w:sz w:val="18"/>
              </w:rPr>
              <w:t>failures</w:t>
            </w:r>
          </w:p>
        </w:tc>
        <w:tc>
          <w:tcPr>
            <w:tcW w:type="dxa" w:w="3312"/>
            <w:vAlign w:val="center"/>
          </w:tcPr>
          <w:p>
            <w:pPr>
              <w:spacing w:after="0"/>
            </w:pPr>
            <w:r/>
            <w:r>
              <w:rPr>
                <w:rFonts w:ascii="Arial" w:hAnsi="Arial"/>
                <w:b w:val="0"/>
                <w:sz w:val="18"/>
              </w:rPr>
              <w:t>0.1424</w:t>
            </w:r>
          </w:p>
        </w:tc>
      </w:tr>
      <w:tr>
        <w:tc>
          <w:tcPr>
            <w:tcW w:type="dxa" w:w="3312"/>
            <w:vAlign w:val="center"/>
            <w:shd w:fill="F0F5FA"/>
          </w:tcPr>
          <w:p>
            <w:pPr>
              <w:spacing w:after="0"/>
            </w:pPr>
            <w:r/>
            <w:r>
              <w:rPr>
                <w:rFonts w:ascii="Arial" w:hAnsi="Arial"/>
                <w:b w:val="0"/>
                <w:sz w:val="18"/>
              </w:rPr>
              <w:t>3</w:t>
            </w:r>
          </w:p>
        </w:tc>
        <w:tc>
          <w:tcPr>
            <w:tcW w:type="dxa" w:w="3312"/>
            <w:vAlign w:val="center"/>
            <w:shd w:fill="F0F5FA"/>
          </w:tcPr>
          <w:p>
            <w:pPr>
              <w:spacing w:after="0"/>
            </w:pPr>
            <w:r/>
            <w:r>
              <w:rPr>
                <w:rFonts w:ascii="Arial" w:hAnsi="Arial"/>
                <w:b w:val="0"/>
                <w:sz w:val="18"/>
              </w:rPr>
              <w:t>health</w:t>
            </w:r>
          </w:p>
        </w:tc>
        <w:tc>
          <w:tcPr>
            <w:tcW w:type="dxa" w:w="3312"/>
            <w:vAlign w:val="center"/>
            <w:shd w:fill="F0F5FA"/>
          </w:tcPr>
          <w:p>
            <w:pPr>
              <w:spacing w:after="0"/>
            </w:pPr>
            <w:r/>
            <w:r>
              <w:rPr>
                <w:rFonts w:ascii="Arial" w:hAnsi="Arial"/>
                <w:b w:val="0"/>
                <w:sz w:val="18"/>
              </w:rPr>
              <w:t>0.0550</w:t>
            </w:r>
          </w:p>
        </w:tc>
      </w:tr>
      <w:tr>
        <w:tc>
          <w:tcPr>
            <w:tcW w:type="dxa" w:w="3312"/>
            <w:vAlign w:val="center"/>
          </w:tcPr>
          <w:p>
            <w:pPr>
              <w:spacing w:after="0"/>
            </w:pPr>
            <w:r/>
            <w:r>
              <w:rPr>
                <w:rFonts w:ascii="Arial" w:hAnsi="Arial"/>
                <w:b w:val="0"/>
                <w:sz w:val="18"/>
              </w:rPr>
              <w:t>4</w:t>
            </w:r>
          </w:p>
        </w:tc>
        <w:tc>
          <w:tcPr>
            <w:tcW w:type="dxa" w:w="3312"/>
            <w:vAlign w:val="center"/>
          </w:tcPr>
          <w:p>
            <w:pPr>
              <w:spacing w:after="0"/>
            </w:pPr>
            <w:r/>
            <w:r>
              <w:rPr>
                <w:rFonts w:ascii="Arial" w:hAnsi="Arial"/>
                <w:b w:val="0"/>
                <w:sz w:val="18"/>
              </w:rPr>
              <w:t>goout</w:t>
            </w:r>
          </w:p>
        </w:tc>
        <w:tc>
          <w:tcPr>
            <w:tcW w:type="dxa" w:w="3312"/>
            <w:vAlign w:val="center"/>
          </w:tcPr>
          <w:p>
            <w:pPr>
              <w:spacing w:after="0"/>
            </w:pPr>
            <w:r/>
            <w:r>
              <w:rPr>
                <w:rFonts w:ascii="Arial" w:hAnsi="Arial"/>
                <w:b w:val="0"/>
                <w:sz w:val="18"/>
              </w:rPr>
              <w:t>0.0511</w:t>
            </w:r>
          </w:p>
        </w:tc>
      </w:tr>
      <w:tr>
        <w:tc>
          <w:tcPr>
            <w:tcW w:type="dxa" w:w="3312"/>
            <w:vAlign w:val="center"/>
            <w:shd w:fill="F0F5FA"/>
          </w:tcPr>
          <w:p>
            <w:pPr>
              <w:spacing w:after="0"/>
            </w:pPr>
            <w:r/>
            <w:r>
              <w:rPr>
                <w:rFonts w:ascii="Arial" w:hAnsi="Arial"/>
                <w:b w:val="0"/>
                <w:sz w:val="18"/>
              </w:rPr>
              <w:t>5</w:t>
            </w:r>
          </w:p>
        </w:tc>
        <w:tc>
          <w:tcPr>
            <w:tcW w:type="dxa" w:w="3312"/>
            <w:vAlign w:val="center"/>
            <w:shd w:fill="F0F5FA"/>
          </w:tcPr>
          <w:p>
            <w:pPr>
              <w:spacing w:after="0"/>
            </w:pPr>
            <w:r/>
            <w:r>
              <w:rPr>
                <w:rFonts w:ascii="Arial" w:hAnsi="Arial"/>
                <w:b w:val="0"/>
                <w:sz w:val="18"/>
              </w:rPr>
              <w:t>age</w:t>
            </w:r>
          </w:p>
        </w:tc>
        <w:tc>
          <w:tcPr>
            <w:tcW w:type="dxa" w:w="3312"/>
            <w:vAlign w:val="center"/>
            <w:shd w:fill="F0F5FA"/>
          </w:tcPr>
          <w:p>
            <w:pPr>
              <w:spacing w:after="0"/>
            </w:pPr>
            <w:r/>
            <w:r>
              <w:rPr>
                <w:rFonts w:ascii="Arial" w:hAnsi="Arial"/>
                <w:b w:val="0"/>
                <w:sz w:val="18"/>
              </w:rPr>
              <w:t>0.0437</w:t>
            </w:r>
          </w:p>
        </w:tc>
      </w:tr>
      <w:tr>
        <w:tc>
          <w:tcPr>
            <w:tcW w:type="dxa" w:w="3312"/>
            <w:vAlign w:val="center"/>
          </w:tcPr>
          <w:p>
            <w:pPr>
              <w:spacing w:after="0"/>
            </w:pPr>
            <w:r/>
            <w:r>
              <w:rPr>
                <w:rFonts w:ascii="Arial" w:hAnsi="Arial"/>
                <w:b w:val="0"/>
                <w:sz w:val="18"/>
              </w:rPr>
              <w:t>6</w:t>
            </w:r>
          </w:p>
        </w:tc>
        <w:tc>
          <w:tcPr>
            <w:tcW w:type="dxa" w:w="3312"/>
            <w:vAlign w:val="center"/>
          </w:tcPr>
          <w:p>
            <w:pPr>
              <w:spacing w:after="0"/>
            </w:pPr>
            <w:r/>
            <w:r>
              <w:rPr>
                <w:rFonts w:ascii="Arial" w:hAnsi="Arial"/>
                <w:b w:val="0"/>
                <w:sz w:val="18"/>
              </w:rPr>
              <w:t>studytime</w:t>
            </w:r>
          </w:p>
        </w:tc>
        <w:tc>
          <w:tcPr>
            <w:tcW w:type="dxa" w:w="3312"/>
            <w:vAlign w:val="center"/>
          </w:tcPr>
          <w:p>
            <w:pPr>
              <w:spacing w:after="0"/>
            </w:pPr>
            <w:r/>
            <w:r>
              <w:rPr>
                <w:rFonts w:ascii="Arial" w:hAnsi="Arial"/>
                <w:b w:val="0"/>
                <w:sz w:val="18"/>
              </w:rPr>
              <w:t>0.0345</w:t>
            </w:r>
          </w:p>
        </w:tc>
      </w:tr>
      <w:tr>
        <w:tc>
          <w:tcPr>
            <w:tcW w:type="dxa" w:w="3312"/>
            <w:vAlign w:val="center"/>
            <w:shd w:fill="F0F5FA"/>
          </w:tcPr>
          <w:p>
            <w:pPr>
              <w:spacing w:after="0"/>
            </w:pPr>
            <w:r/>
            <w:r>
              <w:rPr>
                <w:rFonts w:ascii="Arial" w:hAnsi="Arial"/>
                <w:b w:val="0"/>
                <w:sz w:val="18"/>
              </w:rPr>
              <w:t>7</w:t>
            </w:r>
          </w:p>
        </w:tc>
        <w:tc>
          <w:tcPr>
            <w:tcW w:type="dxa" w:w="3312"/>
            <w:vAlign w:val="center"/>
            <w:shd w:fill="F0F5FA"/>
          </w:tcPr>
          <w:p>
            <w:pPr>
              <w:spacing w:after="0"/>
            </w:pPr>
            <w:r/>
            <w:r>
              <w:rPr>
                <w:rFonts w:ascii="Arial" w:hAnsi="Arial"/>
                <w:b w:val="0"/>
                <w:sz w:val="18"/>
              </w:rPr>
              <w:t>freetime</w:t>
            </w:r>
          </w:p>
        </w:tc>
        <w:tc>
          <w:tcPr>
            <w:tcW w:type="dxa" w:w="3312"/>
            <w:vAlign w:val="center"/>
            <w:shd w:fill="F0F5FA"/>
          </w:tcPr>
          <w:p>
            <w:pPr>
              <w:spacing w:after="0"/>
            </w:pPr>
            <w:r/>
            <w:r>
              <w:rPr>
                <w:rFonts w:ascii="Arial" w:hAnsi="Arial"/>
                <w:b w:val="0"/>
                <w:sz w:val="18"/>
              </w:rPr>
              <w:t>0.0318</w:t>
            </w:r>
          </w:p>
        </w:tc>
      </w:tr>
      <w:tr>
        <w:tc>
          <w:tcPr>
            <w:tcW w:type="dxa" w:w="3312"/>
            <w:vAlign w:val="center"/>
          </w:tcPr>
          <w:p>
            <w:pPr>
              <w:spacing w:after="0"/>
            </w:pPr>
            <w:r/>
            <w:r>
              <w:rPr>
                <w:rFonts w:ascii="Arial" w:hAnsi="Arial"/>
                <w:b w:val="0"/>
                <w:sz w:val="18"/>
              </w:rPr>
              <w:t>8</w:t>
            </w:r>
          </w:p>
        </w:tc>
        <w:tc>
          <w:tcPr>
            <w:tcW w:type="dxa" w:w="3312"/>
            <w:vAlign w:val="center"/>
          </w:tcPr>
          <w:p>
            <w:pPr>
              <w:spacing w:after="0"/>
            </w:pPr>
            <w:r/>
            <w:r>
              <w:rPr>
                <w:rFonts w:ascii="Arial" w:hAnsi="Arial"/>
                <w:b w:val="0"/>
                <w:sz w:val="18"/>
              </w:rPr>
              <w:t>Fedu</w:t>
            </w:r>
          </w:p>
        </w:tc>
        <w:tc>
          <w:tcPr>
            <w:tcW w:type="dxa" w:w="3312"/>
            <w:vAlign w:val="center"/>
          </w:tcPr>
          <w:p>
            <w:pPr>
              <w:spacing w:after="0"/>
            </w:pPr>
            <w:r/>
            <w:r>
              <w:rPr>
                <w:rFonts w:ascii="Arial" w:hAnsi="Arial"/>
                <w:b w:val="0"/>
                <w:sz w:val="18"/>
              </w:rPr>
              <w:t>0.0317</w:t>
            </w:r>
          </w:p>
        </w:tc>
      </w:tr>
      <w:tr>
        <w:tc>
          <w:tcPr>
            <w:tcW w:type="dxa" w:w="3312"/>
            <w:vAlign w:val="center"/>
            <w:shd w:fill="F0F5FA"/>
          </w:tcPr>
          <w:p>
            <w:pPr>
              <w:spacing w:after="0"/>
            </w:pPr>
            <w:r/>
            <w:r>
              <w:rPr>
                <w:rFonts w:ascii="Arial" w:hAnsi="Arial"/>
                <w:b w:val="0"/>
                <w:sz w:val="18"/>
              </w:rPr>
              <w:t>9</w:t>
            </w:r>
          </w:p>
        </w:tc>
        <w:tc>
          <w:tcPr>
            <w:tcW w:type="dxa" w:w="3312"/>
            <w:vAlign w:val="center"/>
            <w:shd w:fill="F0F5FA"/>
          </w:tcPr>
          <w:p>
            <w:pPr>
              <w:spacing w:after="0"/>
            </w:pPr>
            <w:r/>
            <w:r>
              <w:rPr>
                <w:rFonts w:ascii="Arial" w:hAnsi="Arial"/>
                <w:b w:val="0"/>
                <w:sz w:val="18"/>
              </w:rPr>
              <w:t>traveltime</w:t>
            </w:r>
          </w:p>
        </w:tc>
        <w:tc>
          <w:tcPr>
            <w:tcW w:type="dxa" w:w="3312"/>
            <w:vAlign w:val="center"/>
            <w:shd w:fill="F0F5FA"/>
          </w:tcPr>
          <w:p>
            <w:pPr>
              <w:spacing w:after="0"/>
            </w:pPr>
            <w:r/>
            <w:r>
              <w:rPr>
                <w:rFonts w:ascii="Arial" w:hAnsi="Arial"/>
                <w:b w:val="0"/>
                <w:sz w:val="18"/>
              </w:rPr>
              <w:t>0.0316</w:t>
            </w:r>
          </w:p>
        </w:tc>
      </w:tr>
      <w:tr>
        <w:tc>
          <w:tcPr>
            <w:tcW w:type="dxa" w:w="3312"/>
            <w:vAlign w:val="center"/>
          </w:tcPr>
          <w:p>
            <w:pPr>
              <w:spacing w:after="0"/>
            </w:pPr>
            <w:r/>
            <w:r>
              <w:rPr>
                <w:rFonts w:ascii="Arial" w:hAnsi="Arial"/>
                <w:b w:val="0"/>
                <w:sz w:val="18"/>
              </w:rPr>
              <w:t>10</w:t>
            </w:r>
          </w:p>
        </w:tc>
        <w:tc>
          <w:tcPr>
            <w:tcW w:type="dxa" w:w="3312"/>
            <w:vAlign w:val="center"/>
          </w:tcPr>
          <w:p>
            <w:pPr>
              <w:spacing w:after="0"/>
            </w:pPr>
            <w:r/>
            <w:r>
              <w:rPr>
                <w:rFonts w:ascii="Arial" w:hAnsi="Arial"/>
                <w:b w:val="0"/>
                <w:sz w:val="18"/>
              </w:rPr>
              <w:t>Walc</w:t>
            </w:r>
          </w:p>
        </w:tc>
        <w:tc>
          <w:tcPr>
            <w:tcW w:type="dxa" w:w="3312"/>
            <w:vAlign w:val="center"/>
          </w:tcPr>
          <w:p>
            <w:pPr>
              <w:spacing w:after="0"/>
            </w:pPr>
            <w:r/>
            <w:r>
              <w:rPr>
                <w:rFonts w:ascii="Arial" w:hAnsi="Arial"/>
                <w:b w:val="0"/>
                <w:sz w:val="18"/>
              </w:rPr>
              <w:t>0.0297</w:t>
            </w:r>
          </w:p>
        </w:tc>
      </w:tr>
    </w:tbl>
    <w:p/>
    <w:p>
      <w:r>
        <w:t>Note on feature importances: These are the model's internal weightings (mean decrease in impurity), not validated causal relationships. The high importance of absences in the model contrasts with its near-zero linear correlation with G3 (r = 0.034). This reflects that the Random Forest captures non-linear and interaction effects that Pearson correlation does not — absences may interact with other features in ways that help partition the data, without having a simple linear relationship with G3. failures ranking second is consistent with its being the strongest linear non-grade correlate.</w:t>
      </w:r>
    </w:p>
    <w:p>
      <w:pPr>
        <w:pStyle w:val="Heading2"/>
      </w:pPr>
      <w:r>
        <w:t>Sensitivity Analysis — G3 = 0 Records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E5E8E"/>
          </w:tcPr>
          <w:p>
            <w:pPr>
              <w:spacing w:after="0"/>
            </w:pPr>
            <w:r/>
            <w:r>
              <w:rPr>
                <w:rFonts w:ascii="Arial" w:hAnsi="Arial"/>
                <w:b/>
                <w:color w:val="FFFFFF"/>
                <w:sz w:val="18"/>
              </w:rPr>
              <w:t>Dataset</w:t>
            </w:r>
          </w:p>
        </w:tc>
        <w:tc>
          <w:tcPr>
            <w:tcW w:type="dxa" w:w="3312"/>
            <w:vAlign w:val="center"/>
            <w:shd w:fill="2E5E8E"/>
          </w:tcPr>
          <w:p>
            <w:pPr>
              <w:spacing w:after="0"/>
            </w:pPr>
            <w:r/>
            <w:r>
              <w:rPr>
                <w:rFonts w:ascii="Arial" w:hAnsi="Arial"/>
                <w:b/>
                <w:color w:val="FFFFFF"/>
                <w:sz w:val="18"/>
              </w:rPr>
              <w:t>CV RMSE</w:t>
            </w:r>
          </w:p>
        </w:tc>
        <w:tc>
          <w:tcPr>
            <w:tcW w:type="dxa" w:w="3312"/>
            <w:vAlign w:val="center"/>
            <w:shd w:fill="2E5E8E"/>
          </w:tcPr>
          <w:p>
            <w:pPr>
              <w:spacing w:after="0"/>
            </w:pPr>
            <w:r/>
            <w:r>
              <w:rPr>
                <w:rFonts w:ascii="Arial" w:hAnsi="Arial"/>
                <w:b/>
                <w:color w:val="FFFFFF"/>
                <w:sz w:val="18"/>
              </w:rPr>
              <w:t>CV R²</w:t>
            </w:r>
          </w:p>
        </w:tc>
      </w:tr>
      <w:tr>
        <w:tc>
          <w:tcPr>
            <w:tcW w:type="dxa" w:w="3312"/>
            <w:vAlign w:val="center"/>
            <w:shd w:fill="F0F5FA"/>
          </w:tcPr>
          <w:p>
            <w:pPr>
              <w:spacing w:after="0"/>
            </w:pPr>
            <w:r/>
            <w:r>
              <w:rPr>
                <w:rFonts w:ascii="Arial" w:hAnsi="Arial"/>
                <w:b w:val="0"/>
                <w:sz w:val="18"/>
              </w:rPr>
              <w:t>Full (n = 395)</w:t>
            </w:r>
          </w:p>
        </w:tc>
        <w:tc>
          <w:tcPr>
            <w:tcW w:type="dxa" w:w="3312"/>
            <w:vAlign w:val="center"/>
            <w:shd w:fill="F0F5FA"/>
          </w:tcPr>
          <w:p>
            <w:pPr>
              <w:spacing w:after="0"/>
            </w:pPr>
            <w:r/>
            <w:r>
              <w:rPr>
                <w:rFonts w:ascii="Arial" w:hAnsi="Arial"/>
                <w:b w:val="0"/>
                <w:sz w:val="18"/>
              </w:rPr>
              <w:t>3.819 ± 0.238</w:t>
            </w:r>
          </w:p>
        </w:tc>
        <w:tc>
          <w:tcPr>
            <w:tcW w:type="dxa" w:w="3312"/>
            <w:vAlign w:val="center"/>
            <w:shd w:fill="F0F5FA"/>
          </w:tcPr>
          <w:p>
            <w:pPr>
              <w:spacing w:after="0"/>
            </w:pPr>
            <w:r/>
            <w:r>
              <w:rPr>
                <w:rFonts w:ascii="Arial" w:hAnsi="Arial"/>
                <w:b w:val="0"/>
                <w:sz w:val="18"/>
              </w:rPr>
              <w:t>0.293 ± 0.040</w:t>
            </w:r>
          </w:p>
        </w:tc>
      </w:tr>
      <w:tr>
        <w:tc>
          <w:tcPr>
            <w:tcW w:type="dxa" w:w="3312"/>
            <w:vAlign w:val="center"/>
          </w:tcPr>
          <w:p>
            <w:pPr>
              <w:spacing w:after="0"/>
            </w:pPr>
            <w:r/>
            <w:r>
              <w:rPr>
                <w:rFonts w:ascii="Arial" w:hAnsi="Arial"/>
                <w:b w:val="0"/>
                <w:sz w:val="18"/>
              </w:rPr>
              <w:t>Excluding G3 = 0 (n = 357)</w:t>
            </w:r>
          </w:p>
        </w:tc>
        <w:tc>
          <w:tcPr>
            <w:tcW w:type="dxa" w:w="3312"/>
            <w:vAlign w:val="center"/>
          </w:tcPr>
          <w:p>
            <w:pPr>
              <w:spacing w:after="0"/>
            </w:pPr>
            <w:r/>
            <w:r>
              <w:rPr>
                <w:rFonts w:ascii="Arial" w:hAnsi="Arial"/>
                <w:b w:val="0"/>
                <w:sz w:val="18"/>
              </w:rPr>
              <w:t>2.911 ± 0.160</w:t>
            </w:r>
          </w:p>
        </w:tc>
        <w:tc>
          <w:tcPr>
            <w:tcW w:type="dxa" w:w="3312"/>
            <w:vAlign w:val="center"/>
          </w:tcPr>
          <w:p>
            <w:pPr>
              <w:spacing w:after="0"/>
            </w:pPr>
            <w:r/>
            <w:r>
              <w:rPr>
                <w:rFonts w:ascii="Arial" w:hAnsi="Arial"/>
                <w:b w:val="0"/>
                <w:sz w:val="18"/>
              </w:rPr>
              <w:t>0.179 ± 0.049</w:t>
            </w:r>
          </w:p>
        </w:tc>
      </w:tr>
      <w:tr>
        <w:tc>
          <w:tcPr>
            <w:tcW w:type="dxa" w:w="3312"/>
            <w:vAlign w:val="center"/>
            <w:shd w:fill="F0F5FA"/>
          </w:tcPr>
          <w:p>
            <w:pPr>
              <w:spacing w:after="0"/>
            </w:pPr>
            <w:r/>
            <w:r>
              <w:rPr>
                <w:rFonts w:ascii="Arial" w:hAnsi="Arial"/>
                <w:b w:val="0"/>
                <w:sz w:val="18"/>
              </w:rPr>
              <w:t>Change</w:t>
            </w:r>
          </w:p>
        </w:tc>
        <w:tc>
          <w:tcPr>
            <w:tcW w:type="dxa" w:w="3312"/>
            <w:vAlign w:val="center"/>
            <w:shd w:fill="F0F5FA"/>
          </w:tcPr>
          <w:p>
            <w:pPr>
              <w:spacing w:after="0"/>
            </w:pPr>
            <w:r/>
            <w:r>
              <w:rPr>
                <w:rFonts w:ascii="Arial" w:hAnsi="Arial"/>
                <w:b w:val="0"/>
                <w:sz w:val="18"/>
              </w:rPr>
              <w:t>−0.909</w:t>
            </w:r>
          </w:p>
        </w:tc>
        <w:tc>
          <w:tcPr>
            <w:tcW w:type="dxa" w:w="3312"/>
            <w:vAlign w:val="center"/>
            <w:shd w:fill="F0F5FA"/>
          </w:tcPr>
          <w:p>
            <w:pPr>
              <w:spacing w:after="0"/>
            </w:pPr>
            <w:r/>
            <w:r>
              <w:rPr>
                <w:rFonts w:ascii="Arial" w:hAnsi="Arial"/>
                <w:b w:val="0"/>
                <w:sz w:val="18"/>
              </w:rPr>
              <w:t>−0.114</w:t>
            </w:r>
          </w:p>
        </w:tc>
      </w:tr>
    </w:tbl>
    <w:p/>
    <w:p>
      <w:r>
        <w:t>Excluding the 38 G3 = 0 rows reduces RMSE by approximately 0.91 grade points, indicating those records are disproportionately difficult to predict and inflate the overall error. The R² also drops, which reflects that the remaining distribution is more concentrated and harder to explain proportionally. This demonstrates that the G3 = 0 records materially affect both error and explained-variance metrics, and supports the recommendation to audit their institutional meaning.</w:t>
      </w:r>
    </w:p>
    <w:p>
      <w:pPr>
        <w:pStyle w:val="Heading1"/>
      </w:pPr>
      <w:r>
        <w:t>9. Conclusion</w:t>
      </w:r>
    </w:p>
    <w:p>
      <w:r>
        <w:t>This project applied structured exploratory data analysis to a dataset of 395 secondary-school students, using a four-level analytical framework to distinguish data observations from insights, hypotheses, and recommendations.</w:t>
      </w:r>
    </w:p>
    <w:p>
      <w:r>
        <w:t>Key analytical findings:</w:t>
      </w:r>
    </w:p>
    <w:p>
      <w:pPr>
        <w:pStyle w:val="ListBullet"/>
        <w:spacing w:after="60"/>
      </w:pPr>
      <w:r>
        <w:t>Prior failures (r = −0.360) are the strongest non-grade linear indicator of final performance in this dataset.</w:t>
      </w:r>
    </w:p>
    <w:p>
      <w:pPr>
        <w:pStyle w:val="ListBullet"/>
        <w:spacing w:after="60"/>
      </w:pPr>
      <w:r>
        <w:t>Maternal education (r = 0.217) shows a meaningful association across well-populated groups.</w:t>
      </w:r>
    </w:p>
    <w:p>
      <w:pPr>
        <w:pStyle w:val="ListBullet"/>
        <w:spacing w:after="60"/>
      </w:pPr>
      <w:r>
        <w:t>Study time shows a weak but present association (r = 0.098).</w:t>
      </w:r>
    </w:p>
    <w:p>
      <w:pPr>
        <w:pStyle w:val="ListBullet"/>
        <w:spacing w:after="60"/>
      </w:pPr>
      <w:r>
        <w:t>Absences, despite common expectation, show near-zero linear correlation with G3 (r = 0.034) in this sample.</w:t>
      </w:r>
    </w:p>
    <w:p>
      <w:pPr>
        <w:pStyle w:val="ListBullet"/>
        <w:spacing w:after="60"/>
      </w:pPr>
      <w:r>
        <w:t>38 students with G3 = 0 form a distinct sub-group that materially affects both descriptive statistics and model metrics.</w:t>
      </w:r>
    </w:p>
    <w:p>
      <w:r>
        <w:t>Machine learning: The Random Forest early-warning model achieved CV RMSE = 3.819 and CV R² = 0.293 using 30 background features, without any period grades. This represents a meaningful improvement over a naive baseline (RMSE = 4.550) and demonstrates that pre-year factors have moderate — though not strong — predictive value.</w:t>
      </w:r>
    </w:p>
    <w:p>
      <w:r>
        <w:t>Next steps that would strengthen this work:</w:t>
      </w:r>
    </w:p>
    <w:p>
      <w:pPr>
        <w:pStyle w:val="ListBullet"/>
        <w:spacing w:after="60"/>
      </w:pPr>
      <w:r>
        <w:t>Auditing the 38 G3 = 0 records through institutional records to clarify their meaning.</w:t>
      </w:r>
    </w:p>
    <w:p>
      <w:pPr>
        <w:pStyle w:val="ListBullet"/>
        <w:spacing w:after="60"/>
      </w:pPr>
      <w:r>
        <w:t>Collecting home-environment and socioeconomic data to test the hypotheses about parental education.</w:t>
      </w:r>
    </w:p>
    <w:p>
      <w:pPr>
        <w:pStyle w:val="ListBullet"/>
        <w:spacing w:after="60"/>
      </w:pPr>
      <w:r>
        <w:t>Using a longitudinal or controlled study design to move from associations to causal claims.</w:t>
      </w:r>
    </w:p>
    <w:p>
      <w:pPr>
        <w:pStyle w:val="ListBullet"/>
        <w:spacing w:after="60"/>
      </w:pPr>
      <w:r>
        <w:t>Applying the early-warning model prospectively to measure whether intervention for flagged students improves outcomes.</w:t>
      </w:r>
    </w:p>
    <w:p>
      <w:pPr>
        <w:pStyle w:val="Heading1"/>
      </w:pPr>
      <w:r>
        <w:t>Dataset Source</w:t>
      </w:r>
    </w:p>
    <w:p>
      <w:r>
        <w:rPr>
          <w:b/>
        </w:rPr>
        <w:t xml:space="preserve">Student Performance Data — Kaggle: </w:t>
      </w:r>
      <w:r>
        <w:t>https://www.kaggle.com/datasets/devansodariya/student-performance-data</w:t>
      </w:r>
    </w:p>
    <w:p/>
    <w:p>
      <w:r>
        <w:rPr>
          <w:i/>
          <w:color w:val="57606A"/>
          <w:sz w:val="16"/>
        </w:rPr>
        <w:t>Report prepared from the user-provided Student_Performance_Analysis_Report.pdf. The report content and numerical findings above are preserved from the supplied source.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7606A"/>
        <w:sz w:val="16"/>
      </w:rPr>
      <w:t>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7606A"/>
        <w:sz w:val="16"/>
      </w:rPr>
      <w:t>Student Performance Analysis and Academic Insights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E4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E8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A2E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