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5881" w14:textId="08734848" w:rsidR="008E7E85" w:rsidRPr="009E1281" w:rsidRDefault="00795EF7">
      <w:pPr>
        <w:rPr>
          <w:rFonts w:ascii="Times New Roman" w:hAnsi="Times New Roman" w:cs="Times New Roman"/>
          <w:b/>
          <w:bCs/>
          <w:sz w:val="22"/>
          <w:szCs w:val="22"/>
        </w:rPr>
      </w:pPr>
      <w:r w:rsidRPr="009E1281">
        <w:rPr>
          <w:rFonts w:ascii="Times New Roman" w:hAnsi="Times New Roman" w:cs="Times New Roman"/>
          <w:b/>
          <w:bCs/>
          <w:sz w:val="22"/>
          <w:szCs w:val="22"/>
        </w:rPr>
        <w:t>Appendices</w:t>
      </w:r>
    </w:p>
    <w:p w14:paraId="459B3481" w14:textId="77777777" w:rsidR="00795EF7" w:rsidRPr="009E1281" w:rsidRDefault="00795EF7">
      <w:pPr>
        <w:rPr>
          <w:rFonts w:ascii="Times New Roman" w:hAnsi="Times New Roman" w:cs="Times New Roman"/>
          <w:b/>
          <w:bCs/>
          <w:sz w:val="22"/>
          <w:szCs w:val="22"/>
        </w:rPr>
      </w:pPr>
    </w:p>
    <w:p w14:paraId="5AAA030B" w14:textId="7B8A36AD" w:rsidR="009B5D6B" w:rsidRPr="009E1281" w:rsidRDefault="00795EF7">
      <w:pPr>
        <w:rPr>
          <w:rFonts w:ascii="Times New Roman" w:hAnsi="Times New Roman" w:cs="Times New Roman"/>
          <w:b/>
          <w:bCs/>
          <w:sz w:val="22"/>
          <w:szCs w:val="22"/>
        </w:rPr>
      </w:pPr>
      <w:r w:rsidRPr="009E1281">
        <w:rPr>
          <w:rFonts w:ascii="Times New Roman" w:hAnsi="Times New Roman" w:cs="Times New Roman"/>
          <w:b/>
          <w:bCs/>
          <w:sz w:val="22"/>
          <w:szCs w:val="22"/>
        </w:rPr>
        <w:t xml:space="preserve">Appendix 1 – </w:t>
      </w:r>
      <w:r w:rsidR="009B5D6B" w:rsidRPr="009E1281">
        <w:rPr>
          <w:rFonts w:ascii="Times New Roman" w:hAnsi="Times New Roman" w:cs="Times New Roman"/>
          <w:b/>
          <w:bCs/>
          <w:sz w:val="22"/>
          <w:szCs w:val="22"/>
        </w:rPr>
        <w:t>Quantitative methods</w:t>
      </w:r>
    </w:p>
    <w:p w14:paraId="04FBD800" w14:textId="77777777" w:rsidR="009B5D6B" w:rsidRPr="009E1281" w:rsidRDefault="009B5D6B">
      <w:pPr>
        <w:rPr>
          <w:rFonts w:ascii="Times New Roman" w:hAnsi="Times New Roman" w:cs="Times New Roman"/>
          <w:b/>
          <w:bCs/>
          <w:i/>
          <w:iCs/>
          <w:sz w:val="22"/>
          <w:szCs w:val="22"/>
        </w:rPr>
      </w:pPr>
    </w:p>
    <w:p w14:paraId="044FC3F3" w14:textId="448F8CFC"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 xml:space="preserve">Table </w:t>
      </w:r>
      <w:r>
        <w:rPr>
          <w:rFonts w:ascii="Times New Roman" w:hAnsi="Times New Roman" w:cs="Times New Roman"/>
          <w:b/>
          <w:bCs/>
          <w:i/>
          <w:iCs/>
          <w:sz w:val="22"/>
          <w:szCs w:val="22"/>
          <w:lang w:val="en-US"/>
        </w:rPr>
        <w:t>1</w:t>
      </w:r>
      <w:r w:rsidRPr="00997E7F">
        <w:rPr>
          <w:rFonts w:ascii="Times New Roman" w:hAnsi="Times New Roman" w:cs="Times New Roman"/>
          <w:b/>
          <w:bCs/>
          <w:i/>
          <w:iCs/>
          <w:sz w:val="22"/>
          <w:szCs w:val="22"/>
          <w:lang w:val="en-US"/>
        </w:rPr>
        <w:t>.</w:t>
      </w:r>
      <w:r w:rsidR="00DD08E2">
        <w:rPr>
          <w:rFonts w:ascii="Times New Roman" w:hAnsi="Times New Roman" w:cs="Times New Roman"/>
          <w:b/>
          <w:bCs/>
          <w:i/>
          <w:iCs/>
          <w:sz w:val="22"/>
          <w:szCs w:val="22"/>
          <w:lang w:val="en-US"/>
        </w:rPr>
        <w:t xml:space="preserve"> </w:t>
      </w:r>
      <w:r w:rsidRPr="00997E7F">
        <w:rPr>
          <w:rFonts w:ascii="Times New Roman" w:hAnsi="Times New Roman" w:cs="Times New Roman"/>
          <w:b/>
          <w:bCs/>
          <w:i/>
          <w:iCs/>
          <w:sz w:val="22"/>
          <w:szCs w:val="22"/>
          <w:lang w:val="en-US"/>
        </w:rPr>
        <w:t>AI Deduced Themes and Subthemes</w:t>
      </w:r>
    </w:p>
    <w:tbl>
      <w:tblPr>
        <w:tblW w:w="0" w:type="auto"/>
        <w:tblCellMar>
          <w:top w:w="15" w:type="dxa"/>
          <w:left w:w="15" w:type="dxa"/>
          <w:bottom w:w="15" w:type="dxa"/>
          <w:right w:w="15" w:type="dxa"/>
        </w:tblCellMar>
        <w:tblLook w:val="04A0" w:firstRow="1" w:lastRow="0" w:firstColumn="1" w:lastColumn="0" w:noHBand="0" w:noVBand="1"/>
      </w:tblPr>
      <w:tblGrid>
        <w:gridCol w:w="5210"/>
        <w:gridCol w:w="3800"/>
      </w:tblGrid>
      <w:tr w:rsidR="00997E7F" w:rsidRPr="00997E7F" w14:paraId="4461DE25" w14:textId="77777777">
        <w:trPr>
          <w:trHeight w:val="330"/>
        </w:trPr>
        <w:tc>
          <w:tcPr>
            <w:tcW w:w="0" w:type="auto"/>
            <w:tcBorders>
              <w:top w:val="single" w:sz="6" w:space="0" w:color="535353"/>
              <w:left w:val="single" w:sz="6" w:space="0" w:color="000000"/>
              <w:bottom w:val="single" w:sz="6" w:space="0" w:color="535353"/>
              <w:right w:val="single" w:sz="6" w:space="0" w:color="000000"/>
            </w:tcBorders>
            <w:tcMar>
              <w:top w:w="60" w:type="dxa"/>
              <w:left w:w="60" w:type="dxa"/>
              <w:bottom w:w="60" w:type="dxa"/>
              <w:right w:w="60" w:type="dxa"/>
            </w:tcMar>
            <w:hideMark/>
          </w:tcPr>
          <w:p w14:paraId="031CF2E2"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Theme</w:t>
            </w:r>
          </w:p>
        </w:tc>
        <w:tc>
          <w:tcPr>
            <w:tcW w:w="0" w:type="auto"/>
            <w:tcBorders>
              <w:top w:val="single" w:sz="6" w:space="0" w:color="535353"/>
              <w:left w:val="single" w:sz="6" w:space="0" w:color="000000"/>
              <w:bottom w:val="single" w:sz="6" w:space="0" w:color="535353"/>
              <w:right w:val="single" w:sz="6" w:space="0" w:color="000000"/>
            </w:tcBorders>
            <w:tcMar>
              <w:top w:w="60" w:type="dxa"/>
              <w:left w:w="60" w:type="dxa"/>
              <w:bottom w:w="60" w:type="dxa"/>
              <w:right w:w="60" w:type="dxa"/>
            </w:tcMar>
            <w:hideMark/>
          </w:tcPr>
          <w:p w14:paraId="089E8506"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Subthemes</w:t>
            </w:r>
          </w:p>
        </w:tc>
      </w:tr>
      <w:tr w:rsidR="00997E7F" w:rsidRPr="00997E7F" w14:paraId="0EE7E457" w14:textId="77777777">
        <w:trPr>
          <w:trHeight w:val="705"/>
        </w:trPr>
        <w:tc>
          <w:tcPr>
            <w:tcW w:w="0" w:type="auto"/>
            <w:tcBorders>
              <w:top w:val="single" w:sz="6" w:space="0" w:color="535353"/>
              <w:left w:val="single" w:sz="6" w:space="0" w:color="000000"/>
              <w:bottom w:val="single" w:sz="6" w:space="0" w:color="535353"/>
              <w:right w:val="single" w:sz="6" w:space="0" w:color="000000"/>
            </w:tcBorders>
            <w:tcMar>
              <w:top w:w="60" w:type="dxa"/>
              <w:left w:w="60" w:type="dxa"/>
              <w:bottom w:w="60" w:type="dxa"/>
              <w:right w:w="60" w:type="dxa"/>
            </w:tcMar>
            <w:hideMark/>
          </w:tcPr>
          <w:p w14:paraId="79940D4A"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Theme 1: Differences Between Practitioners and Theoreticians</w:t>
            </w:r>
          </w:p>
        </w:tc>
        <w:tc>
          <w:tcPr>
            <w:tcW w:w="0" w:type="auto"/>
            <w:tcBorders>
              <w:top w:val="single" w:sz="6" w:space="0" w:color="535353"/>
              <w:left w:val="single" w:sz="6" w:space="0" w:color="000000"/>
              <w:bottom w:val="single" w:sz="6" w:space="0" w:color="535353"/>
              <w:right w:val="single" w:sz="6" w:space="0" w:color="000000"/>
            </w:tcBorders>
            <w:tcMar>
              <w:top w:w="60" w:type="dxa"/>
              <w:left w:w="60" w:type="dxa"/>
              <w:bottom w:w="60" w:type="dxa"/>
              <w:right w:w="60" w:type="dxa"/>
            </w:tcMar>
            <w:hideMark/>
          </w:tcPr>
          <w:p w14:paraId="3FCEDB53"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1.1.</w:t>
            </w:r>
            <w:r w:rsidRPr="00997E7F">
              <w:rPr>
                <w:rFonts w:ascii="Times New Roman" w:hAnsi="Times New Roman" w:cs="Times New Roman"/>
                <w:b/>
                <w:bCs/>
                <w:i/>
                <w:iCs/>
                <w:sz w:val="22"/>
                <w:szCs w:val="22"/>
                <w:lang w:val="en-US"/>
              </w:rPr>
              <w:tab/>
              <w:t>Knowledge vs. Application</w:t>
            </w:r>
          </w:p>
          <w:p w14:paraId="7DC0DA56"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1.2  Particulars vs. Universals</w:t>
            </w:r>
          </w:p>
          <w:p w14:paraId="6A85179D"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1.3  Adaptability vs. Structure</w:t>
            </w:r>
          </w:p>
        </w:tc>
      </w:tr>
      <w:tr w:rsidR="00997E7F" w:rsidRPr="00997E7F" w14:paraId="1018EEC0" w14:textId="77777777">
        <w:trPr>
          <w:trHeight w:val="705"/>
        </w:trPr>
        <w:tc>
          <w:tcPr>
            <w:tcW w:w="0" w:type="auto"/>
            <w:tcBorders>
              <w:top w:val="single" w:sz="6" w:space="0" w:color="535353"/>
              <w:left w:val="single" w:sz="6" w:space="0" w:color="000000"/>
              <w:bottom w:val="single" w:sz="6" w:space="0" w:color="535353"/>
              <w:right w:val="single" w:sz="6" w:space="0" w:color="000000"/>
            </w:tcBorders>
            <w:tcMar>
              <w:top w:w="60" w:type="dxa"/>
              <w:left w:w="60" w:type="dxa"/>
              <w:bottom w:w="60" w:type="dxa"/>
              <w:right w:w="60" w:type="dxa"/>
            </w:tcMar>
            <w:hideMark/>
          </w:tcPr>
          <w:p w14:paraId="712F8C35"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Theme 2: Value and Relevance of Academic Knowledge</w:t>
            </w:r>
          </w:p>
        </w:tc>
        <w:tc>
          <w:tcPr>
            <w:tcW w:w="0" w:type="auto"/>
            <w:tcBorders>
              <w:top w:val="single" w:sz="6" w:space="0" w:color="535353"/>
              <w:left w:val="single" w:sz="6" w:space="0" w:color="000000"/>
              <w:bottom w:val="single" w:sz="6" w:space="0" w:color="535353"/>
              <w:right w:val="single" w:sz="6" w:space="0" w:color="000000"/>
            </w:tcBorders>
            <w:tcMar>
              <w:top w:w="60" w:type="dxa"/>
              <w:left w:w="60" w:type="dxa"/>
              <w:bottom w:w="60" w:type="dxa"/>
              <w:right w:w="60" w:type="dxa"/>
            </w:tcMar>
            <w:hideMark/>
          </w:tcPr>
          <w:p w14:paraId="4822CCB5"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2.1.</w:t>
            </w:r>
            <w:r w:rsidRPr="00997E7F">
              <w:rPr>
                <w:rFonts w:ascii="Times New Roman" w:hAnsi="Times New Roman" w:cs="Times New Roman"/>
                <w:b/>
                <w:bCs/>
                <w:i/>
                <w:iCs/>
                <w:sz w:val="22"/>
                <w:szCs w:val="22"/>
                <w:lang w:val="en-US"/>
              </w:rPr>
              <w:tab/>
              <w:t>Impact Over Time</w:t>
            </w:r>
          </w:p>
          <w:p w14:paraId="7A14148A"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2.2.</w:t>
            </w:r>
            <w:r w:rsidRPr="00997E7F">
              <w:rPr>
                <w:rFonts w:ascii="Times New Roman" w:hAnsi="Times New Roman" w:cs="Times New Roman"/>
                <w:b/>
                <w:bCs/>
                <w:i/>
                <w:iCs/>
                <w:sz w:val="22"/>
                <w:szCs w:val="22"/>
                <w:lang w:val="en-US"/>
              </w:rPr>
              <w:tab/>
              <w:t>Accessibility Issues</w:t>
            </w:r>
          </w:p>
          <w:p w14:paraId="6F64FBB3"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2.3.</w:t>
            </w:r>
            <w:r w:rsidRPr="00997E7F">
              <w:rPr>
                <w:rFonts w:ascii="Times New Roman" w:hAnsi="Times New Roman" w:cs="Times New Roman"/>
                <w:b/>
                <w:bCs/>
                <w:i/>
                <w:iCs/>
                <w:sz w:val="22"/>
                <w:szCs w:val="22"/>
                <w:lang w:val="en-US"/>
              </w:rPr>
              <w:tab/>
              <w:t>Relevance Gap</w:t>
            </w:r>
          </w:p>
        </w:tc>
      </w:tr>
      <w:tr w:rsidR="00997E7F" w:rsidRPr="00997E7F" w14:paraId="040E4AC2" w14:textId="77777777">
        <w:trPr>
          <w:trHeight w:val="885"/>
        </w:trPr>
        <w:tc>
          <w:tcPr>
            <w:tcW w:w="0" w:type="auto"/>
            <w:tcBorders>
              <w:top w:val="single" w:sz="6" w:space="0" w:color="535353"/>
              <w:left w:val="single" w:sz="6" w:space="0" w:color="000000"/>
              <w:bottom w:val="single" w:sz="6" w:space="0" w:color="535353"/>
              <w:right w:val="single" w:sz="6" w:space="0" w:color="000000"/>
            </w:tcBorders>
            <w:tcMar>
              <w:top w:w="60" w:type="dxa"/>
              <w:left w:w="60" w:type="dxa"/>
              <w:bottom w:w="60" w:type="dxa"/>
              <w:right w:w="60" w:type="dxa"/>
            </w:tcMar>
            <w:hideMark/>
          </w:tcPr>
          <w:p w14:paraId="278C04CF"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Theme 3. Barriers to Collaboration</w:t>
            </w:r>
          </w:p>
        </w:tc>
        <w:tc>
          <w:tcPr>
            <w:tcW w:w="0" w:type="auto"/>
            <w:tcBorders>
              <w:top w:val="single" w:sz="6" w:space="0" w:color="535353"/>
              <w:left w:val="single" w:sz="6" w:space="0" w:color="000000"/>
              <w:bottom w:val="single" w:sz="6" w:space="0" w:color="535353"/>
              <w:right w:val="single" w:sz="6" w:space="0" w:color="000000"/>
            </w:tcBorders>
            <w:tcMar>
              <w:top w:w="60" w:type="dxa"/>
              <w:left w:w="60" w:type="dxa"/>
              <w:bottom w:w="60" w:type="dxa"/>
              <w:right w:w="60" w:type="dxa"/>
            </w:tcMar>
            <w:hideMark/>
          </w:tcPr>
          <w:p w14:paraId="41A1307F"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3.1.</w:t>
            </w:r>
            <w:r w:rsidRPr="00997E7F">
              <w:rPr>
                <w:rFonts w:ascii="Times New Roman" w:hAnsi="Times New Roman" w:cs="Times New Roman"/>
                <w:b/>
                <w:bCs/>
                <w:i/>
                <w:iCs/>
                <w:sz w:val="22"/>
                <w:szCs w:val="22"/>
                <w:lang w:val="en-US"/>
              </w:rPr>
              <w:tab/>
              <w:t>Timeline Mismatch</w:t>
            </w:r>
          </w:p>
          <w:p w14:paraId="5FCE53EC"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3.2.</w:t>
            </w:r>
            <w:r w:rsidRPr="00997E7F">
              <w:rPr>
                <w:rFonts w:ascii="Times New Roman" w:hAnsi="Times New Roman" w:cs="Times New Roman"/>
                <w:b/>
                <w:bCs/>
                <w:i/>
                <w:iCs/>
                <w:sz w:val="22"/>
                <w:szCs w:val="22"/>
                <w:lang w:val="en-US"/>
              </w:rPr>
              <w:tab/>
              <w:t>Cultural and Status Divides</w:t>
            </w:r>
          </w:p>
          <w:p w14:paraId="09767222"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3.3.</w:t>
            </w:r>
            <w:r w:rsidRPr="00997E7F">
              <w:rPr>
                <w:rFonts w:ascii="Times New Roman" w:hAnsi="Times New Roman" w:cs="Times New Roman"/>
                <w:b/>
                <w:bCs/>
                <w:i/>
                <w:iCs/>
                <w:sz w:val="22"/>
                <w:szCs w:val="22"/>
                <w:lang w:val="en-US"/>
              </w:rPr>
              <w:tab/>
              <w:t>Communication Style</w:t>
            </w:r>
          </w:p>
          <w:p w14:paraId="20053D53"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3.4   Institutional Structures</w:t>
            </w:r>
          </w:p>
        </w:tc>
      </w:tr>
      <w:tr w:rsidR="00997E7F" w:rsidRPr="00997E7F" w14:paraId="461F4FD9" w14:textId="77777777">
        <w:trPr>
          <w:trHeight w:val="885"/>
        </w:trPr>
        <w:tc>
          <w:tcPr>
            <w:tcW w:w="0" w:type="auto"/>
            <w:tcBorders>
              <w:top w:val="single" w:sz="6" w:space="0" w:color="535353"/>
              <w:left w:val="single" w:sz="6" w:space="0" w:color="000000"/>
              <w:bottom w:val="single" w:sz="6" w:space="0" w:color="535353"/>
              <w:right w:val="single" w:sz="6" w:space="0" w:color="000000"/>
            </w:tcBorders>
            <w:tcMar>
              <w:top w:w="60" w:type="dxa"/>
              <w:left w:w="60" w:type="dxa"/>
              <w:bottom w:w="60" w:type="dxa"/>
              <w:right w:w="60" w:type="dxa"/>
            </w:tcMar>
            <w:hideMark/>
          </w:tcPr>
          <w:p w14:paraId="3356B165"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Theme 4: Opportunities for Collaboration</w:t>
            </w:r>
          </w:p>
        </w:tc>
        <w:tc>
          <w:tcPr>
            <w:tcW w:w="0" w:type="auto"/>
            <w:tcBorders>
              <w:top w:val="single" w:sz="6" w:space="0" w:color="535353"/>
              <w:left w:val="single" w:sz="6" w:space="0" w:color="000000"/>
              <w:bottom w:val="single" w:sz="6" w:space="0" w:color="535353"/>
              <w:right w:val="single" w:sz="6" w:space="0" w:color="000000"/>
            </w:tcBorders>
            <w:tcMar>
              <w:top w:w="60" w:type="dxa"/>
              <w:left w:w="60" w:type="dxa"/>
              <w:bottom w:w="60" w:type="dxa"/>
              <w:right w:w="60" w:type="dxa"/>
            </w:tcMar>
            <w:hideMark/>
          </w:tcPr>
          <w:p w14:paraId="1FE03D05"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4.1.</w:t>
            </w:r>
            <w:r w:rsidRPr="00997E7F">
              <w:rPr>
                <w:rFonts w:ascii="Times New Roman" w:hAnsi="Times New Roman" w:cs="Times New Roman"/>
                <w:b/>
                <w:bCs/>
                <w:i/>
                <w:iCs/>
                <w:sz w:val="22"/>
                <w:szCs w:val="22"/>
                <w:lang w:val="en-US"/>
              </w:rPr>
              <w:tab/>
              <w:t>Conferences and Workshops</w:t>
            </w:r>
          </w:p>
          <w:p w14:paraId="7891ADAC"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4.2.</w:t>
            </w:r>
            <w:r w:rsidRPr="00997E7F">
              <w:rPr>
                <w:rFonts w:ascii="Times New Roman" w:hAnsi="Times New Roman" w:cs="Times New Roman"/>
                <w:b/>
                <w:bCs/>
                <w:i/>
                <w:iCs/>
                <w:sz w:val="22"/>
                <w:szCs w:val="22"/>
                <w:lang w:val="en-US"/>
              </w:rPr>
              <w:tab/>
              <w:t>Mutual Feedback Loops</w:t>
            </w:r>
          </w:p>
          <w:p w14:paraId="07C09CEB"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4.3.</w:t>
            </w:r>
            <w:r w:rsidRPr="00997E7F">
              <w:rPr>
                <w:rFonts w:ascii="Times New Roman" w:hAnsi="Times New Roman" w:cs="Times New Roman"/>
                <w:b/>
                <w:bCs/>
                <w:i/>
                <w:iCs/>
                <w:sz w:val="22"/>
                <w:szCs w:val="22"/>
                <w:lang w:val="en-US"/>
              </w:rPr>
              <w:tab/>
              <w:t>Toolkits and Summaries</w:t>
            </w:r>
          </w:p>
          <w:p w14:paraId="0350998C"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4.4   Human-to-Human Interaction</w:t>
            </w:r>
          </w:p>
        </w:tc>
      </w:tr>
      <w:tr w:rsidR="00997E7F" w:rsidRPr="00997E7F" w14:paraId="076E4740" w14:textId="77777777">
        <w:trPr>
          <w:trHeight w:val="705"/>
        </w:trPr>
        <w:tc>
          <w:tcPr>
            <w:tcW w:w="0" w:type="auto"/>
            <w:tcBorders>
              <w:top w:val="single" w:sz="6" w:space="0" w:color="535353"/>
              <w:left w:val="single" w:sz="6" w:space="0" w:color="000000"/>
              <w:bottom w:val="single" w:sz="6" w:space="0" w:color="535353"/>
              <w:right w:val="single" w:sz="6" w:space="0" w:color="000000"/>
            </w:tcBorders>
            <w:tcMar>
              <w:top w:w="60" w:type="dxa"/>
              <w:left w:w="60" w:type="dxa"/>
              <w:bottom w:w="60" w:type="dxa"/>
              <w:right w:w="60" w:type="dxa"/>
            </w:tcMar>
            <w:hideMark/>
          </w:tcPr>
          <w:p w14:paraId="3A471652"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Theme 5: Core Skills and Values</w:t>
            </w:r>
          </w:p>
        </w:tc>
        <w:tc>
          <w:tcPr>
            <w:tcW w:w="0" w:type="auto"/>
            <w:tcBorders>
              <w:top w:val="single" w:sz="6" w:space="0" w:color="535353"/>
              <w:left w:val="single" w:sz="6" w:space="0" w:color="000000"/>
              <w:bottom w:val="single" w:sz="6" w:space="0" w:color="535353"/>
              <w:right w:val="single" w:sz="6" w:space="0" w:color="000000"/>
            </w:tcBorders>
            <w:tcMar>
              <w:top w:w="60" w:type="dxa"/>
              <w:left w:w="60" w:type="dxa"/>
              <w:bottom w:w="60" w:type="dxa"/>
              <w:right w:w="60" w:type="dxa"/>
            </w:tcMar>
            <w:hideMark/>
          </w:tcPr>
          <w:p w14:paraId="54301424"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5.1   For Theoreticians</w:t>
            </w:r>
          </w:p>
          <w:p w14:paraId="53818670"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5.2   For Practitioners</w:t>
            </w:r>
          </w:p>
          <w:p w14:paraId="2B0F5CF7"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5.3   Shared Human Dimension</w:t>
            </w:r>
          </w:p>
        </w:tc>
      </w:tr>
      <w:tr w:rsidR="00997E7F" w:rsidRPr="00997E7F" w14:paraId="0B5A0EF1" w14:textId="77777777">
        <w:trPr>
          <w:trHeight w:val="705"/>
        </w:trPr>
        <w:tc>
          <w:tcPr>
            <w:tcW w:w="0" w:type="auto"/>
            <w:tcBorders>
              <w:top w:val="single" w:sz="6" w:space="0" w:color="535353"/>
              <w:left w:val="single" w:sz="6" w:space="0" w:color="000000"/>
              <w:bottom w:val="single" w:sz="6" w:space="0" w:color="535353"/>
              <w:right w:val="single" w:sz="6" w:space="0" w:color="000000"/>
            </w:tcBorders>
            <w:tcMar>
              <w:top w:w="60" w:type="dxa"/>
              <w:left w:w="60" w:type="dxa"/>
              <w:bottom w:w="60" w:type="dxa"/>
              <w:right w:w="60" w:type="dxa"/>
            </w:tcMar>
            <w:hideMark/>
          </w:tcPr>
          <w:p w14:paraId="2CB01BB9"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Theme 6: Power, Politics, and External Influences</w:t>
            </w:r>
          </w:p>
        </w:tc>
        <w:tc>
          <w:tcPr>
            <w:tcW w:w="0" w:type="auto"/>
            <w:tcBorders>
              <w:top w:val="single" w:sz="6" w:space="0" w:color="535353"/>
              <w:left w:val="single" w:sz="6" w:space="0" w:color="000000"/>
              <w:bottom w:val="single" w:sz="6" w:space="0" w:color="535353"/>
              <w:right w:val="single" w:sz="6" w:space="0" w:color="000000"/>
            </w:tcBorders>
            <w:tcMar>
              <w:top w:w="60" w:type="dxa"/>
              <w:left w:w="60" w:type="dxa"/>
              <w:bottom w:w="60" w:type="dxa"/>
              <w:right w:w="60" w:type="dxa"/>
            </w:tcMar>
            <w:hideMark/>
          </w:tcPr>
          <w:p w14:paraId="7B2447E5"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6.1   Donor and Political Agendas</w:t>
            </w:r>
          </w:p>
          <w:p w14:paraId="39E7052B"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6.2   Securitization Influence</w:t>
            </w:r>
          </w:p>
          <w:p w14:paraId="6EBE0887"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6.3   Knowledge Ownership</w:t>
            </w:r>
          </w:p>
        </w:tc>
      </w:tr>
      <w:tr w:rsidR="00997E7F" w:rsidRPr="00997E7F" w14:paraId="614206AF" w14:textId="77777777">
        <w:trPr>
          <w:trHeight w:val="1080"/>
        </w:trPr>
        <w:tc>
          <w:tcPr>
            <w:tcW w:w="0" w:type="auto"/>
            <w:tcBorders>
              <w:top w:val="single" w:sz="6" w:space="0" w:color="535353"/>
              <w:left w:val="single" w:sz="6" w:space="0" w:color="000000"/>
              <w:bottom w:val="single" w:sz="6" w:space="0" w:color="535353"/>
              <w:right w:val="single" w:sz="6" w:space="0" w:color="000000"/>
            </w:tcBorders>
            <w:tcMar>
              <w:top w:w="60" w:type="dxa"/>
              <w:left w:w="60" w:type="dxa"/>
              <w:bottom w:w="60" w:type="dxa"/>
              <w:right w:w="60" w:type="dxa"/>
            </w:tcMar>
            <w:hideMark/>
          </w:tcPr>
          <w:p w14:paraId="18FBFC9C"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Theme 7: Desired Future Directions</w:t>
            </w:r>
          </w:p>
        </w:tc>
        <w:tc>
          <w:tcPr>
            <w:tcW w:w="0" w:type="auto"/>
            <w:tcBorders>
              <w:top w:val="single" w:sz="6" w:space="0" w:color="535353"/>
              <w:left w:val="single" w:sz="6" w:space="0" w:color="000000"/>
              <w:bottom w:val="single" w:sz="6" w:space="0" w:color="535353"/>
              <w:right w:val="single" w:sz="6" w:space="0" w:color="000000"/>
            </w:tcBorders>
            <w:tcMar>
              <w:top w:w="60" w:type="dxa"/>
              <w:left w:w="60" w:type="dxa"/>
              <w:bottom w:w="60" w:type="dxa"/>
              <w:right w:w="60" w:type="dxa"/>
            </w:tcMar>
            <w:hideMark/>
          </w:tcPr>
          <w:p w14:paraId="1616A3F9"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7.1   More Permeable Boundaries</w:t>
            </w:r>
          </w:p>
          <w:p w14:paraId="7D9D3CE1"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7.2   Recognition of Practitioner Knowledge</w:t>
            </w:r>
          </w:p>
          <w:p w14:paraId="14357123" w14:textId="77777777" w:rsidR="00997E7F" w:rsidRPr="00997E7F" w:rsidRDefault="00997E7F" w:rsidP="00997E7F">
            <w:pPr>
              <w:rPr>
                <w:rFonts w:ascii="Times New Roman" w:hAnsi="Times New Roman" w:cs="Times New Roman"/>
                <w:b/>
                <w:bCs/>
                <w:i/>
                <w:iCs/>
                <w:sz w:val="22"/>
                <w:szCs w:val="22"/>
                <w:lang w:val="en-US"/>
              </w:rPr>
            </w:pPr>
            <w:r w:rsidRPr="00997E7F">
              <w:rPr>
                <w:rFonts w:ascii="Times New Roman" w:hAnsi="Times New Roman" w:cs="Times New Roman"/>
                <w:b/>
                <w:bCs/>
                <w:i/>
                <w:iCs/>
                <w:sz w:val="22"/>
                <w:szCs w:val="22"/>
                <w:lang w:val="en-US"/>
              </w:rPr>
              <w:t>7.3    Collaborative Knowledge Creation</w:t>
            </w:r>
          </w:p>
        </w:tc>
      </w:tr>
    </w:tbl>
    <w:p w14:paraId="7EC98F56" w14:textId="77777777" w:rsidR="00997E7F" w:rsidRPr="009E1281" w:rsidRDefault="00997E7F">
      <w:pPr>
        <w:rPr>
          <w:rFonts w:ascii="Times New Roman" w:hAnsi="Times New Roman" w:cs="Times New Roman"/>
          <w:b/>
          <w:bCs/>
          <w:i/>
          <w:iCs/>
          <w:sz w:val="22"/>
          <w:szCs w:val="22"/>
        </w:rPr>
      </w:pPr>
    </w:p>
    <w:p w14:paraId="35ACCD39" w14:textId="52207005" w:rsidR="00DD08E2" w:rsidRPr="00DD08E2" w:rsidRDefault="00DD08E2" w:rsidP="00DD08E2">
      <w:pPr>
        <w:rPr>
          <w:rFonts w:ascii="Times New Roman" w:hAnsi="Times New Roman" w:cs="Times New Roman"/>
          <w:b/>
          <w:bCs/>
          <w:i/>
          <w:iCs/>
          <w:sz w:val="22"/>
          <w:szCs w:val="22"/>
          <w:lang w:val="en-US"/>
        </w:rPr>
      </w:pPr>
      <w:r w:rsidRPr="00DD08E2">
        <w:rPr>
          <w:rFonts w:ascii="Times New Roman" w:hAnsi="Times New Roman" w:cs="Times New Roman"/>
          <w:b/>
          <w:bCs/>
          <w:i/>
          <w:iCs/>
          <w:sz w:val="22"/>
          <w:szCs w:val="22"/>
          <w:lang w:val="en-US"/>
        </w:rPr>
        <w:t>P1: Thematic Mapping Prompt</w:t>
      </w: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DD08E2" w:rsidRPr="00DD08E2" w14:paraId="47A8ADD8" w14:textId="77777777">
        <w:trPr>
          <w:trHeight w:val="307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49CF76" w14:textId="226EC175"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Analyze the following 20 in-depth interview transcripts (in JSON format), representing three participant types: practitioners, theoreticians, and hybrids.</w:t>
            </w:r>
            <w:r w:rsidRPr="00DD08E2">
              <w:rPr>
                <w:rFonts w:ascii="Times New Roman" w:hAnsi="Times New Roman" w:cs="Times New Roman"/>
                <w:sz w:val="22"/>
                <w:szCs w:val="22"/>
                <w:lang w:val="en-US"/>
              </w:rPr>
              <w:br/>
            </w:r>
            <w:r w:rsidRPr="00DD08E2">
              <w:rPr>
                <w:rFonts w:ascii="Times New Roman" w:hAnsi="Times New Roman" w:cs="Times New Roman"/>
                <w:sz w:val="22"/>
                <w:szCs w:val="22"/>
                <w:lang w:val="en-US"/>
              </w:rPr>
              <w:br/>
              <w:t>Your task is to go through all interviews and identify recurring themes. Organize them clearly as:</w:t>
            </w:r>
            <w:r w:rsidRPr="00DD08E2">
              <w:rPr>
                <w:rFonts w:ascii="Times New Roman" w:hAnsi="Times New Roman" w:cs="Times New Roman"/>
                <w:sz w:val="22"/>
                <w:szCs w:val="22"/>
                <w:lang w:val="en-US"/>
              </w:rPr>
              <w:br/>
            </w:r>
            <w:r w:rsidRPr="00DD08E2">
              <w:rPr>
                <w:rFonts w:ascii="Times New Roman" w:hAnsi="Times New Roman" w:cs="Times New Roman"/>
                <w:sz w:val="22"/>
                <w:szCs w:val="22"/>
                <w:lang w:val="en-US"/>
              </w:rPr>
              <w:br/>
              <w:t>Theme X: [Main Theme Title]</w:t>
            </w:r>
            <w:r w:rsidRPr="00DD08E2">
              <w:rPr>
                <w:rFonts w:ascii="Times New Roman" w:hAnsi="Times New Roman" w:cs="Times New Roman"/>
                <w:sz w:val="22"/>
                <w:szCs w:val="22"/>
                <w:lang w:val="en-US"/>
              </w:rPr>
              <w:br/>
              <w:t>    [Sub-theme Title] — Concise paraphrased explanation of the sub-theme</w:t>
            </w:r>
            <w:r w:rsidRPr="00DD08E2">
              <w:rPr>
                <w:rFonts w:ascii="Times New Roman" w:hAnsi="Times New Roman" w:cs="Times New Roman"/>
                <w:sz w:val="22"/>
                <w:szCs w:val="22"/>
                <w:lang w:val="en-US"/>
              </w:rPr>
              <w:br/>
              <w:t>    [Sub-theme Title] — Concise paraphrased explanation of the sub-theme</w:t>
            </w:r>
            <w:r w:rsidRPr="00DD08E2">
              <w:rPr>
                <w:rFonts w:ascii="Times New Roman" w:hAnsi="Times New Roman" w:cs="Times New Roman"/>
                <w:sz w:val="22"/>
                <w:szCs w:val="22"/>
                <w:lang w:val="en-US"/>
              </w:rPr>
              <w:br/>
            </w:r>
            <w:r w:rsidRPr="00DD08E2">
              <w:rPr>
                <w:rFonts w:ascii="Times New Roman" w:hAnsi="Times New Roman" w:cs="Times New Roman"/>
                <w:sz w:val="22"/>
                <w:szCs w:val="22"/>
                <w:lang w:val="en-US"/>
              </w:rPr>
              <w:br/>
              <w:t>Repeat this structure for all themes that emerge.</w:t>
            </w:r>
            <w:r w:rsidRPr="00DD08E2">
              <w:rPr>
                <w:rFonts w:ascii="Times New Roman" w:hAnsi="Times New Roman" w:cs="Times New Roman"/>
                <w:sz w:val="22"/>
                <w:szCs w:val="22"/>
                <w:lang w:val="en-US"/>
              </w:rPr>
              <w:br/>
            </w:r>
            <w:r w:rsidRPr="00DD08E2">
              <w:rPr>
                <w:rFonts w:ascii="Times New Roman" w:hAnsi="Times New Roman" w:cs="Times New Roman"/>
                <w:sz w:val="22"/>
                <w:szCs w:val="22"/>
                <w:lang w:val="en-US"/>
              </w:rPr>
              <w:br/>
              <w:t>A theme is recurring if it appears (explicitly or implicitly) in more than one participant’s input, even if worded differently. Use brief, descriptive labels for themes and sub-themes.</w:t>
            </w:r>
          </w:p>
        </w:tc>
      </w:tr>
    </w:tbl>
    <w:p w14:paraId="0B487004" w14:textId="77777777" w:rsidR="009B5D6B" w:rsidRDefault="009B5D6B">
      <w:pPr>
        <w:rPr>
          <w:rFonts w:ascii="Times New Roman" w:hAnsi="Times New Roman" w:cs="Times New Roman"/>
          <w:b/>
          <w:bCs/>
          <w:sz w:val="22"/>
          <w:szCs w:val="22"/>
        </w:rPr>
      </w:pPr>
    </w:p>
    <w:p w14:paraId="3BE88A02" w14:textId="77777777" w:rsidR="00DD08E2" w:rsidRDefault="00DD08E2">
      <w:pPr>
        <w:rPr>
          <w:rFonts w:ascii="Times New Roman" w:hAnsi="Times New Roman" w:cs="Times New Roman"/>
          <w:b/>
          <w:bCs/>
          <w:sz w:val="22"/>
          <w:szCs w:val="22"/>
        </w:rPr>
      </w:pPr>
    </w:p>
    <w:p w14:paraId="0F79BA8F" w14:textId="77777777" w:rsidR="00DD08E2" w:rsidRDefault="00DD08E2">
      <w:pPr>
        <w:rPr>
          <w:rFonts w:ascii="Times New Roman" w:hAnsi="Times New Roman" w:cs="Times New Roman"/>
          <w:b/>
          <w:bCs/>
          <w:sz w:val="22"/>
          <w:szCs w:val="22"/>
        </w:rPr>
      </w:pPr>
    </w:p>
    <w:p w14:paraId="5322E4B3" w14:textId="77777777" w:rsidR="00DD08E2" w:rsidRDefault="00DD08E2">
      <w:pPr>
        <w:rPr>
          <w:rFonts w:ascii="Times New Roman" w:hAnsi="Times New Roman" w:cs="Times New Roman"/>
          <w:b/>
          <w:bCs/>
          <w:sz w:val="22"/>
          <w:szCs w:val="22"/>
        </w:rPr>
      </w:pPr>
    </w:p>
    <w:p w14:paraId="011213BD" w14:textId="0CE0889B" w:rsidR="00DD08E2" w:rsidRDefault="00DD08E2">
      <w:pPr>
        <w:rPr>
          <w:rFonts w:ascii="Times New Roman" w:hAnsi="Times New Roman" w:cs="Times New Roman"/>
          <w:b/>
          <w:bCs/>
          <w:i/>
          <w:iCs/>
          <w:sz w:val="22"/>
          <w:szCs w:val="22"/>
          <w:lang w:val="en-US"/>
        </w:rPr>
      </w:pPr>
      <w:r w:rsidRPr="00DD08E2">
        <w:rPr>
          <w:rFonts w:ascii="Times New Roman" w:hAnsi="Times New Roman" w:cs="Times New Roman"/>
          <w:b/>
          <w:bCs/>
          <w:i/>
          <w:iCs/>
          <w:sz w:val="22"/>
          <w:szCs w:val="22"/>
          <w:lang w:val="en-US"/>
        </w:rPr>
        <w:lastRenderedPageBreak/>
        <w:t>P2: Polarizing Claim Generation Prompt</w:t>
      </w:r>
    </w:p>
    <w:p w14:paraId="586848F8" w14:textId="77777777" w:rsidR="00324DCA" w:rsidRPr="00DD08E2" w:rsidRDefault="00324DCA">
      <w:pPr>
        <w:rPr>
          <w:rFonts w:ascii="Times New Roman" w:hAnsi="Times New Roman" w:cs="Times New Roman"/>
          <w:b/>
          <w:bCs/>
          <w:i/>
          <w:iCs/>
          <w:sz w:val="22"/>
          <w:szCs w:val="22"/>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DD08E2" w:rsidRPr="00DD08E2" w14:paraId="079BB439" w14:textId="77777777" w:rsidTr="00DD08E2">
        <w:trPr>
          <w:trHeight w:val="2823"/>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05116F" w14:textId="5C3E0BFA"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Generate pairs of polarizing claims that highlight tensions between practitioners and theoreticians. Each pair should present opposing perspectives. Use the following themes and subthemes as inspiration:</w:t>
            </w:r>
          </w:p>
          <w:p w14:paraId="787AC256" w14:textId="77777777"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Theme X: (Subtheme 1, Subtheme 2, …)</w:t>
            </w:r>
          </w:p>
          <w:p w14:paraId="187E567B" w14:textId="77777777"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Theme Y: (Subtheme 1, Subtheme 2, …)</w:t>
            </w:r>
          </w:p>
          <w:p w14:paraId="41C85C43" w14:textId="77777777"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w:t>
            </w:r>
          </w:p>
          <w:p w14:paraId="3E885D4B" w14:textId="77777777"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Make sure the claims are succinct, clear, and provocative, similar in style to:</w:t>
            </w:r>
          </w:p>
          <w:p w14:paraId="106FCFC1" w14:textId="77777777"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‘Theoretical knowledge should be prioritized over practical experience.’</w:t>
            </w:r>
          </w:p>
          <w:p w14:paraId="2C81D9DC" w14:textId="77777777"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‘Practical experience should be prioritized over theoretical knowledge.’</w:t>
            </w:r>
          </w:p>
          <w:p w14:paraId="0C8F8FFC" w14:textId="77777777"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w:t>
            </w:r>
          </w:p>
          <w:p w14:paraId="7A937FD3" w14:textId="09CB2354" w:rsidR="00DD08E2" w:rsidRPr="00DD08E2" w:rsidRDefault="00DD08E2" w:rsidP="00DD08E2">
            <w:pPr>
              <w:rPr>
                <w:rFonts w:ascii="Times New Roman" w:hAnsi="Times New Roman" w:cs="Times New Roman"/>
                <w:b/>
                <w:bCs/>
                <w:sz w:val="22"/>
                <w:szCs w:val="22"/>
                <w:lang w:val="en-US"/>
              </w:rPr>
            </w:pPr>
            <w:r w:rsidRPr="00DD08E2">
              <w:rPr>
                <w:rFonts w:ascii="Times New Roman" w:hAnsi="Times New Roman" w:cs="Times New Roman"/>
                <w:sz w:val="22"/>
                <w:szCs w:val="22"/>
                <w:lang w:val="en-US"/>
              </w:rPr>
              <w:t>Claims should be written in opposing statements format.</w:t>
            </w:r>
          </w:p>
        </w:tc>
      </w:tr>
    </w:tbl>
    <w:p w14:paraId="62063A63" w14:textId="77777777" w:rsidR="009E1281" w:rsidRDefault="009E1281">
      <w:pPr>
        <w:rPr>
          <w:rFonts w:ascii="Times New Roman" w:hAnsi="Times New Roman" w:cs="Times New Roman"/>
          <w:b/>
          <w:bCs/>
          <w:sz w:val="22"/>
          <w:szCs w:val="22"/>
        </w:rPr>
      </w:pPr>
    </w:p>
    <w:p w14:paraId="53B8AD27" w14:textId="6225E33C" w:rsidR="00DD08E2" w:rsidRDefault="00DD08E2">
      <w:pPr>
        <w:rPr>
          <w:rFonts w:ascii="Times New Roman" w:hAnsi="Times New Roman" w:cs="Times New Roman"/>
          <w:b/>
          <w:bCs/>
          <w:i/>
          <w:iCs/>
          <w:sz w:val="22"/>
          <w:szCs w:val="22"/>
          <w:lang w:val="en-US"/>
        </w:rPr>
      </w:pPr>
      <w:r w:rsidRPr="00DD08E2">
        <w:rPr>
          <w:rFonts w:ascii="Times New Roman" w:hAnsi="Times New Roman" w:cs="Times New Roman"/>
          <w:b/>
          <w:bCs/>
          <w:i/>
          <w:iCs/>
          <w:sz w:val="22"/>
          <w:szCs w:val="22"/>
          <w:lang w:val="en-US"/>
        </w:rPr>
        <w:t>P3: Stance Detection Prompt</w:t>
      </w:r>
    </w:p>
    <w:p w14:paraId="07F8BFF3" w14:textId="77777777" w:rsidR="00324DCA" w:rsidRPr="00DD08E2" w:rsidRDefault="00324DCA">
      <w:pPr>
        <w:rPr>
          <w:rFonts w:ascii="Times New Roman" w:hAnsi="Times New Roman" w:cs="Times New Roman"/>
          <w:b/>
          <w:bCs/>
          <w:i/>
          <w:iCs/>
          <w:sz w:val="22"/>
          <w:szCs w:val="22"/>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DD08E2" w:rsidRPr="00DD08E2" w14:paraId="2661D179" w14:textId="77777777">
        <w:trPr>
          <w:trHeight w:val="277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AC3288" w14:textId="31442C58"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You are given:</w:t>
            </w:r>
          </w:p>
          <w:p w14:paraId="681B4BD8" w14:textId="77777777"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  - A file containing an interview transcript of a participant.</w:t>
            </w:r>
          </w:p>
          <w:p w14:paraId="7A397F66" w14:textId="77777777"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Your task:</w:t>
            </w:r>
          </w:p>
          <w:p w14:paraId="0AD95568" w14:textId="77777777"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1. Carefully analyze the participant’s personality, worldview, tone, and overall patterns of responses from the interview transcript. Identify recurring themes, values, and tendencies that shape their stance on issues.</w:t>
            </w:r>
          </w:p>
          <w:p w14:paraId="4EAE393E" w14:textId="77777777"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2. For the claim given to you, predict whether the participant would likely Support or Oppose or No Clear Evidence for the claim — even if they did not explicitly address it.</w:t>
            </w:r>
          </w:p>
          <w:p w14:paraId="0CD6DDC9" w14:textId="77777777"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3. Provide an evidence-based justification for your prediction. Connect your reasoning to:</w:t>
            </w:r>
          </w:p>
          <w:p w14:paraId="2A072ED4" w14:textId="77777777"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   - Recurring themes and values in the interview,</w:t>
            </w:r>
          </w:p>
          <w:p w14:paraId="709C4771" w14:textId="77777777" w:rsidR="00DD08E2" w:rsidRPr="00DD08E2" w:rsidRDefault="00DD08E2" w:rsidP="00DD08E2">
            <w:pPr>
              <w:rPr>
                <w:rFonts w:ascii="Times New Roman" w:hAnsi="Times New Roman" w:cs="Times New Roman"/>
                <w:sz w:val="22"/>
                <w:szCs w:val="22"/>
                <w:lang w:val="en-US"/>
              </w:rPr>
            </w:pPr>
            <w:r w:rsidRPr="00DD08E2">
              <w:rPr>
                <w:rFonts w:ascii="Times New Roman" w:hAnsi="Times New Roman" w:cs="Times New Roman"/>
                <w:sz w:val="22"/>
                <w:szCs w:val="22"/>
                <w:lang w:val="en-US"/>
              </w:rPr>
              <w:t xml:space="preserve">   - Their personality traits (e.g., optimism, </w:t>
            </w:r>
            <w:proofErr w:type="spellStart"/>
            <w:r w:rsidRPr="00DD08E2">
              <w:rPr>
                <w:rFonts w:ascii="Times New Roman" w:hAnsi="Times New Roman" w:cs="Times New Roman"/>
                <w:sz w:val="22"/>
                <w:szCs w:val="22"/>
                <w:lang w:val="en-US"/>
              </w:rPr>
              <w:t>scepticism</w:t>
            </w:r>
            <w:proofErr w:type="spellEnd"/>
            <w:r w:rsidRPr="00DD08E2">
              <w:rPr>
                <w:rFonts w:ascii="Times New Roman" w:hAnsi="Times New Roman" w:cs="Times New Roman"/>
                <w:sz w:val="22"/>
                <w:szCs w:val="22"/>
                <w:lang w:val="en-US"/>
              </w:rPr>
              <w:t>, openness),</w:t>
            </w:r>
          </w:p>
          <w:p w14:paraId="366D9E61" w14:textId="77777777" w:rsidR="00DD08E2" w:rsidRPr="00DD08E2" w:rsidRDefault="00DD08E2" w:rsidP="00DD08E2">
            <w:pPr>
              <w:rPr>
                <w:rFonts w:ascii="Times New Roman" w:hAnsi="Times New Roman" w:cs="Times New Roman"/>
                <w:b/>
                <w:bCs/>
                <w:sz w:val="22"/>
                <w:szCs w:val="22"/>
                <w:lang w:val="en-US"/>
              </w:rPr>
            </w:pPr>
            <w:r w:rsidRPr="00DD08E2">
              <w:rPr>
                <w:rFonts w:ascii="Times New Roman" w:hAnsi="Times New Roman" w:cs="Times New Roman"/>
                <w:sz w:val="22"/>
                <w:szCs w:val="22"/>
                <w:lang w:val="en-US"/>
              </w:rPr>
              <w:t xml:space="preserve">   - </w:t>
            </w:r>
            <w:proofErr w:type="spellStart"/>
            <w:r w:rsidRPr="00DD08E2">
              <w:rPr>
                <w:rFonts w:ascii="Times New Roman" w:hAnsi="Times New Roman" w:cs="Times New Roman"/>
                <w:sz w:val="22"/>
                <w:szCs w:val="22"/>
                <w:lang w:val="en-US"/>
              </w:rPr>
              <w:t>Signalling</w:t>
            </w:r>
            <w:proofErr w:type="spellEnd"/>
            <w:r w:rsidRPr="00DD08E2">
              <w:rPr>
                <w:rFonts w:ascii="Times New Roman" w:hAnsi="Times New Roman" w:cs="Times New Roman"/>
                <w:sz w:val="22"/>
                <w:szCs w:val="22"/>
                <w:lang w:val="en-US"/>
              </w:rPr>
              <w:t xml:space="preserve"> terms or tone that reveal their stance.</w:t>
            </w:r>
          </w:p>
        </w:tc>
      </w:tr>
    </w:tbl>
    <w:p w14:paraId="528999E4" w14:textId="77777777" w:rsidR="00324DCA" w:rsidRDefault="00324DCA" w:rsidP="00324DCA">
      <w:pPr>
        <w:rPr>
          <w:rFonts w:ascii="Times New Roman" w:hAnsi="Times New Roman" w:cs="Times New Roman"/>
          <w:b/>
          <w:bCs/>
          <w:sz w:val="22"/>
          <w:szCs w:val="22"/>
          <w:lang w:val="en-US"/>
        </w:rPr>
      </w:pPr>
    </w:p>
    <w:p w14:paraId="21407970" w14:textId="03E1B34C" w:rsidR="00324DCA" w:rsidRPr="00DD08E2" w:rsidRDefault="00324DCA" w:rsidP="00324DCA">
      <w:pPr>
        <w:rPr>
          <w:rFonts w:ascii="Times New Roman" w:hAnsi="Times New Roman" w:cs="Times New Roman"/>
          <w:b/>
          <w:bCs/>
          <w:i/>
          <w:iCs/>
          <w:sz w:val="22"/>
          <w:szCs w:val="22"/>
          <w:lang w:val="en-US"/>
        </w:rPr>
      </w:pPr>
      <w:r w:rsidRPr="00DD08E2">
        <w:rPr>
          <w:rFonts w:ascii="Times New Roman" w:hAnsi="Times New Roman" w:cs="Times New Roman"/>
          <w:b/>
          <w:bCs/>
          <w:i/>
          <w:iCs/>
          <w:sz w:val="22"/>
          <w:szCs w:val="22"/>
          <w:lang w:val="en-US"/>
        </w:rPr>
        <w:t>P4: Scaling and Interpretation Prompt</w:t>
      </w:r>
    </w:p>
    <w:p w14:paraId="6A47FB33" w14:textId="77777777" w:rsidR="009E1281" w:rsidRDefault="009E1281">
      <w:pPr>
        <w:rPr>
          <w:rFonts w:ascii="Times New Roman" w:hAnsi="Times New Roman" w:cs="Times New Roman"/>
          <w:b/>
          <w:bCs/>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DD08E2" w:rsidRPr="00DD08E2" w14:paraId="09CECC33" w14:textId="77777777" w:rsidTr="00324DCA">
        <w:trPr>
          <w:trHeight w:val="4875"/>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8A4612" w14:textId="4BF23C4F" w:rsidR="00324DCA" w:rsidRPr="00324DCA" w:rsidRDefault="00324DCA" w:rsidP="00324DCA">
            <w:pPr>
              <w:rPr>
                <w:rFonts w:ascii="Times New Roman" w:hAnsi="Times New Roman" w:cs="Times New Roman"/>
                <w:sz w:val="22"/>
                <w:szCs w:val="22"/>
                <w:lang w:val="en-US"/>
              </w:rPr>
            </w:pPr>
            <w:r w:rsidRPr="00324DCA">
              <w:rPr>
                <w:rFonts w:ascii="Times New Roman" w:hAnsi="Times New Roman" w:cs="Times New Roman"/>
                <w:sz w:val="22"/>
                <w:szCs w:val="22"/>
                <w:lang w:val="en-US"/>
              </w:rPr>
              <w:t>We model stance relationships as a bipartite graph connecting 20 interviewees—practitioners, theoreticians, and hybrids—to claims, with signed edges marking support (positive) or opposition (negative).</w:t>
            </w:r>
            <w:r>
              <w:rPr>
                <w:rFonts w:ascii="Times New Roman" w:hAnsi="Times New Roman" w:cs="Times New Roman"/>
                <w:sz w:val="22"/>
                <w:szCs w:val="22"/>
                <w:lang w:val="en-US"/>
              </w:rPr>
              <w:t xml:space="preserve"> Next, we utilize a scaling algorithm to</w:t>
            </w:r>
            <w:r w:rsidRPr="00324DCA">
              <w:rPr>
                <w:rFonts w:ascii="Times New Roman" w:hAnsi="Times New Roman" w:cs="Times New Roman"/>
                <w:b/>
                <w:bCs/>
                <w:sz w:val="22"/>
                <w:szCs w:val="22"/>
                <w:lang w:val="en-US"/>
              </w:rPr>
              <w:t>:</w:t>
            </w:r>
            <w:r w:rsidRPr="00324DCA">
              <w:rPr>
                <w:rFonts w:ascii="Times New Roman" w:hAnsi="Times New Roman" w:cs="Times New Roman"/>
                <w:sz w:val="22"/>
                <w:szCs w:val="22"/>
                <w:lang w:val="en-US"/>
              </w:rPr>
              <w:br/>
              <w:t>a) Partition interviewees and polarizing claims into distinct stance groups.</w:t>
            </w:r>
            <w:r w:rsidRPr="00324DCA">
              <w:rPr>
                <w:rFonts w:ascii="Times New Roman" w:hAnsi="Times New Roman" w:cs="Times New Roman"/>
                <w:sz w:val="22"/>
                <w:szCs w:val="22"/>
                <w:lang w:val="en-US"/>
              </w:rPr>
              <w:br/>
              <w:t>b) Project both onto a continuous [−1, 1] scale, positioning interviewees closer to supported claims and farther from opposed ones to represent stance alignment.</w:t>
            </w:r>
          </w:p>
          <w:p w14:paraId="6AAEE1A6" w14:textId="77777777" w:rsidR="00324DCA" w:rsidRPr="00324DCA" w:rsidRDefault="00324DCA" w:rsidP="00324DCA">
            <w:pPr>
              <w:rPr>
                <w:rFonts w:ascii="Times New Roman" w:hAnsi="Times New Roman" w:cs="Times New Roman"/>
                <w:sz w:val="22"/>
                <w:szCs w:val="22"/>
                <w:lang w:val="en-US"/>
              </w:rPr>
            </w:pPr>
            <w:r w:rsidRPr="00324DCA">
              <w:rPr>
                <w:rFonts w:ascii="Times New Roman" w:hAnsi="Times New Roman" w:cs="Times New Roman"/>
                <w:b/>
                <w:bCs/>
                <w:sz w:val="22"/>
                <w:szCs w:val="22"/>
                <w:lang w:val="en-US"/>
              </w:rPr>
              <w:t>Task:</w:t>
            </w:r>
            <w:r w:rsidRPr="00324DCA">
              <w:rPr>
                <w:rFonts w:ascii="Times New Roman" w:hAnsi="Times New Roman" w:cs="Times New Roman"/>
                <w:sz w:val="22"/>
                <w:szCs w:val="22"/>
                <w:lang w:val="en-US"/>
              </w:rPr>
              <w:br/>
              <w:t xml:space="preserve">Using three datasets—(1) </w:t>
            </w:r>
            <w:r w:rsidRPr="00324DCA">
              <w:rPr>
                <w:rFonts w:ascii="Times New Roman" w:hAnsi="Times New Roman" w:cs="Times New Roman"/>
                <w:i/>
                <w:iCs/>
                <w:sz w:val="22"/>
                <w:szCs w:val="22"/>
                <w:lang w:val="en-US"/>
              </w:rPr>
              <w:t>Claims CSV</w:t>
            </w:r>
            <w:r w:rsidRPr="00324DCA">
              <w:rPr>
                <w:rFonts w:ascii="Times New Roman" w:hAnsi="Times New Roman" w:cs="Times New Roman"/>
                <w:sz w:val="22"/>
                <w:szCs w:val="22"/>
                <w:lang w:val="en-US"/>
              </w:rPr>
              <w:t xml:space="preserve"> with scaling scores for 64 claims, (2) </w:t>
            </w:r>
            <w:r w:rsidRPr="00324DCA">
              <w:rPr>
                <w:rFonts w:ascii="Times New Roman" w:hAnsi="Times New Roman" w:cs="Times New Roman"/>
                <w:i/>
                <w:iCs/>
                <w:sz w:val="22"/>
                <w:szCs w:val="22"/>
                <w:lang w:val="en-US"/>
              </w:rPr>
              <w:t>Participant CSV</w:t>
            </w:r>
            <w:r w:rsidRPr="00324DCA">
              <w:rPr>
                <w:rFonts w:ascii="Times New Roman" w:hAnsi="Times New Roman" w:cs="Times New Roman"/>
                <w:sz w:val="22"/>
                <w:szCs w:val="22"/>
                <w:lang w:val="en-US"/>
              </w:rPr>
              <w:t xml:space="preserve"> with participant roles and their scale scores, and (3) </w:t>
            </w:r>
            <w:r w:rsidRPr="00324DCA">
              <w:rPr>
                <w:rFonts w:ascii="Times New Roman" w:hAnsi="Times New Roman" w:cs="Times New Roman"/>
                <w:i/>
                <w:iCs/>
                <w:sz w:val="22"/>
                <w:szCs w:val="22"/>
                <w:lang w:val="en-US"/>
              </w:rPr>
              <w:t>Stance CSV</w:t>
            </w:r>
            <w:r w:rsidRPr="00324DCA">
              <w:rPr>
                <w:rFonts w:ascii="Times New Roman" w:hAnsi="Times New Roman" w:cs="Times New Roman"/>
                <w:sz w:val="22"/>
                <w:szCs w:val="22"/>
                <w:lang w:val="en-US"/>
              </w:rPr>
              <w:t xml:space="preserve"> with stance data (support, oppose, no evidence)—write an academic-style interpretation that:</w:t>
            </w:r>
          </w:p>
          <w:p w14:paraId="52139796" w14:textId="77777777" w:rsidR="00324DCA" w:rsidRPr="00324DCA" w:rsidRDefault="00324DCA" w:rsidP="00324DCA">
            <w:pPr>
              <w:numPr>
                <w:ilvl w:val="0"/>
                <w:numId w:val="1"/>
              </w:numPr>
              <w:rPr>
                <w:rFonts w:ascii="Times New Roman" w:hAnsi="Times New Roman" w:cs="Times New Roman"/>
                <w:sz w:val="22"/>
                <w:szCs w:val="22"/>
                <w:lang w:val="en-US"/>
              </w:rPr>
            </w:pPr>
            <w:r w:rsidRPr="00324DCA">
              <w:rPr>
                <w:rFonts w:ascii="Times New Roman" w:hAnsi="Times New Roman" w:cs="Times New Roman"/>
                <w:sz w:val="22"/>
                <w:szCs w:val="22"/>
                <w:lang w:val="en-US"/>
              </w:rPr>
              <w:t>Analyzes how claims cluster across the scale, identifying divergence, alignment, or bridging attitudes.</w:t>
            </w:r>
          </w:p>
          <w:p w14:paraId="54AB401D" w14:textId="77777777" w:rsidR="00324DCA" w:rsidRPr="00324DCA" w:rsidRDefault="00324DCA" w:rsidP="00324DCA">
            <w:pPr>
              <w:numPr>
                <w:ilvl w:val="0"/>
                <w:numId w:val="1"/>
              </w:numPr>
              <w:rPr>
                <w:rFonts w:ascii="Times New Roman" w:hAnsi="Times New Roman" w:cs="Times New Roman"/>
                <w:sz w:val="22"/>
                <w:szCs w:val="22"/>
                <w:lang w:val="en-US"/>
              </w:rPr>
            </w:pPr>
            <w:r w:rsidRPr="00324DCA">
              <w:rPr>
                <w:rFonts w:ascii="Times New Roman" w:hAnsi="Times New Roman" w:cs="Times New Roman"/>
                <w:sz w:val="22"/>
                <w:szCs w:val="22"/>
                <w:lang w:val="en-US"/>
              </w:rPr>
              <w:t>Compares theoreticians, practitioners, and hybrids, noting contrasts, overlaps, and clustering patterns.</w:t>
            </w:r>
          </w:p>
          <w:p w14:paraId="48C78495" w14:textId="77777777" w:rsidR="00324DCA" w:rsidRPr="00324DCA" w:rsidRDefault="00324DCA" w:rsidP="00324DCA">
            <w:pPr>
              <w:numPr>
                <w:ilvl w:val="0"/>
                <w:numId w:val="1"/>
              </w:numPr>
              <w:rPr>
                <w:rFonts w:ascii="Times New Roman" w:hAnsi="Times New Roman" w:cs="Times New Roman"/>
                <w:sz w:val="22"/>
                <w:szCs w:val="22"/>
                <w:lang w:val="en-US"/>
              </w:rPr>
            </w:pPr>
            <w:r w:rsidRPr="00324DCA">
              <w:rPr>
                <w:rFonts w:ascii="Times New Roman" w:hAnsi="Times New Roman" w:cs="Times New Roman"/>
                <w:sz w:val="22"/>
                <w:szCs w:val="22"/>
                <w:lang w:val="en-US"/>
              </w:rPr>
              <w:t>Integrates stance data to show how support, opposition, and ambivalence align with scaling distributions.</w:t>
            </w:r>
          </w:p>
          <w:p w14:paraId="29361F1F" w14:textId="77777777" w:rsidR="00324DCA" w:rsidRPr="00324DCA" w:rsidRDefault="00324DCA" w:rsidP="00324DCA">
            <w:pPr>
              <w:numPr>
                <w:ilvl w:val="0"/>
                <w:numId w:val="1"/>
              </w:numPr>
              <w:rPr>
                <w:rFonts w:ascii="Times New Roman" w:hAnsi="Times New Roman" w:cs="Times New Roman"/>
                <w:sz w:val="22"/>
                <w:szCs w:val="22"/>
                <w:lang w:val="en-US"/>
              </w:rPr>
            </w:pPr>
            <w:r w:rsidRPr="00324DCA">
              <w:rPr>
                <w:rFonts w:ascii="Times New Roman" w:hAnsi="Times New Roman" w:cs="Times New Roman"/>
                <w:sz w:val="22"/>
                <w:szCs w:val="22"/>
                <w:lang w:val="en-US"/>
              </w:rPr>
              <w:t>Interprets what these clusters reveal about ideological camps and bridges between them.</w:t>
            </w:r>
          </w:p>
          <w:p w14:paraId="1C54BDAF" w14:textId="77777777" w:rsidR="00324DCA" w:rsidRPr="00324DCA" w:rsidRDefault="00324DCA" w:rsidP="00324DCA">
            <w:pPr>
              <w:numPr>
                <w:ilvl w:val="0"/>
                <w:numId w:val="1"/>
              </w:numPr>
              <w:rPr>
                <w:rFonts w:ascii="Times New Roman" w:hAnsi="Times New Roman" w:cs="Times New Roman"/>
                <w:sz w:val="22"/>
                <w:szCs w:val="22"/>
                <w:lang w:val="en-US"/>
              </w:rPr>
            </w:pPr>
            <w:r w:rsidRPr="00324DCA">
              <w:rPr>
                <w:rFonts w:ascii="Times New Roman" w:hAnsi="Times New Roman" w:cs="Times New Roman"/>
                <w:sz w:val="22"/>
                <w:szCs w:val="22"/>
                <w:lang w:val="en-US"/>
              </w:rPr>
              <w:t>Maintains a formal academic tone suited to a Results or Discussion section.</w:t>
            </w:r>
          </w:p>
          <w:p w14:paraId="79FD98BF" w14:textId="77777777" w:rsidR="00324DCA" w:rsidRPr="00324DCA" w:rsidRDefault="00324DCA" w:rsidP="00324DCA">
            <w:pPr>
              <w:numPr>
                <w:ilvl w:val="0"/>
                <w:numId w:val="1"/>
              </w:numPr>
              <w:rPr>
                <w:rFonts w:ascii="Times New Roman" w:hAnsi="Times New Roman" w:cs="Times New Roman"/>
                <w:sz w:val="22"/>
                <w:szCs w:val="22"/>
                <w:lang w:val="en-US"/>
              </w:rPr>
            </w:pPr>
            <w:r w:rsidRPr="00324DCA">
              <w:rPr>
                <w:rFonts w:ascii="Times New Roman" w:hAnsi="Times New Roman" w:cs="Times New Roman"/>
                <w:sz w:val="22"/>
                <w:szCs w:val="22"/>
                <w:lang w:val="en-US"/>
              </w:rPr>
              <w:t>Provides prose only—no tables, figures, or code.</w:t>
            </w:r>
          </w:p>
          <w:p w14:paraId="4D8F341B" w14:textId="10D9BDBE" w:rsidR="00DD08E2" w:rsidRPr="00DD08E2" w:rsidRDefault="00DD08E2" w:rsidP="00DD08E2">
            <w:pPr>
              <w:rPr>
                <w:rFonts w:ascii="Times New Roman" w:hAnsi="Times New Roman" w:cs="Times New Roman"/>
                <w:b/>
                <w:bCs/>
                <w:sz w:val="22"/>
                <w:szCs w:val="22"/>
                <w:lang w:val="en-US"/>
              </w:rPr>
            </w:pPr>
          </w:p>
        </w:tc>
      </w:tr>
    </w:tbl>
    <w:p w14:paraId="0C172C20" w14:textId="77777777" w:rsidR="00DD08E2" w:rsidRDefault="00DD08E2">
      <w:pPr>
        <w:rPr>
          <w:rFonts w:ascii="Times New Roman" w:hAnsi="Times New Roman" w:cs="Times New Roman"/>
          <w:b/>
          <w:bCs/>
          <w:sz w:val="22"/>
          <w:szCs w:val="22"/>
        </w:rPr>
      </w:pPr>
    </w:p>
    <w:p w14:paraId="7EA16DAF" w14:textId="77777777" w:rsidR="00324DCA" w:rsidRDefault="00324DCA">
      <w:pPr>
        <w:rPr>
          <w:rFonts w:ascii="Times New Roman" w:hAnsi="Times New Roman" w:cs="Times New Roman"/>
          <w:b/>
          <w:bCs/>
          <w:sz w:val="22"/>
          <w:szCs w:val="22"/>
        </w:rPr>
      </w:pPr>
    </w:p>
    <w:p w14:paraId="2AE75DCF" w14:textId="2F2D79AB" w:rsidR="00A17238" w:rsidRPr="009E1281" w:rsidRDefault="009B5D6B">
      <w:pPr>
        <w:rPr>
          <w:rFonts w:ascii="Times New Roman" w:hAnsi="Times New Roman" w:cs="Times New Roman"/>
          <w:b/>
          <w:bCs/>
          <w:sz w:val="22"/>
          <w:szCs w:val="22"/>
        </w:rPr>
      </w:pPr>
      <w:r w:rsidRPr="009E1281">
        <w:rPr>
          <w:rFonts w:ascii="Times New Roman" w:hAnsi="Times New Roman" w:cs="Times New Roman"/>
          <w:b/>
          <w:bCs/>
          <w:sz w:val="22"/>
          <w:szCs w:val="22"/>
        </w:rPr>
        <w:lastRenderedPageBreak/>
        <w:t xml:space="preserve">Appendix 2 - </w:t>
      </w:r>
      <w:r w:rsidR="00DD54EF" w:rsidRPr="009E1281">
        <w:rPr>
          <w:rFonts w:ascii="Times New Roman" w:hAnsi="Times New Roman" w:cs="Times New Roman"/>
          <w:b/>
          <w:bCs/>
          <w:sz w:val="22"/>
          <w:szCs w:val="22"/>
        </w:rPr>
        <w:t xml:space="preserve">Qualitative results; further evidence </w:t>
      </w:r>
    </w:p>
    <w:p w14:paraId="6723E051" w14:textId="77777777" w:rsidR="00795EF7" w:rsidRPr="009E1281" w:rsidRDefault="00795EF7" w:rsidP="00795EF7">
      <w:pPr>
        <w:pStyle w:val="Heading3"/>
        <w:keepNext w:val="0"/>
        <w:keepLines w:val="0"/>
        <w:spacing w:before="360"/>
        <w:rPr>
          <w:rFonts w:ascii="Times New Roman" w:eastAsia="Calibri" w:hAnsi="Times New Roman" w:cs="Times New Roman"/>
          <w:b/>
          <w:i/>
          <w:color w:val="000000"/>
          <w:sz w:val="22"/>
          <w:szCs w:val="22"/>
        </w:rPr>
      </w:pPr>
      <w:r w:rsidRPr="009E1281">
        <w:rPr>
          <w:rFonts w:ascii="Times New Roman" w:eastAsia="Calibri" w:hAnsi="Times New Roman" w:cs="Times New Roman"/>
          <w:b/>
          <w:i/>
          <w:color w:val="000000"/>
          <w:sz w:val="22"/>
          <w:szCs w:val="22"/>
        </w:rPr>
        <w:t>Theme 1. Values and Epistemic Orientations</w:t>
      </w:r>
    </w:p>
    <w:p w14:paraId="2407C7E1" w14:textId="77777777" w:rsidR="00795EF7" w:rsidRPr="009E1281" w:rsidRDefault="00795EF7">
      <w:pPr>
        <w:rPr>
          <w:rFonts w:ascii="Times New Roman" w:hAnsi="Times New Roman" w:cs="Times New Roman"/>
          <w:b/>
          <w:bCs/>
          <w:sz w:val="22"/>
          <w:szCs w:val="22"/>
        </w:rPr>
      </w:pPr>
    </w:p>
    <w:p w14:paraId="272C087F" w14:textId="77777777" w:rsidR="00795EF7" w:rsidRPr="009E1281" w:rsidRDefault="00795EF7">
      <w:pPr>
        <w:rPr>
          <w:rFonts w:ascii="Times New Roman" w:hAnsi="Times New Roman" w:cs="Times New Roman"/>
          <w:b/>
          <w:bCs/>
          <w:sz w:val="22"/>
          <w:szCs w:val="22"/>
        </w:rPr>
      </w:pPr>
    </w:p>
    <w:p w14:paraId="5FB322BC" w14:textId="77777777" w:rsidR="00795EF7" w:rsidRPr="009E1281" w:rsidRDefault="00795EF7" w:rsidP="00795EF7">
      <w:pPr>
        <w:rPr>
          <w:rFonts w:ascii="Times New Roman" w:eastAsia="Calibri" w:hAnsi="Times New Roman" w:cs="Times New Roman"/>
          <w:sz w:val="22"/>
          <w:szCs w:val="22"/>
        </w:rPr>
      </w:pPr>
      <w:r w:rsidRPr="009E1281">
        <w:rPr>
          <w:rFonts w:ascii="Times New Roman" w:eastAsia="Calibri" w:hAnsi="Times New Roman" w:cs="Times New Roman"/>
          <w:sz w:val="22"/>
          <w:szCs w:val="22"/>
        </w:rPr>
        <w:t>Participants also highlighted the personal dimensions of value systems for practitioners. P5 reflected on the relationship between lived experience, vulnerability, and intellectual strength:</w:t>
      </w:r>
    </w:p>
    <w:p w14:paraId="76487650" w14:textId="77777777" w:rsidR="00795EF7" w:rsidRPr="009E1281" w:rsidRDefault="00795EF7" w:rsidP="00795EF7">
      <w:pPr>
        <w:rPr>
          <w:rFonts w:ascii="Times New Roman" w:eastAsia="Calibri" w:hAnsi="Times New Roman" w:cs="Times New Roman"/>
          <w:sz w:val="22"/>
          <w:szCs w:val="22"/>
        </w:rPr>
      </w:pPr>
    </w:p>
    <w:p w14:paraId="54EFCA1B" w14:textId="77777777" w:rsidR="00795EF7" w:rsidRPr="009E1281" w:rsidRDefault="00795EF7" w:rsidP="00795EF7">
      <w:pPr>
        <w:ind w:left="720"/>
        <w:rPr>
          <w:rFonts w:ascii="Times New Roman" w:eastAsia="Calibri" w:hAnsi="Times New Roman" w:cs="Times New Roman"/>
          <w:sz w:val="22"/>
          <w:szCs w:val="22"/>
        </w:rPr>
      </w:pPr>
      <w:r w:rsidRPr="009E1281">
        <w:rPr>
          <w:rFonts w:ascii="Times New Roman" w:eastAsia="Calibri" w:hAnsi="Times New Roman" w:cs="Times New Roman"/>
          <w:i/>
          <w:sz w:val="22"/>
          <w:szCs w:val="22"/>
        </w:rPr>
        <w:t>“Their real power resides in all those things that they have also suffered, their vulnerabilities, the things that they have created. And I think that this is a very beautiful thing to always keep in mind that sometimes your insecurities, your uncertainties you've experienced, the trauma you've experienced may actually</w:t>
      </w:r>
      <w:r w:rsidRPr="009E1281">
        <w:rPr>
          <w:rFonts w:ascii="Times New Roman" w:eastAsia="Calibri" w:hAnsi="Times New Roman" w:cs="Times New Roman"/>
          <w:sz w:val="22"/>
          <w:szCs w:val="22"/>
        </w:rPr>
        <w:t xml:space="preserve"> </w:t>
      </w:r>
      <w:r w:rsidRPr="009E1281">
        <w:rPr>
          <w:rFonts w:ascii="Times New Roman" w:eastAsia="Calibri" w:hAnsi="Times New Roman" w:cs="Times New Roman"/>
          <w:i/>
          <w:sz w:val="22"/>
          <w:szCs w:val="22"/>
        </w:rPr>
        <w:t>become your source of power.”</w:t>
      </w:r>
      <w:r w:rsidRPr="009E1281">
        <w:rPr>
          <w:rFonts w:ascii="Times New Roman" w:eastAsia="Calibri" w:hAnsi="Times New Roman" w:cs="Times New Roman"/>
          <w:sz w:val="22"/>
          <w:szCs w:val="22"/>
        </w:rPr>
        <w:t xml:space="preserve"> (P5, Hybrid)</w:t>
      </w:r>
    </w:p>
    <w:p w14:paraId="0E294F25" w14:textId="77777777" w:rsidR="00795EF7" w:rsidRPr="009E1281" w:rsidRDefault="00795EF7" w:rsidP="00795EF7">
      <w:pPr>
        <w:ind w:left="720"/>
        <w:rPr>
          <w:rFonts w:ascii="Times New Roman" w:eastAsia="Calibri" w:hAnsi="Times New Roman" w:cs="Times New Roman"/>
          <w:sz w:val="22"/>
          <w:szCs w:val="22"/>
        </w:rPr>
      </w:pPr>
    </w:p>
    <w:p w14:paraId="61CDF00B" w14:textId="77777777" w:rsidR="00795EF7" w:rsidRPr="009E1281" w:rsidRDefault="00795EF7" w:rsidP="00795EF7">
      <w:pPr>
        <w:rPr>
          <w:rFonts w:ascii="Times New Roman" w:eastAsia="Calibri" w:hAnsi="Times New Roman" w:cs="Times New Roman"/>
          <w:sz w:val="22"/>
          <w:szCs w:val="22"/>
        </w:rPr>
      </w:pPr>
      <w:r w:rsidRPr="009E1281">
        <w:rPr>
          <w:rFonts w:ascii="Times New Roman" w:eastAsia="Calibri" w:hAnsi="Times New Roman" w:cs="Times New Roman"/>
          <w:sz w:val="22"/>
          <w:szCs w:val="22"/>
        </w:rPr>
        <w:t>When describing theoreticians specifically, participants emphasized the theoretician’s commitment to self-reflection, objectivity, critical thinking, and theoretical development rather than immediate action:</w:t>
      </w:r>
    </w:p>
    <w:p w14:paraId="347EB947" w14:textId="77777777" w:rsidR="00795EF7" w:rsidRPr="009E1281" w:rsidRDefault="00795EF7" w:rsidP="00795EF7">
      <w:pPr>
        <w:ind w:left="860"/>
        <w:rPr>
          <w:rFonts w:ascii="Times New Roman" w:eastAsia="Calibri" w:hAnsi="Times New Roman" w:cs="Times New Roman"/>
          <w:sz w:val="22"/>
          <w:szCs w:val="22"/>
        </w:rPr>
      </w:pPr>
      <w:r w:rsidRPr="009E1281">
        <w:rPr>
          <w:rFonts w:ascii="Times New Roman" w:eastAsia="Calibri" w:hAnsi="Times New Roman" w:cs="Times New Roman"/>
          <w:i/>
          <w:sz w:val="22"/>
          <w:szCs w:val="22"/>
        </w:rPr>
        <w:t>“I think that the kind of like principle of trying to strive for objectivity and neutrality in research.”</w:t>
      </w:r>
      <w:r w:rsidRPr="009E1281">
        <w:rPr>
          <w:rFonts w:ascii="Times New Roman" w:eastAsia="Calibri" w:hAnsi="Times New Roman" w:cs="Times New Roman"/>
          <w:sz w:val="22"/>
          <w:szCs w:val="22"/>
        </w:rPr>
        <w:t xml:space="preserve"> (P2, Theoretician)</w:t>
      </w:r>
    </w:p>
    <w:p w14:paraId="7C96A61E" w14:textId="77777777" w:rsidR="00795EF7" w:rsidRPr="009E1281" w:rsidRDefault="00795EF7" w:rsidP="00795EF7">
      <w:pPr>
        <w:ind w:left="860"/>
        <w:rPr>
          <w:rFonts w:ascii="Times New Roman" w:eastAsia="Calibri" w:hAnsi="Times New Roman" w:cs="Times New Roman"/>
          <w:sz w:val="22"/>
          <w:szCs w:val="22"/>
        </w:rPr>
      </w:pPr>
    </w:p>
    <w:p w14:paraId="3A6FB81F" w14:textId="77777777" w:rsidR="00795EF7" w:rsidRPr="009E1281" w:rsidRDefault="00795EF7" w:rsidP="00795EF7">
      <w:pPr>
        <w:ind w:left="860"/>
        <w:rPr>
          <w:rFonts w:ascii="Times New Roman" w:eastAsia="Calibri" w:hAnsi="Times New Roman" w:cs="Times New Roman"/>
          <w:sz w:val="22"/>
          <w:szCs w:val="22"/>
        </w:rPr>
      </w:pPr>
      <w:r w:rsidRPr="009E1281">
        <w:rPr>
          <w:rFonts w:ascii="Times New Roman" w:eastAsia="Calibri" w:hAnsi="Times New Roman" w:cs="Times New Roman"/>
          <w:i/>
          <w:sz w:val="22"/>
          <w:szCs w:val="22"/>
        </w:rPr>
        <w:t>“The main skill needed in that case is an ability to challenge their own belief system.”</w:t>
      </w:r>
      <w:r w:rsidRPr="009E1281">
        <w:rPr>
          <w:rFonts w:ascii="Times New Roman" w:eastAsia="Calibri" w:hAnsi="Times New Roman" w:cs="Times New Roman"/>
          <w:sz w:val="22"/>
          <w:szCs w:val="22"/>
        </w:rPr>
        <w:t xml:space="preserve"> (P12, Hybrid)</w:t>
      </w:r>
    </w:p>
    <w:p w14:paraId="6AF75467" w14:textId="77777777" w:rsidR="00795EF7" w:rsidRPr="009E1281" w:rsidRDefault="00795EF7" w:rsidP="00795EF7">
      <w:pPr>
        <w:ind w:left="860"/>
        <w:rPr>
          <w:rFonts w:ascii="Times New Roman" w:eastAsia="Calibri" w:hAnsi="Times New Roman" w:cs="Times New Roman"/>
          <w:sz w:val="22"/>
          <w:szCs w:val="22"/>
        </w:rPr>
      </w:pPr>
    </w:p>
    <w:p w14:paraId="2D6DD6C6" w14:textId="77777777" w:rsidR="00795EF7" w:rsidRPr="009E1281" w:rsidRDefault="00795EF7" w:rsidP="00795EF7">
      <w:pPr>
        <w:ind w:left="860"/>
        <w:rPr>
          <w:rFonts w:ascii="Times New Roman" w:eastAsia="Calibri" w:hAnsi="Times New Roman" w:cs="Times New Roman"/>
          <w:sz w:val="22"/>
          <w:szCs w:val="22"/>
        </w:rPr>
      </w:pPr>
      <w:r w:rsidRPr="009E1281">
        <w:rPr>
          <w:rFonts w:ascii="Times New Roman" w:eastAsia="Calibri" w:hAnsi="Times New Roman" w:cs="Times New Roman"/>
          <w:i/>
          <w:sz w:val="22"/>
          <w:szCs w:val="22"/>
        </w:rPr>
        <w:t>“I think core principles of hard work, discipline, scholarly writings, research discipline, thorough peer review, deep thought, exchange of ideas, being able to test ideas against other theories, test ideas against their effectiveness, the effectiveness of ideas are all, I think, core principles of the intellectualism associated with academia.”</w:t>
      </w:r>
      <w:r w:rsidRPr="009E1281">
        <w:rPr>
          <w:rFonts w:ascii="Times New Roman" w:eastAsia="Calibri" w:hAnsi="Times New Roman" w:cs="Times New Roman"/>
          <w:sz w:val="22"/>
          <w:szCs w:val="22"/>
        </w:rPr>
        <w:t xml:space="preserve"> (P15, Practitioner)</w:t>
      </w:r>
    </w:p>
    <w:p w14:paraId="69D53E5F" w14:textId="77777777" w:rsidR="00795EF7" w:rsidRPr="009E1281" w:rsidRDefault="00795EF7" w:rsidP="00795EF7">
      <w:pPr>
        <w:ind w:left="860"/>
        <w:rPr>
          <w:rFonts w:ascii="Times New Roman" w:eastAsia="Calibri" w:hAnsi="Times New Roman" w:cs="Times New Roman"/>
          <w:sz w:val="22"/>
          <w:szCs w:val="22"/>
        </w:rPr>
      </w:pPr>
    </w:p>
    <w:p w14:paraId="34C6B78D" w14:textId="77777777" w:rsidR="00795EF7" w:rsidRPr="009E1281" w:rsidRDefault="00795EF7" w:rsidP="00795EF7">
      <w:pPr>
        <w:ind w:left="860"/>
        <w:rPr>
          <w:rFonts w:ascii="Times New Roman" w:eastAsia="Calibri" w:hAnsi="Times New Roman" w:cs="Times New Roman"/>
          <w:sz w:val="22"/>
          <w:szCs w:val="22"/>
        </w:rPr>
      </w:pPr>
      <w:r w:rsidRPr="009E1281">
        <w:rPr>
          <w:rFonts w:ascii="Times New Roman" w:eastAsia="Calibri" w:hAnsi="Times New Roman" w:cs="Times New Roman"/>
          <w:i/>
          <w:sz w:val="22"/>
          <w:szCs w:val="22"/>
        </w:rPr>
        <w:t>“An academic is thirsty. They're eager to learn more, to know more. And sometimes they have to pull back on that. To deal with the realities of the practitioner. And then, you know, that maybe we both have a sense of urgency, theirs is more knowledge.”</w:t>
      </w:r>
      <w:r w:rsidRPr="009E1281">
        <w:rPr>
          <w:rFonts w:ascii="Times New Roman" w:eastAsia="Calibri" w:hAnsi="Times New Roman" w:cs="Times New Roman"/>
          <w:sz w:val="22"/>
          <w:szCs w:val="22"/>
        </w:rPr>
        <w:t xml:space="preserve"> (P7, Practitioner)</w:t>
      </w:r>
    </w:p>
    <w:p w14:paraId="2AEBB461" w14:textId="77777777" w:rsidR="00795EF7" w:rsidRPr="009E1281" w:rsidRDefault="00795EF7" w:rsidP="00795EF7">
      <w:pPr>
        <w:rPr>
          <w:rFonts w:ascii="Times New Roman" w:eastAsia="Calibri" w:hAnsi="Times New Roman" w:cs="Times New Roman"/>
          <w:sz w:val="22"/>
          <w:szCs w:val="22"/>
        </w:rPr>
      </w:pPr>
    </w:p>
    <w:p w14:paraId="6B5CBC5D" w14:textId="3DFD9B62" w:rsidR="00795EF7" w:rsidRPr="009E1281" w:rsidRDefault="00795EF7">
      <w:pPr>
        <w:rPr>
          <w:rFonts w:ascii="Times New Roman" w:eastAsia="Calibri" w:hAnsi="Times New Roman" w:cs="Times New Roman"/>
          <w:sz w:val="22"/>
          <w:szCs w:val="22"/>
        </w:rPr>
      </w:pPr>
      <w:r w:rsidRPr="009E1281">
        <w:rPr>
          <w:rFonts w:ascii="Times New Roman" w:eastAsia="Calibri" w:hAnsi="Times New Roman" w:cs="Times New Roman"/>
          <w:sz w:val="22"/>
          <w:szCs w:val="22"/>
        </w:rPr>
        <w:t>Another hybrid described how occupying both spaces required integrating theoretical understanding with applied expertise:</w:t>
      </w:r>
    </w:p>
    <w:p w14:paraId="2903BAB0" w14:textId="77777777" w:rsidR="00795EF7" w:rsidRPr="009E1281" w:rsidRDefault="00795EF7">
      <w:pPr>
        <w:rPr>
          <w:rFonts w:ascii="Times New Roman" w:hAnsi="Times New Roman" w:cs="Times New Roman"/>
          <w:b/>
          <w:bCs/>
          <w:sz w:val="22"/>
          <w:szCs w:val="22"/>
        </w:rPr>
      </w:pPr>
    </w:p>
    <w:p w14:paraId="4800FD00" w14:textId="77777777" w:rsidR="00795EF7" w:rsidRPr="009E1281" w:rsidRDefault="00795EF7" w:rsidP="00795EF7">
      <w:pPr>
        <w:ind w:left="720"/>
        <w:rPr>
          <w:rFonts w:ascii="Times New Roman" w:eastAsia="Calibri" w:hAnsi="Times New Roman" w:cs="Times New Roman"/>
          <w:sz w:val="22"/>
          <w:szCs w:val="22"/>
        </w:rPr>
      </w:pPr>
      <w:r w:rsidRPr="009E1281">
        <w:rPr>
          <w:rFonts w:ascii="Times New Roman" w:eastAsia="Calibri" w:hAnsi="Times New Roman" w:cs="Times New Roman"/>
          <w:i/>
          <w:sz w:val="22"/>
          <w:szCs w:val="22"/>
        </w:rPr>
        <w:t>“But if you're searching for answers, you may be blinding yourself by not asking questions. That's how I approached policing. I always thought, what questions haven't we asked yet? There can't be any knowledge that is sacrosanct. There can't be any knowledge that is permanent and forever and never changing except service, obviously, but like the way you do things. And I do the same thing with the students. I tell them constantly that understanding how to ask questions is what evolves us, not understanding answers. So practitioners are going to need answers. So I wanted answers, but I also knew we had to ask questions of ourselves. We had to ask questions of our data. We had to ask questions of our community.”</w:t>
      </w:r>
      <w:r w:rsidRPr="009E1281">
        <w:rPr>
          <w:rFonts w:ascii="Times New Roman" w:eastAsia="Calibri" w:hAnsi="Times New Roman" w:cs="Times New Roman"/>
          <w:sz w:val="22"/>
          <w:szCs w:val="22"/>
        </w:rPr>
        <w:t xml:space="preserve"> (P11, Hybrid)</w:t>
      </w:r>
    </w:p>
    <w:p w14:paraId="154A6C83" w14:textId="77777777" w:rsidR="00795EF7" w:rsidRPr="009E1281" w:rsidRDefault="00795EF7" w:rsidP="00795EF7">
      <w:pPr>
        <w:ind w:left="720"/>
        <w:rPr>
          <w:rFonts w:ascii="Times New Roman" w:eastAsia="Calibri" w:hAnsi="Times New Roman" w:cs="Times New Roman"/>
          <w:sz w:val="22"/>
          <w:szCs w:val="22"/>
        </w:rPr>
      </w:pPr>
    </w:p>
    <w:p w14:paraId="701D1846" w14:textId="77777777" w:rsidR="00795EF7" w:rsidRPr="009E1281" w:rsidRDefault="00795EF7" w:rsidP="00795EF7">
      <w:pPr>
        <w:rPr>
          <w:rFonts w:ascii="Times New Roman" w:eastAsia="Calibri" w:hAnsi="Times New Roman" w:cs="Times New Roman"/>
          <w:sz w:val="22"/>
          <w:szCs w:val="22"/>
        </w:rPr>
      </w:pPr>
      <w:r w:rsidRPr="009E1281">
        <w:rPr>
          <w:rFonts w:ascii="Times New Roman" w:eastAsia="Calibri" w:hAnsi="Times New Roman" w:cs="Times New Roman"/>
          <w:sz w:val="22"/>
          <w:szCs w:val="22"/>
        </w:rPr>
        <w:t>Hybrids appeared to be translators who “spoke both languages,” integrating divergent ways of knowing and moving fluidly across settings:</w:t>
      </w:r>
    </w:p>
    <w:p w14:paraId="387809CF" w14:textId="77777777" w:rsidR="00795EF7" w:rsidRPr="009E1281" w:rsidRDefault="00795EF7" w:rsidP="00795EF7">
      <w:pPr>
        <w:ind w:left="720"/>
        <w:rPr>
          <w:rFonts w:ascii="Times New Roman" w:eastAsia="Calibri" w:hAnsi="Times New Roman" w:cs="Times New Roman"/>
          <w:sz w:val="22"/>
          <w:szCs w:val="22"/>
        </w:rPr>
      </w:pPr>
    </w:p>
    <w:p w14:paraId="5A37C27E" w14:textId="77777777" w:rsidR="00795EF7" w:rsidRPr="009E1281" w:rsidRDefault="00795EF7" w:rsidP="00795EF7">
      <w:pPr>
        <w:ind w:left="720"/>
        <w:rPr>
          <w:rFonts w:ascii="Times New Roman" w:eastAsia="Calibri" w:hAnsi="Times New Roman" w:cs="Times New Roman"/>
          <w:sz w:val="22"/>
          <w:szCs w:val="22"/>
        </w:rPr>
      </w:pPr>
      <w:r w:rsidRPr="009E1281">
        <w:rPr>
          <w:rFonts w:ascii="Times New Roman" w:eastAsia="Calibri" w:hAnsi="Times New Roman" w:cs="Times New Roman"/>
          <w:i/>
          <w:sz w:val="22"/>
          <w:szCs w:val="22"/>
        </w:rPr>
        <w:t>“I ran two master’s programs… we prepared teachers with some theory, but when they went back and did their job, what they were really going to do was be interpreters between administrators, teachers, and technology people… we wanted a practitioner that could bring in and use theory to improve practices. And it required knowledge of both.”</w:t>
      </w:r>
      <w:r w:rsidRPr="009E1281">
        <w:rPr>
          <w:rFonts w:ascii="Times New Roman" w:eastAsia="Calibri" w:hAnsi="Times New Roman" w:cs="Times New Roman"/>
          <w:sz w:val="22"/>
          <w:szCs w:val="22"/>
        </w:rPr>
        <w:t xml:space="preserve"> (P12, Hybrid)</w:t>
      </w:r>
    </w:p>
    <w:p w14:paraId="282D54F0" w14:textId="77777777" w:rsidR="00795EF7" w:rsidRPr="009E1281" w:rsidRDefault="00795EF7" w:rsidP="00795EF7">
      <w:pPr>
        <w:ind w:left="720"/>
        <w:rPr>
          <w:rFonts w:ascii="Times New Roman" w:eastAsia="Calibri" w:hAnsi="Times New Roman" w:cs="Times New Roman"/>
          <w:sz w:val="22"/>
          <w:szCs w:val="22"/>
        </w:rPr>
      </w:pPr>
    </w:p>
    <w:p w14:paraId="6E203AA6" w14:textId="77777777" w:rsidR="00795EF7" w:rsidRPr="009E1281" w:rsidRDefault="00795EF7" w:rsidP="00795EF7">
      <w:pPr>
        <w:ind w:left="720"/>
        <w:rPr>
          <w:rFonts w:ascii="Times New Roman" w:eastAsia="Calibri" w:hAnsi="Times New Roman" w:cs="Times New Roman"/>
          <w:sz w:val="22"/>
          <w:szCs w:val="22"/>
        </w:rPr>
      </w:pPr>
      <w:r w:rsidRPr="009E1281">
        <w:rPr>
          <w:rFonts w:ascii="Times New Roman" w:eastAsia="Calibri" w:hAnsi="Times New Roman" w:cs="Times New Roman"/>
          <w:i/>
          <w:sz w:val="22"/>
          <w:szCs w:val="22"/>
        </w:rPr>
        <w:lastRenderedPageBreak/>
        <w:t xml:space="preserve">“To be able to shift between both worlds, you have to be open to how they operate differently… if you’re </w:t>
      </w:r>
      <w:proofErr w:type="spellStart"/>
      <w:r w:rsidRPr="009E1281">
        <w:rPr>
          <w:rFonts w:ascii="Times New Roman" w:eastAsia="Calibri" w:hAnsi="Times New Roman" w:cs="Times New Roman"/>
          <w:i/>
          <w:sz w:val="22"/>
          <w:szCs w:val="22"/>
        </w:rPr>
        <w:t>gonna</w:t>
      </w:r>
      <w:proofErr w:type="spellEnd"/>
      <w:r w:rsidRPr="009E1281">
        <w:rPr>
          <w:rFonts w:ascii="Times New Roman" w:eastAsia="Calibri" w:hAnsi="Times New Roman" w:cs="Times New Roman"/>
          <w:i/>
          <w:sz w:val="22"/>
          <w:szCs w:val="22"/>
        </w:rPr>
        <w:t xml:space="preserve"> interact between both worlds, you need to have a recognition of how they’re different.”</w:t>
      </w:r>
      <w:r w:rsidRPr="009E1281">
        <w:rPr>
          <w:rFonts w:ascii="Times New Roman" w:eastAsia="Calibri" w:hAnsi="Times New Roman" w:cs="Times New Roman"/>
          <w:sz w:val="22"/>
          <w:szCs w:val="22"/>
        </w:rPr>
        <w:t xml:space="preserve"> (P13, Hybrid)</w:t>
      </w:r>
    </w:p>
    <w:p w14:paraId="0206CECA" w14:textId="77777777" w:rsidR="00795EF7" w:rsidRPr="009E1281" w:rsidRDefault="00795EF7" w:rsidP="00795EF7">
      <w:pPr>
        <w:ind w:left="720"/>
        <w:rPr>
          <w:rFonts w:ascii="Times New Roman" w:eastAsia="Calibri" w:hAnsi="Times New Roman" w:cs="Times New Roman"/>
          <w:sz w:val="22"/>
          <w:szCs w:val="22"/>
        </w:rPr>
      </w:pPr>
    </w:p>
    <w:p w14:paraId="024263F2" w14:textId="77777777" w:rsidR="00795EF7" w:rsidRPr="009E1281" w:rsidRDefault="00795EF7">
      <w:pPr>
        <w:rPr>
          <w:rFonts w:ascii="Times New Roman" w:hAnsi="Times New Roman" w:cs="Times New Roman"/>
          <w:b/>
          <w:bCs/>
          <w:sz w:val="22"/>
          <w:szCs w:val="22"/>
        </w:rPr>
      </w:pPr>
    </w:p>
    <w:p w14:paraId="0E349A89" w14:textId="77777777" w:rsidR="00795EF7" w:rsidRPr="009E1281" w:rsidRDefault="00795EF7" w:rsidP="00795EF7">
      <w:pPr>
        <w:pStyle w:val="Heading3"/>
        <w:keepNext w:val="0"/>
        <w:keepLines w:val="0"/>
        <w:spacing w:before="360"/>
        <w:rPr>
          <w:rFonts w:ascii="Times New Roman" w:eastAsia="Calibri" w:hAnsi="Times New Roman" w:cs="Times New Roman"/>
          <w:b/>
          <w:i/>
          <w:color w:val="000000"/>
          <w:sz w:val="22"/>
          <w:szCs w:val="22"/>
        </w:rPr>
      </w:pPr>
      <w:r w:rsidRPr="009E1281">
        <w:rPr>
          <w:rFonts w:ascii="Times New Roman" w:eastAsia="Calibri" w:hAnsi="Times New Roman" w:cs="Times New Roman"/>
          <w:b/>
          <w:i/>
          <w:color w:val="000000"/>
          <w:sz w:val="22"/>
          <w:szCs w:val="22"/>
        </w:rPr>
        <w:t>Theme 2: Sources of Disconnection</w:t>
      </w:r>
    </w:p>
    <w:p w14:paraId="53291403" w14:textId="77777777" w:rsidR="00795EF7" w:rsidRPr="009E1281" w:rsidRDefault="00795EF7" w:rsidP="00795EF7">
      <w:pPr>
        <w:rPr>
          <w:rFonts w:ascii="Times New Roman" w:eastAsia="Calibri" w:hAnsi="Times New Roman" w:cs="Times New Roman"/>
          <w:sz w:val="22"/>
          <w:szCs w:val="22"/>
        </w:rPr>
      </w:pPr>
      <w:r w:rsidRPr="009E1281">
        <w:rPr>
          <w:rFonts w:ascii="Times New Roman" w:eastAsia="Calibri" w:hAnsi="Times New Roman" w:cs="Times New Roman"/>
          <w:sz w:val="22"/>
          <w:szCs w:val="22"/>
        </w:rPr>
        <w:t>Some questioned the premise that privileges specialist knowledge over practitioner insight, noting that this stance often leaves practitioners feeling dismissed as academics claim inaccessible expertise:</w:t>
      </w:r>
    </w:p>
    <w:p w14:paraId="69F18E27" w14:textId="77777777" w:rsidR="00795EF7" w:rsidRPr="009E1281" w:rsidRDefault="00795EF7" w:rsidP="00795EF7">
      <w:pPr>
        <w:ind w:left="720"/>
        <w:rPr>
          <w:rFonts w:ascii="Times New Roman" w:eastAsia="Calibri" w:hAnsi="Times New Roman" w:cs="Times New Roman"/>
          <w:sz w:val="22"/>
          <w:szCs w:val="22"/>
        </w:rPr>
      </w:pPr>
      <w:r w:rsidRPr="009E1281">
        <w:rPr>
          <w:rFonts w:ascii="Times New Roman" w:eastAsia="Calibri" w:hAnsi="Times New Roman" w:cs="Times New Roman"/>
          <w:i/>
          <w:sz w:val="22"/>
          <w:szCs w:val="22"/>
        </w:rPr>
        <w:t>“So I think a lot of this is based on the premise that as external scholars, we have some type of specialist knowledge that we can provide to practitioners that they themselves can’t discover for themselves… And I feel like that whole premise is flawed.”</w:t>
      </w:r>
      <w:r w:rsidRPr="009E1281">
        <w:rPr>
          <w:rFonts w:ascii="Times New Roman" w:eastAsia="Calibri" w:hAnsi="Times New Roman" w:cs="Times New Roman"/>
          <w:sz w:val="22"/>
          <w:szCs w:val="22"/>
        </w:rPr>
        <w:t xml:space="preserve"> (P10, Theoretician)</w:t>
      </w:r>
    </w:p>
    <w:p w14:paraId="700C5C2E" w14:textId="77777777" w:rsidR="00795EF7" w:rsidRPr="009E1281" w:rsidRDefault="00795EF7" w:rsidP="00795EF7">
      <w:pPr>
        <w:rPr>
          <w:rFonts w:ascii="Times New Roman" w:hAnsi="Times New Roman" w:cs="Times New Roman"/>
          <w:sz w:val="22"/>
          <w:szCs w:val="22"/>
        </w:rPr>
      </w:pPr>
    </w:p>
    <w:p w14:paraId="02E610A4" w14:textId="77777777" w:rsidR="00795EF7" w:rsidRPr="009E1281" w:rsidRDefault="00795EF7" w:rsidP="00795EF7">
      <w:pPr>
        <w:rPr>
          <w:rFonts w:ascii="Times New Roman" w:eastAsia="Calibri" w:hAnsi="Times New Roman" w:cs="Times New Roman"/>
          <w:b/>
          <w:i/>
          <w:color w:val="000000"/>
          <w:sz w:val="22"/>
          <w:szCs w:val="22"/>
        </w:rPr>
      </w:pPr>
    </w:p>
    <w:p w14:paraId="7F238155" w14:textId="457A60F2" w:rsidR="00795EF7" w:rsidRPr="009E1281" w:rsidRDefault="00795EF7" w:rsidP="00795EF7">
      <w:pPr>
        <w:rPr>
          <w:rFonts w:ascii="Times New Roman" w:hAnsi="Times New Roman" w:cs="Times New Roman"/>
          <w:sz w:val="22"/>
          <w:szCs w:val="22"/>
        </w:rPr>
      </w:pPr>
      <w:r w:rsidRPr="009E1281">
        <w:rPr>
          <w:rFonts w:ascii="Times New Roman" w:eastAsia="Calibri" w:hAnsi="Times New Roman" w:cs="Times New Roman"/>
          <w:b/>
          <w:i/>
          <w:color w:val="000000"/>
          <w:sz w:val="22"/>
          <w:szCs w:val="22"/>
        </w:rPr>
        <w:t>Theme 3: Promise and Pitfalls of Collaboration</w:t>
      </w:r>
    </w:p>
    <w:p w14:paraId="4F190632" w14:textId="77777777" w:rsidR="00795EF7" w:rsidRPr="009E1281" w:rsidRDefault="00795EF7" w:rsidP="00795EF7">
      <w:pPr>
        <w:rPr>
          <w:rFonts w:ascii="Times New Roman" w:eastAsia="Calibri" w:hAnsi="Times New Roman" w:cs="Times New Roman"/>
          <w:sz w:val="22"/>
          <w:szCs w:val="22"/>
        </w:rPr>
      </w:pPr>
      <w:r w:rsidRPr="009E1281">
        <w:rPr>
          <w:rFonts w:ascii="Times New Roman" w:eastAsia="Calibri" w:hAnsi="Times New Roman" w:cs="Times New Roman"/>
          <w:sz w:val="22"/>
          <w:szCs w:val="22"/>
        </w:rPr>
        <w:t>Some practitioners valued the opportunity to integrate theoretical insights into applied contexts, with some reporting transformative effects on their professional and personal growth:</w:t>
      </w:r>
    </w:p>
    <w:p w14:paraId="0E0F82DD" w14:textId="77777777" w:rsidR="00795EF7" w:rsidRPr="009E1281" w:rsidRDefault="00795EF7" w:rsidP="00795EF7">
      <w:pPr>
        <w:ind w:left="720"/>
        <w:rPr>
          <w:rFonts w:ascii="Times New Roman" w:eastAsia="Calibri" w:hAnsi="Times New Roman" w:cs="Times New Roman"/>
          <w:sz w:val="22"/>
          <w:szCs w:val="22"/>
        </w:rPr>
      </w:pPr>
      <w:r w:rsidRPr="009E1281">
        <w:rPr>
          <w:rFonts w:ascii="Times New Roman" w:eastAsia="Calibri" w:hAnsi="Times New Roman" w:cs="Times New Roman"/>
          <w:i/>
          <w:sz w:val="22"/>
          <w:szCs w:val="22"/>
        </w:rPr>
        <w:t>“I was a practitioner up, down, sideways, in and out… along with about 20 other people who were actively in ministry, men and women. We together went, as it were, to the basis of the theorists who could enrich our practical experience.”</w:t>
      </w:r>
      <w:r w:rsidRPr="009E1281">
        <w:rPr>
          <w:rFonts w:ascii="Times New Roman" w:eastAsia="Calibri" w:hAnsi="Times New Roman" w:cs="Times New Roman"/>
          <w:sz w:val="22"/>
          <w:szCs w:val="22"/>
        </w:rPr>
        <w:t xml:space="preserve"> (P9, Practitioner)</w:t>
      </w:r>
    </w:p>
    <w:p w14:paraId="32C80390" w14:textId="77777777" w:rsidR="00795EF7" w:rsidRPr="009E1281" w:rsidRDefault="00795EF7" w:rsidP="00795EF7">
      <w:pPr>
        <w:ind w:left="720"/>
        <w:rPr>
          <w:rFonts w:ascii="Times New Roman" w:eastAsia="Calibri" w:hAnsi="Times New Roman" w:cs="Times New Roman"/>
          <w:sz w:val="22"/>
          <w:szCs w:val="22"/>
        </w:rPr>
      </w:pPr>
    </w:p>
    <w:p w14:paraId="14CD60A4" w14:textId="77777777" w:rsidR="00795EF7" w:rsidRPr="009E1281" w:rsidRDefault="00795EF7" w:rsidP="00795EF7">
      <w:pPr>
        <w:rPr>
          <w:rFonts w:ascii="Times New Roman" w:eastAsia="Calibri" w:hAnsi="Times New Roman" w:cs="Times New Roman"/>
          <w:sz w:val="22"/>
          <w:szCs w:val="22"/>
        </w:rPr>
      </w:pPr>
      <w:r w:rsidRPr="009E1281">
        <w:rPr>
          <w:rFonts w:ascii="Times New Roman" w:eastAsia="Calibri" w:hAnsi="Times New Roman" w:cs="Times New Roman"/>
          <w:sz w:val="22"/>
          <w:szCs w:val="22"/>
        </w:rPr>
        <w:t>Collaboration was often highlighted as a vehicle for cultural and cognitive bridging. In one case, a hybrid was identified as personally making that bridge for another professional:</w:t>
      </w:r>
    </w:p>
    <w:p w14:paraId="26014062" w14:textId="77777777" w:rsidR="00795EF7" w:rsidRPr="009E1281" w:rsidRDefault="00795EF7" w:rsidP="00795EF7">
      <w:pPr>
        <w:ind w:left="720"/>
        <w:rPr>
          <w:rFonts w:ascii="Times New Roman" w:eastAsia="Calibri" w:hAnsi="Times New Roman" w:cs="Times New Roman"/>
          <w:sz w:val="22"/>
          <w:szCs w:val="22"/>
        </w:rPr>
      </w:pPr>
      <w:r w:rsidRPr="009E1281">
        <w:rPr>
          <w:rFonts w:ascii="Times New Roman" w:eastAsia="Calibri" w:hAnsi="Times New Roman" w:cs="Times New Roman"/>
          <w:i/>
          <w:sz w:val="22"/>
          <w:szCs w:val="22"/>
        </w:rPr>
        <w:t>“One of the ways that the relationship with [hybrid professor] has transformed and benefited my track outside of that example is my ability to navigate cross-racially and cross-mindset, being able to have a greater understanding how to navigate waters and cross-racial, cross-conceptual, different thinking, different schools of thought and individuals, but being able to find the common denominator that or the tie that binds us, for the purpose of the betterment of all of us.”</w:t>
      </w:r>
      <w:r w:rsidRPr="009E1281">
        <w:rPr>
          <w:rFonts w:ascii="Times New Roman" w:eastAsia="Calibri" w:hAnsi="Times New Roman" w:cs="Times New Roman"/>
          <w:sz w:val="22"/>
          <w:szCs w:val="22"/>
        </w:rPr>
        <w:t xml:space="preserve"> (P15, Practitioner)</w:t>
      </w:r>
    </w:p>
    <w:p w14:paraId="190FAA0C" w14:textId="77777777" w:rsidR="00795EF7" w:rsidRPr="009E1281" w:rsidRDefault="00795EF7" w:rsidP="00795EF7">
      <w:pPr>
        <w:ind w:left="720"/>
        <w:rPr>
          <w:rFonts w:ascii="Times New Roman" w:eastAsia="Calibri" w:hAnsi="Times New Roman" w:cs="Times New Roman"/>
          <w:sz w:val="22"/>
          <w:szCs w:val="22"/>
        </w:rPr>
      </w:pPr>
    </w:p>
    <w:p w14:paraId="08FB5BEA" w14:textId="77777777" w:rsidR="00795EF7" w:rsidRPr="009E1281" w:rsidRDefault="00795EF7" w:rsidP="00795EF7">
      <w:pPr>
        <w:rPr>
          <w:rFonts w:ascii="Times New Roman" w:eastAsia="Calibri" w:hAnsi="Times New Roman" w:cs="Times New Roman"/>
          <w:sz w:val="22"/>
          <w:szCs w:val="22"/>
        </w:rPr>
      </w:pPr>
      <w:r w:rsidRPr="009E1281">
        <w:rPr>
          <w:rFonts w:ascii="Times New Roman" w:eastAsia="Calibri" w:hAnsi="Times New Roman" w:cs="Times New Roman"/>
          <w:sz w:val="22"/>
          <w:szCs w:val="22"/>
        </w:rPr>
        <w:t>Others noted that strong partnerships fostered trust, reciprocity, and mutual investment in research goals:</w:t>
      </w:r>
    </w:p>
    <w:p w14:paraId="2E01D369" w14:textId="77777777" w:rsidR="00795EF7" w:rsidRPr="009E1281" w:rsidRDefault="00795EF7" w:rsidP="00795EF7">
      <w:pPr>
        <w:ind w:left="720"/>
        <w:rPr>
          <w:rFonts w:ascii="Times New Roman" w:eastAsia="Calibri" w:hAnsi="Times New Roman" w:cs="Times New Roman"/>
          <w:sz w:val="22"/>
          <w:szCs w:val="22"/>
        </w:rPr>
      </w:pPr>
      <w:r w:rsidRPr="009E1281">
        <w:rPr>
          <w:rFonts w:ascii="Times New Roman" w:eastAsia="Calibri" w:hAnsi="Times New Roman" w:cs="Times New Roman"/>
          <w:i/>
          <w:sz w:val="22"/>
          <w:szCs w:val="22"/>
        </w:rPr>
        <w:t>“We tried to expand that triangle, to create a circle out of a triangle… the overall context as well as methodology is based on the knowledge of practitioners. And of course, in synergy with the theoretical discussion that the company’s done.”</w:t>
      </w:r>
      <w:r w:rsidRPr="009E1281">
        <w:rPr>
          <w:rFonts w:ascii="Times New Roman" w:eastAsia="Calibri" w:hAnsi="Times New Roman" w:cs="Times New Roman"/>
          <w:sz w:val="22"/>
          <w:szCs w:val="22"/>
        </w:rPr>
        <w:t xml:space="preserve"> (P5, Hybrid)</w:t>
      </w:r>
    </w:p>
    <w:p w14:paraId="52F7F9BD" w14:textId="77777777" w:rsidR="00795EF7" w:rsidRPr="009E1281" w:rsidRDefault="00795EF7">
      <w:pPr>
        <w:rPr>
          <w:rFonts w:ascii="Times New Roman" w:hAnsi="Times New Roman" w:cs="Times New Roman"/>
          <w:b/>
          <w:bCs/>
          <w:sz w:val="22"/>
          <w:szCs w:val="22"/>
        </w:rPr>
      </w:pPr>
    </w:p>
    <w:p w14:paraId="53BDA1A7" w14:textId="77777777" w:rsidR="00795EF7" w:rsidRPr="009E1281" w:rsidRDefault="00795EF7">
      <w:pPr>
        <w:rPr>
          <w:rFonts w:ascii="Times New Roman" w:hAnsi="Times New Roman" w:cs="Times New Roman"/>
          <w:b/>
          <w:bCs/>
          <w:sz w:val="22"/>
          <w:szCs w:val="22"/>
        </w:rPr>
      </w:pPr>
    </w:p>
    <w:p w14:paraId="2D4E6644" w14:textId="77777777" w:rsidR="00795EF7" w:rsidRPr="009E1281" w:rsidRDefault="00795EF7" w:rsidP="00795EF7">
      <w:pPr>
        <w:rPr>
          <w:rFonts w:ascii="Times New Roman" w:eastAsia="Calibri" w:hAnsi="Times New Roman" w:cs="Times New Roman"/>
          <w:sz w:val="22"/>
          <w:szCs w:val="22"/>
        </w:rPr>
      </w:pPr>
      <w:r w:rsidRPr="009E1281">
        <w:rPr>
          <w:rFonts w:ascii="Times New Roman" w:eastAsia="Calibri" w:hAnsi="Times New Roman" w:cs="Times New Roman"/>
          <w:sz w:val="22"/>
          <w:szCs w:val="22"/>
        </w:rPr>
        <w:t>Practitioners frequently described academic gatekeeping — situations where theoretical frameworks and models were imposed without acknowledging the practitioner’s “internal theory of change” or community-based knowledge:</w:t>
      </w:r>
    </w:p>
    <w:p w14:paraId="33B603B7" w14:textId="77777777" w:rsidR="00795EF7" w:rsidRPr="009E1281" w:rsidRDefault="00795EF7" w:rsidP="00795EF7">
      <w:pPr>
        <w:ind w:left="720"/>
        <w:rPr>
          <w:rFonts w:ascii="Times New Roman" w:eastAsia="Calibri" w:hAnsi="Times New Roman" w:cs="Times New Roman"/>
          <w:sz w:val="22"/>
          <w:szCs w:val="22"/>
        </w:rPr>
      </w:pPr>
      <w:r w:rsidRPr="009E1281">
        <w:rPr>
          <w:rFonts w:ascii="Times New Roman" w:eastAsia="Calibri" w:hAnsi="Times New Roman" w:cs="Times New Roman"/>
          <w:i/>
          <w:sz w:val="22"/>
          <w:szCs w:val="22"/>
        </w:rPr>
        <w:t>“So this isn’t about you, because actually. If you’re going to learn from our work, it’s entirely about us because everything that we do comes from who we are. It comes from my internal theory of change. So if you’re saying, I don’t want this to be about you as a practitioner then the point is being missed.”</w:t>
      </w:r>
      <w:r w:rsidRPr="009E1281">
        <w:rPr>
          <w:rFonts w:ascii="Times New Roman" w:eastAsia="Calibri" w:hAnsi="Times New Roman" w:cs="Times New Roman"/>
          <w:sz w:val="22"/>
          <w:szCs w:val="22"/>
        </w:rPr>
        <w:t xml:space="preserve"> (P1, Practitioner)</w:t>
      </w:r>
    </w:p>
    <w:p w14:paraId="77E87E9E" w14:textId="77777777" w:rsidR="00795EF7" w:rsidRPr="009E1281" w:rsidRDefault="00795EF7">
      <w:pPr>
        <w:rPr>
          <w:rFonts w:ascii="Times New Roman" w:hAnsi="Times New Roman" w:cs="Times New Roman"/>
          <w:b/>
          <w:bCs/>
          <w:sz w:val="22"/>
          <w:szCs w:val="22"/>
        </w:rPr>
      </w:pPr>
    </w:p>
    <w:p w14:paraId="0A4CE499" w14:textId="77777777" w:rsidR="00795EF7" w:rsidRPr="009E1281" w:rsidRDefault="00795EF7" w:rsidP="00795EF7">
      <w:pPr>
        <w:rPr>
          <w:rFonts w:ascii="Times New Roman" w:eastAsia="Calibri" w:hAnsi="Times New Roman" w:cs="Times New Roman"/>
          <w:sz w:val="22"/>
          <w:szCs w:val="22"/>
        </w:rPr>
      </w:pPr>
      <w:r w:rsidRPr="009E1281">
        <w:rPr>
          <w:rFonts w:ascii="Times New Roman" w:eastAsia="Calibri" w:hAnsi="Times New Roman" w:cs="Times New Roman"/>
          <w:sz w:val="22"/>
          <w:szCs w:val="22"/>
        </w:rPr>
        <w:t xml:space="preserve">Some participants highlighted that sustaining meaningful collaboration could also be logistically complex and </w:t>
      </w:r>
      <w:proofErr w:type="spellStart"/>
      <w:r w:rsidRPr="009E1281">
        <w:rPr>
          <w:rFonts w:ascii="Times New Roman" w:eastAsia="Calibri" w:hAnsi="Times New Roman" w:cs="Times New Roman"/>
          <w:sz w:val="22"/>
          <w:szCs w:val="22"/>
        </w:rPr>
        <w:t>labor-intensive</w:t>
      </w:r>
      <w:proofErr w:type="spellEnd"/>
      <w:r w:rsidRPr="009E1281">
        <w:rPr>
          <w:rFonts w:ascii="Times New Roman" w:eastAsia="Calibri" w:hAnsi="Times New Roman" w:cs="Times New Roman"/>
          <w:sz w:val="22"/>
          <w:szCs w:val="22"/>
        </w:rPr>
        <w:t>:</w:t>
      </w:r>
    </w:p>
    <w:p w14:paraId="42EA6B2B" w14:textId="77777777" w:rsidR="00795EF7" w:rsidRPr="009E1281" w:rsidRDefault="00795EF7" w:rsidP="00795EF7">
      <w:pPr>
        <w:ind w:left="640"/>
        <w:rPr>
          <w:rFonts w:ascii="Times New Roman" w:eastAsia="Calibri" w:hAnsi="Times New Roman" w:cs="Times New Roman"/>
          <w:sz w:val="22"/>
          <w:szCs w:val="22"/>
        </w:rPr>
      </w:pPr>
      <w:r w:rsidRPr="009E1281">
        <w:rPr>
          <w:rFonts w:ascii="Times New Roman" w:eastAsia="Calibri" w:hAnsi="Times New Roman" w:cs="Times New Roman"/>
          <w:i/>
          <w:sz w:val="22"/>
          <w:szCs w:val="22"/>
        </w:rPr>
        <w:t>“…It’s sometimes like a strange balancing act and you may most, you know, sort of slide back into the water than being able to stand, but it’s very, it’s very intellectually rewarding. And it’s really a life-giving thing if you can combine the two, but you need, you know, probably to double, like to multiply time, because this needs, when you work in both fields. You really need to have like a team of, you know, people documenting writing, you know, and squeezing time out of your sleep.”</w:t>
      </w:r>
      <w:r w:rsidRPr="009E1281">
        <w:rPr>
          <w:rFonts w:ascii="Times New Roman" w:eastAsia="Calibri" w:hAnsi="Times New Roman" w:cs="Times New Roman"/>
          <w:sz w:val="22"/>
          <w:szCs w:val="22"/>
        </w:rPr>
        <w:t xml:space="preserve"> (P5, Hybrid)</w:t>
      </w:r>
    </w:p>
    <w:p w14:paraId="7AF79371" w14:textId="77777777" w:rsidR="00795EF7" w:rsidRPr="009E1281" w:rsidRDefault="00795EF7" w:rsidP="00795EF7">
      <w:pPr>
        <w:ind w:left="640"/>
        <w:rPr>
          <w:rFonts w:ascii="Times New Roman" w:eastAsia="Calibri" w:hAnsi="Times New Roman" w:cs="Times New Roman"/>
          <w:sz w:val="22"/>
          <w:szCs w:val="22"/>
        </w:rPr>
      </w:pPr>
    </w:p>
    <w:p w14:paraId="763D0C45" w14:textId="77777777" w:rsidR="00795EF7" w:rsidRPr="009E1281" w:rsidRDefault="00795EF7" w:rsidP="00795EF7">
      <w:pPr>
        <w:rPr>
          <w:rFonts w:ascii="Times New Roman" w:eastAsia="Calibri" w:hAnsi="Times New Roman" w:cs="Times New Roman"/>
          <w:sz w:val="22"/>
          <w:szCs w:val="22"/>
        </w:rPr>
      </w:pPr>
      <w:r w:rsidRPr="009E1281">
        <w:rPr>
          <w:rFonts w:ascii="Times New Roman" w:eastAsia="Calibri" w:hAnsi="Times New Roman" w:cs="Times New Roman"/>
          <w:sz w:val="22"/>
          <w:szCs w:val="22"/>
        </w:rPr>
        <w:lastRenderedPageBreak/>
        <w:t>Not all participation blocks were systemic. At least one participant described personal life circumstances that made engagement difficult:</w:t>
      </w:r>
    </w:p>
    <w:p w14:paraId="1F0C9BBE" w14:textId="77777777" w:rsidR="00795EF7" w:rsidRPr="009E1281" w:rsidRDefault="00795EF7" w:rsidP="00795EF7">
      <w:pPr>
        <w:ind w:left="720"/>
        <w:rPr>
          <w:rFonts w:ascii="Times New Roman" w:eastAsia="Calibri" w:hAnsi="Times New Roman" w:cs="Times New Roman"/>
          <w:sz w:val="22"/>
          <w:szCs w:val="22"/>
        </w:rPr>
      </w:pPr>
      <w:r w:rsidRPr="009E1281">
        <w:rPr>
          <w:rFonts w:ascii="Times New Roman" w:eastAsia="Calibri" w:hAnsi="Times New Roman" w:cs="Times New Roman"/>
          <w:i/>
          <w:sz w:val="22"/>
          <w:szCs w:val="22"/>
        </w:rPr>
        <w:t>“I think right now personally, one of the realities is just, you know, parenting my kids and just sort of not having as much time to even go to meetings when they are happening. So that, you know, and that’s sort of a life phase thing, you know, rather than a structural.”</w:t>
      </w:r>
      <w:r w:rsidRPr="009E1281">
        <w:rPr>
          <w:rFonts w:ascii="Times New Roman" w:eastAsia="Calibri" w:hAnsi="Times New Roman" w:cs="Times New Roman"/>
          <w:sz w:val="22"/>
          <w:szCs w:val="22"/>
        </w:rPr>
        <w:t xml:space="preserve"> (P19, Practitioner)</w:t>
      </w:r>
    </w:p>
    <w:p w14:paraId="1F6F423D" w14:textId="77777777" w:rsidR="00795EF7" w:rsidRPr="009E1281" w:rsidRDefault="00795EF7">
      <w:pPr>
        <w:rPr>
          <w:rFonts w:ascii="Times New Roman" w:hAnsi="Times New Roman" w:cs="Times New Roman"/>
          <w:b/>
          <w:bCs/>
          <w:sz w:val="22"/>
          <w:szCs w:val="22"/>
        </w:rPr>
      </w:pPr>
    </w:p>
    <w:p w14:paraId="0ED0656A" w14:textId="77777777" w:rsidR="00795EF7" w:rsidRPr="009E1281" w:rsidRDefault="00795EF7" w:rsidP="00795EF7">
      <w:pPr>
        <w:pStyle w:val="Heading3"/>
        <w:keepNext w:val="0"/>
        <w:keepLines w:val="0"/>
        <w:spacing w:before="360"/>
        <w:rPr>
          <w:rFonts w:ascii="Times New Roman" w:eastAsia="Calibri" w:hAnsi="Times New Roman" w:cs="Times New Roman"/>
          <w:b/>
          <w:i/>
          <w:color w:val="000000"/>
          <w:sz w:val="22"/>
          <w:szCs w:val="22"/>
        </w:rPr>
      </w:pPr>
      <w:r w:rsidRPr="009E1281">
        <w:rPr>
          <w:rFonts w:ascii="Times New Roman" w:eastAsia="Calibri" w:hAnsi="Times New Roman" w:cs="Times New Roman"/>
          <w:b/>
          <w:i/>
          <w:color w:val="000000"/>
          <w:sz w:val="22"/>
          <w:szCs w:val="22"/>
        </w:rPr>
        <w:t>Theme 4: Pathways for Integration</w:t>
      </w:r>
    </w:p>
    <w:p w14:paraId="53A79928" w14:textId="10A335F3" w:rsidR="001B3700" w:rsidRPr="009E1281" w:rsidRDefault="001B3700" w:rsidP="001B3700">
      <w:pPr>
        <w:rPr>
          <w:rFonts w:ascii="Times New Roman" w:eastAsia="Calibri" w:hAnsi="Times New Roman" w:cs="Times New Roman"/>
          <w:sz w:val="22"/>
          <w:szCs w:val="22"/>
        </w:rPr>
      </w:pPr>
      <w:r w:rsidRPr="009E1281">
        <w:rPr>
          <w:rFonts w:ascii="Times New Roman" w:eastAsia="Calibri" w:hAnsi="Times New Roman" w:cs="Times New Roman"/>
          <w:sz w:val="22"/>
          <w:szCs w:val="22"/>
        </w:rPr>
        <w:t>This perspective reflects a shift away from hierarchical models of expertise by framing practice-based insights as equally vital in developing robust theoretical frameworks. Relatedly, a dominant theme was the value of feeding practitioners’ lived experiences back into academic frameworks, thus ensuring that theory remains grounded and relevant:</w:t>
      </w:r>
    </w:p>
    <w:p w14:paraId="1C1E0EBA" w14:textId="77777777" w:rsidR="001B3700" w:rsidRPr="009E1281" w:rsidRDefault="001B3700" w:rsidP="001B3700">
      <w:pPr>
        <w:ind w:left="720"/>
        <w:rPr>
          <w:rFonts w:ascii="Times New Roman" w:eastAsia="Calibri" w:hAnsi="Times New Roman" w:cs="Times New Roman"/>
          <w:sz w:val="22"/>
          <w:szCs w:val="22"/>
        </w:rPr>
      </w:pPr>
      <w:r w:rsidRPr="009E1281">
        <w:rPr>
          <w:rFonts w:ascii="Times New Roman" w:eastAsia="Calibri" w:hAnsi="Times New Roman" w:cs="Times New Roman"/>
          <w:i/>
          <w:sz w:val="22"/>
          <w:szCs w:val="22"/>
        </w:rPr>
        <w:t>“You have to… see and respect the other, and if not eagerly, try to get to know each other. Because that’s what it means to be human… If we want to walk away from relationships richer for having encountered each other, we have to talk and listen.”</w:t>
      </w:r>
      <w:r w:rsidRPr="009E1281">
        <w:rPr>
          <w:rFonts w:ascii="Times New Roman" w:eastAsia="Calibri" w:hAnsi="Times New Roman" w:cs="Times New Roman"/>
          <w:sz w:val="22"/>
          <w:szCs w:val="22"/>
        </w:rPr>
        <w:t xml:space="preserve"> (P9, Practitioner)</w:t>
      </w:r>
    </w:p>
    <w:p w14:paraId="44D092F9" w14:textId="77777777" w:rsidR="001B3700" w:rsidRPr="009E1281" w:rsidRDefault="001B3700" w:rsidP="001B3700">
      <w:pPr>
        <w:ind w:left="720"/>
        <w:rPr>
          <w:rFonts w:ascii="Times New Roman" w:eastAsia="Calibri" w:hAnsi="Times New Roman" w:cs="Times New Roman"/>
          <w:i/>
          <w:sz w:val="22"/>
          <w:szCs w:val="22"/>
        </w:rPr>
      </w:pPr>
    </w:p>
    <w:p w14:paraId="2404AB4F" w14:textId="2A7AD1D5" w:rsidR="001B3700" w:rsidRPr="009E1281" w:rsidRDefault="001B3700" w:rsidP="001B3700">
      <w:pPr>
        <w:ind w:left="720"/>
        <w:rPr>
          <w:rFonts w:ascii="Times New Roman" w:eastAsia="Calibri" w:hAnsi="Times New Roman" w:cs="Times New Roman"/>
          <w:sz w:val="22"/>
          <w:szCs w:val="22"/>
        </w:rPr>
      </w:pPr>
      <w:r w:rsidRPr="009E1281">
        <w:rPr>
          <w:rFonts w:ascii="Times New Roman" w:eastAsia="Calibri" w:hAnsi="Times New Roman" w:cs="Times New Roman"/>
          <w:i/>
          <w:sz w:val="22"/>
          <w:szCs w:val="22"/>
        </w:rPr>
        <w:t>“Sometimes adjustments need to be made in that implementation based not on the academic work, but on the realities and the practicality of what the practitioner is working with.”</w:t>
      </w:r>
      <w:r w:rsidRPr="009E1281">
        <w:rPr>
          <w:rFonts w:ascii="Times New Roman" w:eastAsia="Calibri" w:hAnsi="Times New Roman" w:cs="Times New Roman"/>
          <w:sz w:val="22"/>
          <w:szCs w:val="22"/>
        </w:rPr>
        <w:t xml:space="preserve"> (P7, Practitioner)</w:t>
      </w:r>
    </w:p>
    <w:p w14:paraId="622CCB0A" w14:textId="77777777" w:rsidR="001B3700" w:rsidRPr="009E1281" w:rsidRDefault="001B3700" w:rsidP="001B3700">
      <w:pPr>
        <w:ind w:left="720"/>
        <w:rPr>
          <w:rFonts w:ascii="Times New Roman" w:eastAsia="Calibri" w:hAnsi="Times New Roman" w:cs="Times New Roman"/>
          <w:sz w:val="22"/>
          <w:szCs w:val="22"/>
        </w:rPr>
      </w:pPr>
    </w:p>
    <w:p w14:paraId="6B763A90" w14:textId="77777777" w:rsidR="001B3700" w:rsidRPr="009E1281" w:rsidRDefault="001B3700" w:rsidP="001B3700">
      <w:pPr>
        <w:ind w:left="720"/>
        <w:rPr>
          <w:rFonts w:ascii="Times New Roman" w:eastAsia="Calibri" w:hAnsi="Times New Roman" w:cs="Times New Roman"/>
          <w:sz w:val="22"/>
          <w:szCs w:val="22"/>
        </w:rPr>
      </w:pPr>
      <w:r w:rsidRPr="009E1281">
        <w:rPr>
          <w:rFonts w:ascii="Times New Roman" w:eastAsia="Calibri" w:hAnsi="Times New Roman" w:cs="Times New Roman"/>
          <w:i/>
          <w:sz w:val="22"/>
          <w:szCs w:val="22"/>
        </w:rPr>
        <w:t>“I imagine practitioners are very in touch with wider cultural events… We could give that feedback into an academic setting that might be slower to pick up on those kinds of things.”</w:t>
      </w:r>
      <w:r w:rsidRPr="009E1281">
        <w:rPr>
          <w:rFonts w:ascii="Times New Roman" w:eastAsia="Calibri" w:hAnsi="Times New Roman" w:cs="Times New Roman"/>
          <w:sz w:val="22"/>
          <w:szCs w:val="22"/>
        </w:rPr>
        <w:t xml:space="preserve"> (P19, Practitioner)</w:t>
      </w:r>
    </w:p>
    <w:p w14:paraId="47D6A818" w14:textId="77777777" w:rsidR="001B3700" w:rsidRPr="009E1281" w:rsidRDefault="001B3700" w:rsidP="001B3700">
      <w:pPr>
        <w:ind w:left="720"/>
        <w:rPr>
          <w:rFonts w:ascii="Times New Roman" w:eastAsia="Calibri" w:hAnsi="Times New Roman" w:cs="Times New Roman"/>
          <w:sz w:val="22"/>
          <w:szCs w:val="22"/>
        </w:rPr>
      </w:pPr>
    </w:p>
    <w:p w14:paraId="5EB92CF4" w14:textId="77777777" w:rsidR="001B3700" w:rsidRPr="009E1281" w:rsidRDefault="001B3700" w:rsidP="001B3700">
      <w:pPr>
        <w:rPr>
          <w:rFonts w:ascii="Times New Roman" w:eastAsia="Calibri" w:hAnsi="Times New Roman" w:cs="Times New Roman"/>
          <w:sz w:val="22"/>
          <w:szCs w:val="22"/>
        </w:rPr>
      </w:pPr>
      <w:r w:rsidRPr="009E1281">
        <w:rPr>
          <w:rFonts w:ascii="Times New Roman" w:eastAsia="Calibri" w:hAnsi="Times New Roman" w:cs="Times New Roman"/>
          <w:sz w:val="22"/>
          <w:szCs w:val="22"/>
        </w:rPr>
        <w:t>Although many participants valued spontaneous knowledge-sharing, they emphasized that structural enablers — funding frameworks, institutional recognition, and dedicated spaces for engagement — are essential to bridge epistemic divides sustainably. Their reflections point to a desire for intentional, systemic change. Several participants called for breaking down rigid divides by embedding joint workspaces where both groups could meet regularly and sustain relationships that outlast short-term research projects:</w:t>
      </w:r>
    </w:p>
    <w:p w14:paraId="031BDB50" w14:textId="77777777" w:rsidR="001B3700" w:rsidRPr="009E1281" w:rsidRDefault="001B3700" w:rsidP="001B3700">
      <w:pPr>
        <w:ind w:left="720"/>
        <w:rPr>
          <w:rFonts w:ascii="Times New Roman" w:eastAsia="Calibri" w:hAnsi="Times New Roman" w:cs="Times New Roman"/>
          <w:sz w:val="22"/>
          <w:szCs w:val="22"/>
        </w:rPr>
      </w:pPr>
    </w:p>
    <w:p w14:paraId="2848C42B" w14:textId="77777777" w:rsidR="001B3700" w:rsidRPr="009E1281" w:rsidRDefault="001B3700" w:rsidP="001B3700">
      <w:pPr>
        <w:ind w:left="720"/>
        <w:rPr>
          <w:rFonts w:ascii="Times New Roman" w:eastAsia="Calibri" w:hAnsi="Times New Roman" w:cs="Times New Roman"/>
          <w:sz w:val="22"/>
          <w:szCs w:val="22"/>
        </w:rPr>
      </w:pPr>
      <w:r w:rsidRPr="009E1281">
        <w:rPr>
          <w:rFonts w:ascii="Times New Roman" w:eastAsia="Calibri" w:hAnsi="Times New Roman" w:cs="Times New Roman"/>
          <w:i/>
          <w:sz w:val="22"/>
          <w:szCs w:val="22"/>
        </w:rPr>
        <w:t>“So one way that it happens is by this intentionality by higher ed to say we know that we like to think we own knowledge, but we need to create space for the folks creating knowledge in community and let’s invite them in.”</w:t>
      </w:r>
      <w:r w:rsidRPr="009E1281">
        <w:rPr>
          <w:rFonts w:ascii="Times New Roman" w:eastAsia="Calibri" w:hAnsi="Times New Roman" w:cs="Times New Roman"/>
          <w:sz w:val="22"/>
          <w:szCs w:val="22"/>
        </w:rPr>
        <w:t xml:space="preserve"> (P13, Hybrid)</w:t>
      </w:r>
    </w:p>
    <w:p w14:paraId="1AF39CBB" w14:textId="77777777" w:rsidR="00795EF7" w:rsidRPr="009E1281" w:rsidRDefault="00795EF7">
      <w:pPr>
        <w:rPr>
          <w:rFonts w:ascii="Times New Roman" w:hAnsi="Times New Roman" w:cs="Times New Roman"/>
          <w:b/>
          <w:bCs/>
          <w:sz w:val="22"/>
          <w:szCs w:val="22"/>
        </w:rPr>
      </w:pPr>
    </w:p>
    <w:p w14:paraId="12A9E09F" w14:textId="77777777" w:rsidR="001B3700" w:rsidRPr="009E1281" w:rsidRDefault="001B3700" w:rsidP="001B3700">
      <w:pPr>
        <w:rPr>
          <w:rFonts w:ascii="Times New Roman" w:eastAsia="Calibri" w:hAnsi="Times New Roman" w:cs="Times New Roman"/>
          <w:sz w:val="22"/>
          <w:szCs w:val="22"/>
        </w:rPr>
      </w:pPr>
      <w:r w:rsidRPr="009E1281">
        <w:rPr>
          <w:rFonts w:ascii="Times New Roman" w:eastAsia="Calibri" w:hAnsi="Times New Roman" w:cs="Times New Roman"/>
          <w:sz w:val="22"/>
          <w:szCs w:val="22"/>
        </w:rPr>
        <w:t>Institutional incentives were also seen as critical levers for change. Participants noted that funders and policymakers could play a significant role by rewarding collaborative practice-facing outputs and encouraging publications beyond traditional academic journals:</w:t>
      </w:r>
    </w:p>
    <w:p w14:paraId="1C9B737A" w14:textId="77777777" w:rsidR="001B3700" w:rsidRPr="009E1281" w:rsidRDefault="001B3700">
      <w:pPr>
        <w:rPr>
          <w:rFonts w:ascii="Times New Roman" w:hAnsi="Times New Roman" w:cs="Times New Roman"/>
          <w:b/>
          <w:bCs/>
          <w:sz w:val="22"/>
          <w:szCs w:val="22"/>
        </w:rPr>
      </w:pPr>
    </w:p>
    <w:p w14:paraId="31CB7536" w14:textId="3C6A7A32" w:rsidR="00417BEA" w:rsidRDefault="001B3700" w:rsidP="00573F59">
      <w:pPr>
        <w:ind w:left="720"/>
        <w:rPr>
          <w:rFonts w:ascii="Times New Roman" w:eastAsia="Calibri" w:hAnsi="Times New Roman" w:cs="Times New Roman"/>
          <w:sz w:val="22"/>
          <w:szCs w:val="22"/>
        </w:rPr>
      </w:pPr>
      <w:r w:rsidRPr="009E1281">
        <w:rPr>
          <w:rFonts w:ascii="Times New Roman" w:eastAsia="Calibri" w:hAnsi="Times New Roman" w:cs="Times New Roman"/>
          <w:i/>
          <w:sz w:val="22"/>
          <w:szCs w:val="22"/>
        </w:rPr>
        <w:t>“At the moment, there’s no incentive for academics to share their work outside of papers that practitioners rarely read. Funders could do more to encourage different outputs, like practical reports or workshops that make findings usable.”</w:t>
      </w:r>
      <w:r w:rsidRPr="009E1281">
        <w:rPr>
          <w:rFonts w:ascii="Times New Roman" w:eastAsia="Calibri" w:hAnsi="Times New Roman" w:cs="Times New Roman"/>
          <w:sz w:val="22"/>
          <w:szCs w:val="22"/>
        </w:rPr>
        <w:t xml:space="preserve"> (P12, Hybrid)</w:t>
      </w:r>
    </w:p>
    <w:p w14:paraId="7E940811" w14:textId="77777777" w:rsidR="00573F59" w:rsidRPr="009E1281" w:rsidRDefault="00573F59" w:rsidP="00573F59">
      <w:pPr>
        <w:rPr>
          <w:rFonts w:ascii="Times New Roman" w:eastAsia="Calibri" w:hAnsi="Times New Roman" w:cs="Times New Roman"/>
          <w:sz w:val="22"/>
          <w:szCs w:val="22"/>
        </w:rPr>
      </w:pPr>
    </w:p>
    <w:p w14:paraId="2F36BB12" w14:textId="77777777" w:rsidR="001D57FF" w:rsidRPr="009E1281" w:rsidRDefault="001D57FF">
      <w:pPr>
        <w:rPr>
          <w:rFonts w:ascii="Times New Roman" w:hAnsi="Times New Roman" w:cs="Times New Roman"/>
          <w:b/>
          <w:bCs/>
          <w:sz w:val="22"/>
          <w:szCs w:val="22"/>
        </w:rPr>
      </w:pPr>
    </w:p>
    <w:sectPr w:rsidR="001D57FF" w:rsidRPr="009E12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32D0B"/>
    <w:multiLevelType w:val="multilevel"/>
    <w:tmpl w:val="949CA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172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EF7"/>
    <w:rsid w:val="001B3700"/>
    <w:rsid w:val="001D57FF"/>
    <w:rsid w:val="002A0290"/>
    <w:rsid w:val="00324DCA"/>
    <w:rsid w:val="004028A3"/>
    <w:rsid w:val="00417BEA"/>
    <w:rsid w:val="00573F59"/>
    <w:rsid w:val="00643DDA"/>
    <w:rsid w:val="006E4AAA"/>
    <w:rsid w:val="00795EF7"/>
    <w:rsid w:val="008E7E85"/>
    <w:rsid w:val="00997E7F"/>
    <w:rsid w:val="009B5D6B"/>
    <w:rsid w:val="009E1281"/>
    <w:rsid w:val="00A17238"/>
    <w:rsid w:val="00D83FAF"/>
    <w:rsid w:val="00DD08E2"/>
    <w:rsid w:val="00DD54EF"/>
    <w:rsid w:val="00E8390E"/>
    <w:rsid w:val="00EA1415"/>
    <w:rsid w:val="00F23E12"/>
    <w:rsid w:val="00F95E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8B23E"/>
  <w15:chartTrackingRefBased/>
  <w15:docId w15:val="{D406C540-F703-5141-8762-26900C372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E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E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E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E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E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E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E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E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E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E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E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E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E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E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EF7"/>
    <w:rPr>
      <w:rFonts w:eastAsiaTheme="majorEastAsia" w:cstheme="majorBidi"/>
      <w:color w:val="272727" w:themeColor="text1" w:themeTint="D8"/>
    </w:rPr>
  </w:style>
  <w:style w:type="paragraph" w:styleId="Title">
    <w:name w:val="Title"/>
    <w:basedOn w:val="Normal"/>
    <w:next w:val="Normal"/>
    <w:link w:val="TitleChar"/>
    <w:uiPriority w:val="10"/>
    <w:qFormat/>
    <w:rsid w:val="00795E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E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E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5EF7"/>
    <w:rPr>
      <w:i/>
      <w:iCs/>
      <w:color w:val="404040" w:themeColor="text1" w:themeTint="BF"/>
    </w:rPr>
  </w:style>
  <w:style w:type="paragraph" w:styleId="ListParagraph">
    <w:name w:val="List Paragraph"/>
    <w:basedOn w:val="Normal"/>
    <w:uiPriority w:val="34"/>
    <w:qFormat/>
    <w:rsid w:val="00795EF7"/>
    <w:pPr>
      <w:ind w:left="720"/>
      <w:contextualSpacing/>
    </w:pPr>
  </w:style>
  <w:style w:type="character" w:styleId="IntenseEmphasis">
    <w:name w:val="Intense Emphasis"/>
    <w:basedOn w:val="DefaultParagraphFont"/>
    <w:uiPriority w:val="21"/>
    <w:qFormat/>
    <w:rsid w:val="00795EF7"/>
    <w:rPr>
      <w:i/>
      <w:iCs/>
      <w:color w:val="0F4761" w:themeColor="accent1" w:themeShade="BF"/>
    </w:rPr>
  </w:style>
  <w:style w:type="paragraph" w:styleId="IntenseQuote">
    <w:name w:val="Intense Quote"/>
    <w:basedOn w:val="Normal"/>
    <w:next w:val="Normal"/>
    <w:link w:val="IntenseQuoteChar"/>
    <w:uiPriority w:val="30"/>
    <w:qFormat/>
    <w:rsid w:val="00795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EF7"/>
    <w:rPr>
      <w:i/>
      <w:iCs/>
      <w:color w:val="0F4761" w:themeColor="accent1" w:themeShade="BF"/>
    </w:rPr>
  </w:style>
  <w:style w:type="character" w:styleId="IntenseReference">
    <w:name w:val="Intense Reference"/>
    <w:basedOn w:val="DefaultParagraphFont"/>
    <w:uiPriority w:val="32"/>
    <w:qFormat/>
    <w:rsid w:val="00795EF7"/>
    <w:rPr>
      <w:b/>
      <w:bCs/>
      <w:smallCaps/>
      <w:color w:val="0F4761" w:themeColor="accent1" w:themeShade="BF"/>
      <w:spacing w:val="5"/>
    </w:rPr>
  </w:style>
  <w:style w:type="character" w:styleId="CommentReference">
    <w:name w:val="annotation reference"/>
    <w:basedOn w:val="DefaultParagraphFont"/>
    <w:uiPriority w:val="99"/>
    <w:semiHidden/>
    <w:unhideWhenUsed/>
    <w:rsid w:val="00417BEA"/>
    <w:rPr>
      <w:sz w:val="16"/>
      <w:szCs w:val="16"/>
    </w:rPr>
  </w:style>
  <w:style w:type="paragraph" w:styleId="CommentText">
    <w:name w:val="annotation text"/>
    <w:basedOn w:val="Normal"/>
    <w:link w:val="CommentTextChar"/>
    <w:uiPriority w:val="99"/>
    <w:semiHidden/>
    <w:unhideWhenUsed/>
    <w:rsid w:val="00417BEA"/>
    <w:rPr>
      <w:sz w:val="20"/>
      <w:szCs w:val="20"/>
    </w:rPr>
  </w:style>
  <w:style w:type="character" w:customStyle="1" w:styleId="CommentTextChar">
    <w:name w:val="Comment Text Char"/>
    <w:basedOn w:val="DefaultParagraphFont"/>
    <w:link w:val="CommentText"/>
    <w:uiPriority w:val="99"/>
    <w:semiHidden/>
    <w:rsid w:val="00417BEA"/>
    <w:rPr>
      <w:sz w:val="20"/>
      <w:szCs w:val="20"/>
    </w:rPr>
  </w:style>
  <w:style w:type="paragraph" w:styleId="CommentSubject">
    <w:name w:val="annotation subject"/>
    <w:basedOn w:val="CommentText"/>
    <w:next w:val="CommentText"/>
    <w:link w:val="CommentSubjectChar"/>
    <w:uiPriority w:val="99"/>
    <w:semiHidden/>
    <w:unhideWhenUsed/>
    <w:rsid w:val="00417BEA"/>
    <w:rPr>
      <w:b/>
      <w:bCs/>
    </w:rPr>
  </w:style>
  <w:style w:type="character" w:customStyle="1" w:styleId="CommentSubjectChar">
    <w:name w:val="Comment Subject Char"/>
    <w:basedOn w:val="CommentTextChar"/>
    <w:link w:val="CommentSubject"/>
    <w:uiPriority w:val="99"/>
    <w:semiHidden/>
    <w:rsid w:val="00417BEA"/>
    <w:rPr>
      <w:b/>
      <w:bCs/>
      <w:sz w:val="20"/>
      <w:szCs w:val="20"/>
    </w:rPr>
  </w:style>
  <w:style w:type="paragraph" w:styleId="NormalWeb">
    <w:name w:val="Normal (Web)"/>
    <w:basedOn w:val="Normal"/>
    <w:uiPriority w:val="99"/>
    <w:semiHidden/>
    <w:unhideWhenUsed/>
    <w:rsid w:val="00324DC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2059</Words>
  <Characters>11741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Newson</dc:creator>
  <cp:keywords/>
  <dc:description/>
  <cp:lastModifiedBy>Hasan Davulcu</cp:lastModifiedBy>
  <cp:revision>2</cp:revision>
  <dcterms:created xsi:type="dcterms:W3CDTF">2025-10-22T12:00:00Z</dcterms:created>
  <dcterms:modified xsi:type="dcterms:W3CDTF">2025-10-22T12:00:00Z</dcterms:modified>
</cp:coreProperties>
</file>