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Amendment No. 1 to the Master Services Agreement</w:t>
      </w:r>
    </w:p>
    <w:p>
      <w:r>
        <w:t>This Amendment is entered into between Acme Corp and Globex Ltd and modifies the Master Services Agreement dated the Effective Date. Both are fictional companies invented for this demonstration.</w:t>
      </w:r>
    </w:p>
    <w:p>
      <w:pPr>
        <w:pStyle w:val="Heading2"/>
      </w:pPr>
      <w:r>
        <w:t>A1. Payment Terms</w:t>
      </w:r>
    </w:p>
    <w:p>
      <w:r>
        <w:t>Invoices shall be settled within 45 days of receipt. Late payments accrue interest at 1% per month.</w:t>
      </w:r>
    </w:p>
    <w:p>
      <w:pPr>
        <w:pStyle w:val="Heading2"/>
      </w:pPr>
      <w:r>
        <w:t>A2. Audit Rights</w:t>
      </w:r>
    </w:p>
    <w:p>
      <w:r>
        <w:t>Customer may audit Vendor's records relating to this Agreement no more than once per calendar year, on 30 days' written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