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85A2B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2"/>
          <w:szCs w:val="22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161616"/>
          <w:sz w:val="22"/>
          <w:szCs w:val="22"/>
        </w:rPr>
        <w:t>Compare Active Directory to Microsoft Entra ID</w:t>
      </w:r>
    </w:p>
    <w:p w:rsidR="00000000" w:rsidRDefault="00E85A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8"/>
        <w:gridCol w:w="2564"/>
        <w:gridCol w:w="5278"/>
      </w:tblGrid>
      <w:tr w:rsidR="00000000">
        <w:trPr>
          <w:divId w:val="1577206011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161616"/>
                <w:sz w:val="22"/>
                <w:szCs w:val="22"/>
              </w:rPr>
              <w:t>Concept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161616"/>
                <w:sz w:val="22"/>
                <w:szCs w:val="22"/>
              </w:rPr>
              <w:t>Windows Server Active Directory</w:t>
            </w:r>
          </w:p>
        </w:tc>
        <w:tc>
          <w:tcPr>
            <w:tcW w:w="8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161616"/>
                <w:sz w:val="22"/>
                <w:szCs w:val="22"/>
              </w:rPr>
              <w:t>Microsoft Entra ID</w:t>
            </w:r>
          </w:p>
        </w:tc>
      </w:tr>
      <w:tr w:rsidR="00000000">
        <w:trPr>
          <w:divId w:val="1577206011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Users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577206011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Provisioning: users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 xml:space="preserve">Organizations </w:t>
            </w: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create internal users manually or use an in-house or automated provisioning system, such as the Microsoft Identity Manager, to integrate with an HR system.</w:t>
            </w:r>
          </w:p>
        </w:tc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Existing Microsoft Windows Server Active Directory organizations use </w:t>
            </w:r>
            <w:hyperlink r:id="rId4" w:history="1"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Microsoft Entra Connect</w:t>
              </w:r>
            </w:hyperlink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 to sync identities to the cloud.</w:t>
            </w:r>
          </w:p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Microsoft Entra ID adds support to automatically create users from </w:t>
            </w:r>
            <w:hyperlink r:id="rId5" w:history="1"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cloud HR systems</w:t>
              </w:r>
            </w:hyperlink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.</w:t>
            </w:r>
          </w:p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Microsoft Entra ID can provision identities in </w:t>
            </w:r>
            <w:hyperlink r:id="rId6" w:history="1"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System for Cr</w:t>
              </w:r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oss-Domain Identity Management (SCIM) enabled</w:t>
              </w:r>
            </w:hyperlink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 software as a service (SaaS) apps to automatically provide apps with the necessary details to allow access for users.</w:t>
            </w:r>
          </w:p>
        </w:tc>
      </w:tr>
      <w:tr w:rsidR="00000000">
        <w:trPr>
          <w:divId w:val="1577206011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Provisioning: external identities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Organizations create external users manually as regular u</w:t>
            </w: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sers in a dedicated external Microsoft Windows Server Active Directory forest, resulting in administration overhead to manage the lifecycle of external identities (guest users)</w:t>
            </w:r>
          </w:p>
        </w:tc>
        <w:tc>
          <w:tcPr>
            <w:tcW w:w="8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Microsoft Entra ID provides a special class of identity to support external ide</w:t>
            </w: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ntities. </w:t>
            </w:r>
            <w:hyperlink r:id="rId7" w:history="1"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Microsoft Entra B2B</w:t>
              </w:r>
            </w:hyperlink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 will manage the link to the external user identity to make sure they are valid.</w:t>
            </w:r>
          </w:p>
        </w:tc>
      </w:tr>
      <w:tr w:rsidR="00000000">
        <w:trPr>
          <w:divId w:val="1577206011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Entitlement management and groups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 xml:space="preserve">Administrators </w:t>
            </w: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make users members of groups. App and resource owners then give groups access to apps or resources.</w:t>
            </w:r>
          </w:p>
        </w:tc>
        <w:tc>
          <w:tcPr>
            <w:tcW w:w="8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8" w:history="1"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Groups</w:t>
              </w:r>
            </w:hyperlink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 are also available in Microsoft Entra ID and administrators</w:t>
            </w: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 xml:space="preserve"> can also use groups to grant permissions to resources. In Microsoft Entra ID, administrators can assign membership to groups manually or use a query to dynamically include users to a group.</w:t>
            </w:r>
          </w:p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Administrators can use </w:t>
            </w:r>
            <w:hyperlink r:id="rId9" w:history="1"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Entitlement management</w:t>
              </w:r>
            </w:hyperlink>
            <w:r>
              <w:rPr>
                <w:rFonts w:ascii="Segoe UI" w:hAnsi="Segoe UI" w:cs="Segoe UI"/>
                <w:color w:val="161616"/>
                <w:sz w:val="22"/>
                <w:szCs w:val="22"/>
              </w:rPr>
              <w:t xml:space="preserve"> in Microsoft Entra ID to give </w:t>
            </w: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users access to a collection of apps and resources using workflows and, if necessary, time-based criteria.</w:t>
            </w:r>
          </w:p>
        </w:tc>
      </w:tr>
      <w:tr w:rsidR="00000000">
        <w:trPr>
          <w:divId w:val="1577206011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Admin management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 xml:space="preserve">Organizations will use a combination of domains, organizational units, and groups in Microsoft Windows </w:t>
            </w:r>
            <w:r>
              <w:rPr>
                <w:rFonts w:ascii="Segoe UI" w:hAnsi="Segoe UI" w:cs="Segoe UI"/>
                <w:color w:val="161616"/>
                <w:sz w:val="22"/>
                <w:szCs w:val="22"/>
              </w:rPr>
              <w:lastRenderedPageBreak/>
              <w:t>Server Active Directory to d</w:t>
            </w: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elegate administrative rights to manage the directory and resources it controls.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lastRenderedPageBreak/>
              <w:t>Microsoft Entra ID provides </w:t>
            </w:r>
            <w:hyperlink r:id="rId10" w:history="1"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built-in roles</w:t>
              </w:r>
            </w:hyperlink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 with its Microsoft Entra</w:t>
            </w: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 xml:space="preserve"> role-based access control (RBAC) system, with limited support for </w:t>
            </w:r>
            <w:hyperlink r:id="rId11" w:history="1"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creating custom roles</w:t>
              </w:r>
            </w:hyperlink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 to delegate privileged access to the identity system, the ap</w:t>
            </w: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ps, and resources it controls.</w:t>
            </w:r>
          </w:p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lastRenderedPageBreak/>
              <w:t>Managing roles can be enhanced with </w:t>
            </w:r>
            <w:hyperlink r:id="rId12" w:history="1"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Privileged Identity Management (PIM)</w:t>
              </w:r>
            </w:hyperlink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 to provide just-in-time, time-restric</w:t>
            </w: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ted, or workflow-based access to privileged roles.</w:t>
            </w:r>
          </w:p>
        </w:tc>
      </w:tr>
      <w:tr w:rsidR="00000000">
        <w:trPr>
          <w:divId w:val="1577206011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lastRenderedPageBreak/>
              <w:t>Credential management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61616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Credentials in Active Directory are based on passwords, certificate authentication, and smart card authentication. Passwords are managed using password policies that are based on pas</w:t>
            </w: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sword length, expiry, and complexity.</w:t>
            </w:r>
          </w:p>
        </w:tc>
        <w:tc>
          <w:tcPr>
            <w:tcW w:w="8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Microsoft Entra ID uses intelligent </w:t>
            </w:r>
            <w:hyperlink r:id="rId13" w:history="1"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password protection</w:t>
              </w:r>
            </w:hyperlink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 for cloud and on-premises. Protection includes smart lock</w:t>
            </w: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out plus blocking common and custom password phrases and substitutions.</w:t>
            </w:r>
          </w:p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Microsoft Entra ID significantly boosts security </w:t>
            </w:r>
            <w:hyperlink r:id="rId14" w:history="1"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through multifactor authenticati</w:t>
              </w:r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on</w:t>
              </w:r>
            </w:hyperlink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 and </w:t>
            </w:r>
            <w:hyperlink r:id="rId15" w:history="1"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passwordless</w:t>
              </w:r>
            </w:hyperlink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 technologies, like FIDO2.</w:t>
            </w:r>
          </w:p>
          <w:p w:rsidR="00000000" w:rsidRDefault="00E85A2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Microsoft Entra ID reduces support costs by providing users a </w:t>
            </w:r>
            <w:hyperlink r:id="rId16" w:history="1">
              <w:r>
                <w:rPr>
                  <w:rStyle w:val="Hyperlink"/>
                  <w:rFonts w:ascii="Segoe UI" w:hAnsi="Segoe UI" w:cs="Segoe UI"/>
                  <w:sz w:val="22"/>
                  <w:szCs w:val="22"/>
                </w:rPr>
                <w:t>self-service password reset</w:t>
              </w:r>
            </w:hyperlink>
            <w:r>
              <w:rPr>
                <w:rFonts w:ascii="Segoe UI" w:hAnsi="Segoe UI" w:cs="Segoe UI"/>
                <w:color w:val="161616"/>
                <w:sz w:val="22"/>
                <w:szCs w:val="22"/>
              </w:rPr>
              <w:t> system.</w:t>
            </w:r>
          </w:p>
        </w:tc>
      </w:tr>
    </w:tbl>
    <w:p w:rsidR="00000000" w:rsidRDefault="00E85A2B">
      <w:pPr>
        <w:divId w:val="1577206011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2B"/>
    <w:rsid w:val="00E8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5D14B-E376-4C6E-8E9C-1561D81B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20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ntra/fundamentals/how-to-manage-groups" TargetMode="External"/><Relationship Id="rId13" Type="http://schemas.openxmlformats.org/officeDocument/2006/relationships/hyperlink" Target="https://learn.microsoft.com/en-us/entra/identity/authentication/concept-password-ban-ba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entra/external-id/" TargetMode="External"/><Relationship Id="rId12" Type="http://schemas.openxmlformats.org/officeDocument/2006/relationships/hyperlink" Target="https://learn.microsoft.com/en-us/entra/id-governance/privileged-identity-management/pim-configu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us/entra/identity/authentication/concept-sspr-howitwork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entra/identity/app-provisioning/use-scim-to-provision-users-and-groups" TargetMode="External"/><Relationship Id="rId11" Type="http://schemas.openxmlformats.org/officeDocument/2006/relationships/hyperlink" Target="https://learn.microsoft.com/en-us/entra/identity/role-based-access-control/custom-overview" TargetMode="External"/><Relationship Id="rId5" Type="http://schemas.openxmlformats.org/officeDocument/2006/relationships/hyperlink" Target="https://learn.microsoft.com/en-us/entra/identity/app-provisioning/what-is-hr-driven-provisioning" TargetMode="External"/><Relationship Id="rId15" Type="http://schemas.openxmlformats.org/officeDocument/2006/relationships/hyperlink" Target="https://learn.microsoft.com/en-us/entra/identity/authentication/concept-authentication-passwordless" TargetMode="External"/><Relationship Id="rId10" Type="http://schemas.openxmlformats.org/officeDocument/2006/relationships/hyperlink" Target="https://learn.microsoft.com/en-us/entra/fundamentals/how-subscriptions-associated-directory" TargetMode="External"/><Relationship Id="rId4" Type="http://schemas.openxmlformats.org/officeDocument/2006/relationships/hyperlink" Target="https://learn.microsoft.com/en-us/entra/identity/hybrid/connect/how-to-connect-sync-whatis" TargetMode="External"/><Relationship Id="rId9" Type="http://schemas.openxmlformats.org/officeDocument/2006/relationships/hyperlink" Target="https://learn.microsoft.com/en-us/entra/id-governance/entitlement-management-overview" TargetMode="External"/><Relationship Id="rId14" Type="http://schemas.openxmlformats.org/officeDocument/2006/relationships/hyperlink" Target="https://learn.microsoft.com/en-us/entra/identity/authentication/concept-mfa-howi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PrasannaKumar Sarilla</dc:creator>
  <cp:keywords/>
  <dc:description/>
  <cp:lastModifiedBy>PrasannaKumar Sarilla</cp:lastModifiedBy>
  <cp:revision>2</cp:revision>
  <dcterms:created xsi:type="dcterms:W3CDTF">2024-10-17T22:11:00Z</dcterms:created>
  <dcterms:modified xsi:type="dcterms:W3CDTF">2024-10-17T22:11:00Z</dcterms:modified>
</cp:coreProperties>
</file>