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72024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161616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color w:val="161616"/>
          <w:sz w:val="40"/>
          <w:szCs w:val="40"/>
          <w:shd w:val="clear" w:color="auto" w:fill="FFFFFF"/>
        </w:rPr>
        <w:t>Network security groups</w:t>
      </w:r>
    </w:p>
    <w:p w:rsidR="00000000" w:rsidRDefault="00C7202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Friday, October 18, 2024</w:t>
      </w:r>
    </w:p>
    <w:p w:rsidR="00000000" w:rsidRDefault="00C7202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03:45</w:t>
      </w:r>
    </w:p>
    <w:p w:rsidR="00000000" w:rsidRDefault="00C7202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72024">
      <w:pPr>
        <w:pStyle w:val="NormalWeb"/>
        <w:spacing w:before="0" w:beforeAutospacing="0" w:after="0" w:afterAutospacing="0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 xml:space="preserve">You can use an Azure network security group to filter network traffic between Azure resources in an Azure virtual network. </w:t>
      </w:r>
    </w:p>
    <w:p w:rsidR="00000000" w:rsidRDefault="00C72024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C7202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A network security group contains </w:t>
      </w:r>
      <w:hyperlink r:id="rId4" w:anchor="security-rules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security rules</w:t>
        </w:r>
      </w:hyperlink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 that allow or deny inbound network traffic to, or outbound network traffic from, several types of Azure resources. F</w:t>
      </w:r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or each rule, you can specify source and destination, port, and protocol.</w:t>
      </w:r>
    </w:p>
    <w:p w:rsidR="00000000" w:rsidRDefault="00C72024">
      <w:pPr>
        <w:pStyle w:val="NormalWeb"/>
        <w:spacing w:before="480" w:beforeAutospacing="0" w:after="180" w:afterAutospacing="0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>Security rules</w:t>
      </w:r>
    </w:p>
    <w:p w:rsidR="00000000" w:rsidRDefault="00C7202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A network security group contains as many rules as desired, within Azure subscription </w:t>
      </w:r>
      <w:hyperlink r:id="rId5" w:anchor="azure-resource-manager-virtual-networking-limits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limits</w:t>
        </w:r>
      </w:hyperlink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. Each rule specifies the following properties:</w:t>
      </w:r>
    </w:p>
    <w:p w:rsidR="00000000" w:rsidRDefault="00C72024">
      <w:pPr>
        <w:pStyle w:val="NormalWeb"/>
        <w:spacing w:before="0" w:beforeAutospacing="0" w:after="0" w:afterAutospacing="0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04"/>
        <w:gridCol w:w="7656"/>
      </w:tblGrid>
      <w:tr w:rsidR="00000000">
        <w:trPr>
          <w:divId w:val="266430788"/>
        </w:trPr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Property</w:t>
            </w:r>
          </w:p>
        </w:tc>
        <w:tc>
          <w:tcPr>
            <w:tcW w:w="162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Explanation</w:t>
            </w:r>
          </w:p>
        </w:tc>
      </w:tr>
      <w:tr w:rsidR="00000000">
        <w:trPr>
          <w:divId w:val="266430788"/>
        </w:trPr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Name</w:t>
            </w:r>
          </w:p>
        </w:tc>
        <w:tc>
          <w:tcPr>
            <w:tcW w:w="162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A unique name </w:t>
            </w:r>
            <w:r>
              <w:rPr>
                <w:rFonts w:ascii="Calibri" w:hAnsi="Calibri" w:cs="Calibri"/>
                <w:sz w:val="21"/>
                <w:szCs w:val="21"/>
              </w:rPr>
              <w:t>within the network security group. The name can be up to 80 characters long. It must begin with a word character, and it must end with a word character or with '_'. The name may contain word characters or '.', '-', '_'.</w:t>
            </w:r>
          </w:p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 </w:t>
            </w:r>
          </w:p>
        </w:tc>
      </w:tr>
      <w:tr w:rsidR="00000000">
        <w:trPr>
          <w:divId w:val="266430788"/>
        </w:trPr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Priority</w:t>
            </w:r>
          </w:p>
        </w:tc>
        <w:tc>
          <w:tcPr>
            <w:tcW w:w="162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 number between 100 and 4096. Rules are processed in priority order, with lower numbers processed before higher numbers, because lower numbers have higher priority. Once traffic matches a rule, processing stops. As a result, any rules that exist with lowe</w:t>
            </w:r>
            <w:r>
              <w:rPr>
                <w:rFonts w:ascii="Calibri" w:hAnsi="Calibri" w:cs="Calibri"/>
                <w:sz w:val="21"/>
                <w:szCs w:val="21"/>
              </w:rPr>
              <w:t>r priorities (higher numbers) that have the same attributes as rules with higher priorities aren't processed.</w:t>
            </w:r>
          </w:p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Azure default security rules are given the highest number with the lowest priority to ensure that custom rules are always processed first.</w:t>
            </w:r>
          </w:p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 </w:t>
            </w:r>
          </w:p>
        </w:tc>
      </w:tr>
      <w:tr w:rsidR="00000000">
        <w:trPr>
          <w:divId w:val="266430788"/>
        </w:trPr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Sour</w:t>
            </w:r>
            <w:r>
              <w:rPr>
                <w:rFonts w:ascii="Calibri" w:hAnsi="Calibri" w:cs="Calibri"/>
                <w:sz w:val="21"/>
                <w:szCs w:val="21"/>
              </w:rPr>
              <w:t>ce or destination</w:t>
            </w:r>
          </w:p>
        </w:tc>
        <w:tc>
          <w:tcPr>
            <w:tcW w:w="162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Any, or an individual IP address, classless inter-domain routing (CIDR) block (10.0.0.0/24, for example), service tag, or application security group. </w:t>
            </w:r>
          </w:p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If you specify an address for an Azure resource, specify the private IP address assigne</w:t>
            </w:r>
            <w:r>
              <w:rPr>
                <w:rFonts w:ascii="Calibri" w:hAnsi="Calibri" w:cs="Calibri"/>
                <w:sz w:val="21"/>
                <w:szCs w:val="21"/>
              </w:rPr>
              <w:t>d to the resource.</w:t>
            </w:r>
          </w:p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Network security groups are processed after Azure translates a public IP address to a private IP address for inbound traffic, and before Azure translates a private IP address to a public IP address for outbound traffic.</w:t>
            </w:r>
          </w:p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If source points </w:t>
            </w:r>
            <w:r>
              <w:rPr>
                <w:rFonts w:ascii="Calibri" w:hAnsi="Calibri" w:cs="Calibri"/>
                <w:sz w:val="21"/>
                <w:szCs w:val="21"/>
              </w:rPr>
              <w:t>to the subnet 10.0.1.0/24 (where VM1 is located) and destination points to the subnet 10.0.2.0/24 (where VM2 is located), this indicates the purpose of NSG is to filter network traffic for VM2 and the NSG is associated with the network interface of VM2.</w:t>
            </w:r>
          </w:p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 </w:t>
            </w:r>
          </w:p>
        </w:tc>
      </w:tr>
      <w:tr w:rsidR="00000000">
        <w:trPr>
          <w:divId w:val="266430788"/>
        </w:trPr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Protocol</w:t>
            </w:r>
          </w:p>
        </w:tc>
        <w:tc>
          <w:tcPr>
            <w:tcW w:w="162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TCP, UDP, ICMP, ESP, AH, or Any. The ESP and AH protocols aren't currently available via the Azure portal but can be used via ARM templates.</w:t>
            </w:r>
          </w:p>
        </w:tc>
      </w:tr>
      <w:tr w:rsidR="00000000">
        <w:trPr>
          <w:divId w:val="266430788"/>
        </w:trPr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Direction</w:t>
            </w:r>
          </w:p>
        </w:tc>
        <w:tc>
          <w:tcPr>
            <w:tcW w:w="162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Whether the rule applies to inbound, or outbound traffic.</w:t>
            </w:r>
          </w:p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 </w:t>
            </w:r>
          </w:p>
        </w:tc>
      </w:tr>
      <w:tr w:rsidR="00000000">
        <w:trPr>
          <w:divId w:val="266430788"/>
        </w:trPr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Port range</w:t>
            </w:r>
          </w:p>
        </w:tc>
        <w:tc>
          <w:tcPr>
            <w:tcW w:w="162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You can specify an ind</w:t>
            </w:r>
            <w:r>
              <w:rPr>
                <w:rFonts w:ascii="Calibri" w:hAnsi="Calibri" w:cs="Calibri"/>
                <w:sz w:val="21"/>
                <w:szCs w:val="21"/>
              </w:rPr>
              <w:t>ividual or range of ports. For example, you could specify 80 or 10000-10005. Specifying ranges enables you to create fewer security rules.</w:t>
            </w:r>
          </w:p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 </w:t>
            </w:r>
          </w:p>
        </w:tc>
      </w:tr>
      <w:tr w:rsidR="00000000">
        <w:trPr>
          <w:divId w:val="266430788"/>
        </w:trPr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Action</w:t>
            </w:r>
          </w:p>
        </w:tc>
        <w:tc>
          <w:tcPr>
            <w:tcW w:w="162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Allow or deny</w:t>
            </w:r>
          </w:p>
        </w:tc>
      </w:tr>
      <w:tr w:rsidR="00000000">
        <w:trPr>
          <w:divId w:val="266430788"/>
        </w:trPr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 </w:t>
            </w:r>
          </w:p>
        </w:tc>
        <w:tc>
          <w:tcPr>
            <w:tcW w:w="162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 </w:t>
            </w:r>
          </w:p>
        </w:tc>
      </w:tr>
    </w:tbl>
    <w:p w:rsidR="00000000" w:rsidRDefault="00C72024">
      <w:pPr>
        <w:pStyle w:val="NormalWeb"/>
        <w:spacing w:before="0" w:beforeAutospacing="0" w:after="0" w:afterAutospacing="0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 xml:space="preserve">Security rules are evaluated and applied based on the five-tuple (source, source port, destination, destination port, and protocol) information. </w:t>
      </w:r>
    </w:p>
    <w:p w:rsidR="00000000" w:rsidRDefault="00C72024">
      <w:pPr>
        <w:pStyle w:val="NormalWeb"/>
        <w:spacing w:before="0" w:beforeAutospacing="0" w:after="0" w:afterAutospacing="0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> </w:t>
      </w:r>
    </w:p>
    <w:p w:rsidR="00000000" w:rsidRDefault="00C72024">
      <w:pPr>
        <w:pStyle w:val="NormalWeb"/>
        <w:spacing w:before="0" w:beforeAutospacing="0" w:after="0" w:afterAutospacing="0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 xml:space="preserve">You can't create two security rules with the same priority and direction. </w:t>
      </w:r>
    </w:p>
    <w:p w:rsidR="00000000" w:rsidRDefault="00C72024">
      <w:pPr>
        <w:pStyle w:val="NormalWeb"/>
        <w:spacing w:before="0" w:beforeAutospacing="0" w:after="0" w:afterAutospacing="0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> </w:t>
      </w:r>
    </w:p>
    <w:p w:rsidR="00000000" w:rsidRDefault="00C72024">
      <w:pPr>
        <w:pStyle w:val="NormalWeb"/>
        <w:spacing w:before="0" w:beforeAutospacing="0" w:after="0" w:afterAutospacing="0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A flow record is created for ex</w:t>
      </w:r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isting connections. Communication is allowed or denied based on the connection state of the flow record.</w:t>
      </w:r>
    </w:p>
    <w:p w:rsidR="00000000" w:rsidRDefault="00C72024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C72024">
      <w:pPr>
        <w:pStyle w:val="NormalWeb"/>
        <w:spacing w:before="0" w:beforeAutospacing="0" w:after="0" w:afterAutospacing="0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The flow record allows a network security group to be stateful.</w:t>
      </w:r>
    </w:p>
    <w:p w:rsidR="00000000" w:rsidRDefault="00C72024">
      <w:pPr>
        <w:pStyle w:val="NormalWeb"/>
        <w:spacing w:before="0" w:beforeAutospacing="0" w:after="0" w:afterAutospacing="0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> </w:t>
      </w:r>
    </w:p>
    <w:p w:rsidR="00000000" w:rsidRDefault="00C72024">
      <w:pPr>
        <w:pStyle w:val="NormalWeb"/>
        <w:spacing w:before="0" w:beforeAutospacing="0" w:after="0" w:afterAutospacing="0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 xml:space="preserve">If you specify an outbound security rule to any address over port 80, for example, </w:t>
      </w:r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 xml:space="preserve">it's not necessary to specify an inbound security rule for the response to the outbound traffic. You only need to specify an inbound security rule if communication is initiated externally. </w:t>
      </w:r>
    </w:p>
    <w:p w:rsidR="00000000" w:rsidRDefault="00C72024">
      <w:pPr>
        <w:pStyle w:val="NormalWeb"/>
        <w:spacing w:before="0" w:beforeAutospacing="0" w:after="0" w:afterAutospacing="0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The opposite is also true. If inbound traffic is allowed over a po</w:t>
      </w:r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rt, it's not necessary to specify an outbound security rule to respond to traffic over the port.</w:t>
      </w:r>
    </w:p>
    <w:p w:rsidR="00000000" w:rsidRDefault="00C72024">
      <w:pPr>
        <w:pStyle w:val="NormalWeb"/>
        <w:spacing w:before="0" w:beforeAutospacing="0" w:after="0" w:afterAutospacing="0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Existing connections may not be interrupted when you remove a security rule that allowed the connection. Modifying network security group rules will only affec</w:t>
      </w:r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t new connections. When a new rule is created or an existing rule is updated in a network security group, it will only apply to new connections. Existing connections are not reevaluated with the new rules.</w:t>
      </w:r>
    </w:p>
    <w:p w:rsidR="00000000" w:rsidRDefault="00C72024">
      <w:pPr>
        <w:pStyle w:val="NormalWeb"/>
        <w:spacing w:before="0" w:beforeAutospacing="0" w:after="0" w:afterAutospacing="0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> </w:t>
      </w:r>
    </w:p>
    <w:p w:rsidR="00000000" w:rsidRDefault="00C7202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There are limits to the number of security rules</w:t>
      </w:r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 xml:space="preserve"> you can create in a network security group. For details, see </w:t>
      </w:r>
      <w:hyperlink r:id="rId6" w:anchor="azure-resource-manager-virtual-networking-limits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Azure limits</w:t>
        </w:r>
      </w:hyperlink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.</w:t>
      </w:r>
    </w:p>
    <w:p w:rsidR="00000000" w:rsidRDefault="00C72024">
      <w:pPr>
        <w:pStyle w:val="NormalWeb"/>
        <w:spacing w:before="440" w:beforeAutospacing="0" w:after="260" w:afterAutospacing="0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>Default security rules</w:t>
      </w:r>
    </w:p>
    <w:p w:rsidR="00000000" w:rsidRDefault="00C72024">
      <w:pPr>
        <w:pStyle w:val="NormalWeb"/>
        <w:spacing w:before="0" w:beforeAutospacing="0" w:after="0" w:afterAutospacing="0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Azure creates the following default rules in each network security group that you create:</w:t>
      </w:r>
    </w:p>
    <w:p w:rsidR="00000000" w:rsidRDefault="00C72024">
      <w:pPr>
        <w:pStyle w:val="NormalWeb"/>
        <w:spacing w:before="540" w:beforeAutospacing="0" w:after="80" w:afterAutospacing="0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>Inbound</w:t>
      </w:r>
    </w:p>
    <w:p w:rsidR="00000000" w:rsidRDefault="00C72024">
      <w:pPr>
        <w:pStyle w:val="NormalWeb"/>
        <w:spacing w:before="540" w:beforeAutospacing="0" w:after="80" w:afterAutospacing="0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>AllowVNetInBound</w:t>
      </w:r>
    </w:p>
    <w:p w:rsidR="00000000" w:rsidRDefault="00C72024">
      <w:pPr>
        <w:pStyle w:val="NormalWeb"/>
        <w:spacing w:before="0" w:beforeAutospacing="0" w:after="0" w:afterAutospacing="0"/>
        <w:rPr>
          <w:rFonts w:ascii="inherit" w:hAnsi="inherit" w:cs="Calibri"/>
          <w:color w:val="161616"/>
          <w:sz w:val="21"/>
          <w:szCs w:val="21"/>
        </w:rPr>
      </w:pPr>
      <w:r>
        <w:rPr>
          <w:rFonts w:ascii="inherit" w:hAnsi="inherit" w:cs="Calibri"/>
          <w:color w:val="161616"/>
          <w:sz w:val="21"/>
          <w:szCs w:val="21"/>
        </w:rPr>
        <w:t>Expand table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78"/>
        <w:gridCol w:w="1626"/>
        <w:gridCol w:w="1413"/>
        <w:gridCol w:w="1626"/>
        <w:gridCol w:w="1833"/>
        <w:gridCol w:w="1053"/>
        <w:gridCol w:w="785"/>
      </w:tblGrid>
      <w:tr w:rsidR="00000000">
        <w:trPr>
          <w:divId w:val="1644502541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Priority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Source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Source ports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Destination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Destination ports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Protocol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Access</w:t>
            </w:r>
          </w:p>
        </w:tc>
      </w:tr>
      <w:tr w:rsidR="00000000">
        <w:trPr>
          <w:divId w:val="1644502541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65000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VirtualNetwork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0-65535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VirtualNetwork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0-65535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Any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Allow</w:t>
            </w:r>
          </w:p>
        </w:tc>
      </w:tr>
    </w:tbl>
    <w:p w:rsidR="00000000" w:rsidRDefault="00C72024">
      <w:pPr>
        <w:pStyle w:val="NormalWeb"/>
        <w:spacing w:before="540" w:beforeAutospacing="0" w:after="80" w:afterAutospacing="0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lastRenderedPageBreak/>
        <w:t>AllowAzureLoadBalancerInBound</w:t>
      </w:r>
    </w:p>
    <w:p w:rsidR="00000000" w:rsidRDefault="00C72024">
      <w:pPr>
        <w:pStyle w:val="NormalWeb"/>
        <w:spacing w:before="0" w:beforeAutospacing="0" w:after="0" w:afterAutospacing="0"/>
        <w:rPr>
          <w:rFonts w:ascii="inherit" w:hAnsi="inherit" w:cs="Calibri"/>
          <w:color w:val="161616"/>
          <w:sz w:val="21"/>
          <w:szCs w:val="21"/>
        </w:rPr>
      </w:pPr>
      <w:r>
        <w:rPr>
          <w:rFonts w:ascii="inherit" w:hAnsi="inherit" w:cs="Calibri"/>
          <w:color w:val="161616"/>
          <w:sz w:val="21"/>
          <w:szCs w:val="21"/>
        </w:rPr>
        <w:t>Expand table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78"/>
        <w:gridCol w:w="1960"/>
        <w:gridCol w:w="1413"/>
        <w:gridCol w:w="1328"/>
        <w:gridCol w:w="1833"/>
        <w:gridCol w:w="1053"/>
        <w:gridCol w:w="785"/>
      </w:tblGrid>
      <w:tr w:rsidR="00000000">
        <w:trPr>
          <w:divId w:val="806093885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Priority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Source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Source ports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Destination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Destination ports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Protocol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Access</w:t>
            </w:r>
          </w:p>
        </w:tc>
      </w:tr>
      <w:tr w:rsidR="00000000">
        <w:trPr>
          <w:divId w:val="8060938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65001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AzureLoadBalancer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0-65535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0.0.0.0/0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0-65535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Any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Allow</w:t>
            </w:r>
          </w:p>
        </w:tc>
      </w:tr>
    </w:tbl>
    <w:p w:rsidR="00000000" w:rsidRDefault="00C72024">
      <w:pPr>
        <w:pStyle w:val="NormalWeb"/>
        <w:spacing w:before="540" w:beforeAutospacing="0" w:after="80" w:afterAutospacing="0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>DenyAllInbound</w:t>
      </w:r>
    </w:p>
    <w:p w:rsidR="00000000" w:rsidRDefault="00C72024">
      <w:pPr>
        <w:pStyle w:val="NormalWeb"/>
        <w:spacing w:before="0" w:beforeAutospacing="0" w:after="0" w:afterAutospacing="0"/>
        <w:rPr>
          <w:rFonts w:ascii="inherit" w:hAnsi="inherit" w:cs="Calibri"/>
          <w:color w:val="161616"/>
          <w:sz w:val="21"/>
          <w:szCs w:val="21"/>
        </w:rPr>
      </w:pPr>
      <w:r>
        <w:rPr>
          <w:rFonts w:ascii="inherit" w:hAnsi="inherit" w:cs="Calibri"/>
          <w:color w:val="161616"/>
          <w:sz w:val="21"/>
          <w:szCs w:val="21"/>
        </w:rPr>
        <w:t>Expand table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78"/>
        <w:gridCol w:w="1089"/>
        <w:gridCol w:w="1413"/>
        <w:gridCol w:w="1328"/>
        <w:gridCol w:w="1833"/>
        <w:gridCol w:w="1053"/>
        <w:gridCol w:w="785"/>
      </w:tblGrid>
      <w:tr w:rsidR="00000000">
        <w:trPr>
          <w:divId w:val="818812409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Priority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Source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Source ports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Destination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Destination ports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Protocol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Access</w:t>
            </w:r>
          </w:p>
        </w:tc>
      </w:tr>
      <w:tr w:rsidR="00000000">
        <w:trPr>
          <w:divId w:val="81881240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65500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0.0.0.0/0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0-65535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0.0.0.0/0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0-65535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Any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Deny</w:t>
            </w:r>
          </w:p>
        </w:tc>
      </w:tr>
    </w:tbl>
    <w:p w:rsidR="00000000" w:rsidRDefault="00C72024">
      <w:pPr>
        <w:pStyle w:val="NormalWeb"/>
        <w:spacing w:before="540" w:beforeAutospacing="0" w:after="80" w:afterAutospacing="0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>Outbound</w:t>
      </w:r>
    </w:p>
    <w:p w:rsidR="00000000" w:rsidRDefault="00C72024">
      <w:pPr>
        <w:pStyle w:val="NormalWeb"/>
        <w:spacing w:before="540" w:beforeAutospacing="0" w:after="80" w:afterAutospacing="0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>AllowVnetOutBound</w:t>
      </w:r>
    </w:p>
    <w:p w:rsidR="00000000" w:rsidRDefault="00C72024">
      <w:pPr>
        <w:pStyle w:val="NormalWeb"/>
        <w:spacing w:before="0" w:beforeAutospacing="0" w:after="0" w:afterAutospacing="0"/>
        <w:rPr>
          <w:rFonts w:ascii="inherit" w:hAnsi="inherit" w:cs="Calibri"/>
          <w:color w:val="161616"/>
          <w:sz w:val="21"/>
          <w:szCs w:val="21"/>
        </w:rPr>
      </w:pPr>
      <w:r>
        <w:rPr>
          <w:rFonts w:ascii="inherit" w:hAnsi="inherit" w:cs="Calibri"/>
          <w:color w:val="161616"/>
          <w:sz w:val="21"/>
          <w:szCs w:val="21"/>
        </w:rPr>
        <w:t>Expand table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78"/>
        <w:gridCol w:w="1626"/>
        <w:gridCol w:w="1413"/>
        <w:gridCol w:w="1626"/>
        <w:gridCol w:w="1833"/>
        <w:gridCol w:w="1053"/>
        <w:gridCol w:w="785"/>
      </w:tblGrid>
      <w:tr w:rsidR="00000000">
        <w:trPr>
          <w:divId w:val="211755679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Priority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Source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Source ports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Destination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Destination ports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Protocol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Access</w:t>
            </w:r>
          </w:p>
        </w:tc>
      </w:tr>
      <w:tr w:rsidR="00000000">
        <w:trPr>
          <w:divId w:val="21175567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65000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VirtualNetwork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0-65535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VirtualNetwork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0-65535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Any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Allow</w:t>
            </w:r>
          </w:p>
        </w:tc>
      </w:tr>
    </w:tbl>
    <w:p w:rsidR="00000000" w:rsidRDefault="00C72024">
      <w:pPr>
        <w:pStyle w:val="NormalWeb"/>
        <w:spacing w:before="540" w:beforeAutospacing="0" w:after="80" w:afterAutospacing="0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>AllowInternetOutBound</w:t>
      </w:r>
    </w:p>
    <w:p w:rsidR="00000000" w:rsidRDefault="00C72024">
      <w:pPr>
        <w:pStyle w:val="NormalWeb"/>
        <w:spacing w:before="0" w:beforeAutospacing="0" w:after="0" w:afterAutospacing="0"/>
        <w:rPr>
          <w:rFonts w:ascii="inherit" w:hAnsi="inherit" w:cs="Calibri"/>
          <w:color w:val="161616"/>
          <w:sz w:val="21"/>
          <w:szCs w:val="21"/>
        </w:rPr>
      </w:pPr>
      <w:r>
        <w:rPr>
          <w:rFonts w:ascii="inherit" w:hAnsi="inherit" w:cs="Calibri"/>
          <w:color w:val="161616"/>
          <w:sz w:val="21"/>
          <w:szCs w:val="21"/>
        </w:rPr>
        <w:t>Expand table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78"/>
        <w:gridCol w:w="1089"/>
        <w:gridCol w:w="1413"/>
        <w:gridCol w:w="1328"/>
        <w:gridCol w:w="1833"/>
        <w:gridCol w:w="1053"/>
        <w:gridCol w:w="785"/>
      </w:tblGrid>
      <w:tr w:rsidR="00000000">
        <w:trPr>
          <w:divId w:val="1624537555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Priority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Source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Source ports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Destination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Destination ports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Protocol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Access</w:t>
            </w:r>
          </w:p>
        </w:tc>
      </w:tr>
      <w:tr w:rsidR="00000000">
        <w:trPr>
          <w:divId w:val="16245375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65001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0.0.0.0/0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0-65535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Internet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0-65535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Any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Allow</w:t>
            </w:r>
          </w:p>
        </w:tc>
      </w:tr>
    </w:tbl>
    <w:p w:rsidR="00000000" w:rsidRDefault="00C72024">
      <w:pPr>
        <w:pStyle w:val="NormalWeb"/>
        <w:spacing w:before="540" w:beforeAutospacing="0" w:after="80" w:afterAutospacing="0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>DenyAllOutBound</w:t>
      </w:r>
    </w:p>
    <w:p w:rsidR="00000000" w:rsidRDefault="00C72024">
      <w:pPr>
        <w:pStyle w:val="NormalWeb"/>
        <w:spacing w:before="0" w:beforeAutospacing="0" w:after="0" w:afterAutospacing="0"/>
        <w:rPr>
          <w:rFonts w:ascii="inherit" w:hAnsi="inherit" w:cs="Calibri"/>
          <w:color w:val="161616"/>
          <w:sz w:val="21"/>
          <w:szCs w:val="21"/>
        </w:rPr>
      </w:pPr>
      <w:r>
        <w:rPr>
          <w:rFonts w:ascii="inherit" w:hAnsi="inherit" w:cs="Calibri"/>
          <w:color w:val="161616"/>
          <w:sz w:val="21"/>
          <w:szCs w:val="21"/>
        </w:rPr>
        <w:t>Expand table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78"/>
        <w:gridCol w:w="1089"/>
        <w:gridCol w:w="1413"/>
        <w:gridCol w:w="1328"/>
        <w:gridCol w:w="1833"/>
        <w:gridCol w:w="1053"/>
        <w:gridCol w:w="785"/>
      </w:tblGrid>
      <w:tr w:rsidR="00000000">
        <w:trPr>
          <w:divId w:val="922571236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Priority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Source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Source ports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Destination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Destination ports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Protocol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Access</w:t>
            </w:r>
          </w:p>
        </w:tc>
      </w:tr>
      <w:tr w:rsidR="00000000">
        <w:trPr>
          <w:divId w:val="9225712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65500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0.0.0.0/0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0-65535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0.0.0.0/0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0-65535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Any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20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Deny</w:t>
            </w:r>
          </w:p>
        </w:tc>
      </w:tr>
    </w:tbl>
    <w:p w:rsidR="00000000" w:rsidRDefault="00C72024">
      <w:pPr>
        <w:pStyle w:val="NormalWeb"/>
        <w:spacing w:before="0" w:beforeAutospacing="0" w:after="0" w:afterAutospacing="0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> </w:t>
      </w:r>
    </w:p>
    <w:p w:rsidR="00000000" w:rsidRDefault="00C72024">
      <w:pPr>
        <w:pStyle w:val="NormalWeb"/>
        <w:spacing w:before="0" w:beforeAutospacing="0" w:after="0" w:afterAutospacing="0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You can't remove the default rules, but you can override them by creating rules with higher priorities.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24"/>
    <w:rsid w:val="00C7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6B0FA-AD33-4D2E-BF54-A5719A14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430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6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azure/azure-resource-manager/management/azure-subscription-service-limits?toc=/azure/virtual-network/toc.json" TargetMode="External"/><Relationship Id="rId5" Type="http://schemas.openxmlformats.org/officeDocument/2006/relationships/hyperlink" Target="https://learn.microsoft.com/en-us/azure/azure-resource-manager/management/azure-subscription-service-limits?toc=/azure/virtual-network/toc.json" TargetMode="External"/><Relationship Id="rId4" Type="http://schemas.openxmlformats.org/officeDocument/2006/relationships/hyperlink" Target="https://learn.microsoft.com/en-us/azure/virtual-network/network-security-groups-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850</Words>
  <Characters>4847</Characters>
  <Application>Microsoft Office Word</Application>
  <DocSecurity>0</DocSecurity>
  <Lines>40</Lines>
  <Paragraphs>11</Paragraphs>
  <ScaleCrop>false</ScaleCrop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PrasannaKumar Sarilla</dc:creator>
  <cp:keywords/>
  <dc:description/>
  <cp:lastModifiedBy>PrasannaKumar Sarilla</cp:lastModifiedBy>
  <cp:revision>2</cp:revision>
  <dcterms:created xsi:type="dcterms:W3CDTF">2024-10-17T22:29:00Z</dcterms:created>
  <dcterms:modified xsi:type="dcterms:W3CDTF">2024-10-17T22:29:00Z</dcterms:modified>
</cp:coreProperties>
</file>