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CC0D2C"/>
          <w:sz w:val="28"/>
          <w:szCs w:val="28"/>
          <w:rFonts w:ascii="Inter" w:cs="Inter" w:eastAsia="Inter" w:hAnsi="Inter"/>
          <w:spacing w:val="-10"/>
        </w:rPr>
        <w:t xml:space="preserve">novagentica</w:t>
      </w:r>
    </w:p>
    <w:p>
      <w:pPr>
        <w:pBdr>
          <w:bottom w:val="single" w:color="CC0D2C" w:sz="16" w:space="1"/>
        </w:pBdr>
        <w:spacing w:before="30" w:after="170"/>
      </w:pPr>
    </w:p>
    <w:p>
      <w:pPr>
        <w:spacing w:after="18"/>
      </w:pPr>
      <w:r>
        <w:rPr>
          <w:b/>
          <w:bCs/>
          <w:color w:val="1A1A1A"/>
          <w:sz w:val="38"/>
          <w:szCs w:val="38"/>
          <w:rFonts w:ascii="Inter" w:cs="Inter" w:eastAsia="Inter" w:hAnsi="Inter"/>
          <w:spacing w:val="12"/>
        </w:rPr>
        <w:t xml:space="preserve">ORDER FORM — PROFESSIONAL SERVICES</w:t>
      </w:r>
    </w:p>
    <w:p>
      <w:pPr>
        <w:spacing w:after="130"/>
      </w:pPr>
      <w:r>
        <w:rPr>
          <w:i/>
          <w:iCs/>
          <w:color w:val="CC0D2C"/>
          <w:sz w:val="21"/>
          <w:szCs w:val="21"/>
          <w:rFonts w:ascii="Georgia" w:cs="Georgia" w:eastAsia="Georgia" w:hAnsi="Georgia"/>
        </w:rPr>
        <w:t xml:space="preserve">Novagentica Architect™ · Expert Services (MVP1 → MVPx)</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b/>
                <w:bCs/>
                <w:color w:val="CC0D2C"/>
                <w:sz w:val="16"/>
                <w:szCs w:val="16"/>
                <w:rFonts w:ascii="Inter" w:cs="Inter" w:eastAsia="Inter" w:hAnsi="Inter"/>
              </w:rPr>
              <w:t xml:space="preserve">Supplier</w:t>
            </w:r>
          </w:p>
          <w:p>
            <w:pPr>
              <w:spacing w:after="0" w:line="262"/>
            </w:pPr>
            <w:r>
              <w:rPr>
                <w:b/>
                <w:bCs/>
                <w:color w:val="1A1A1A"/>
                <w:sz w:val="18"/>
                <w:szCs w:val="18"/>
                <w:rFonts w:ascii="Inter" w:cs="Inter" w:eastAsia="Inter" w:hAnsi="Inter"/>
              </w:rPr>
              <w:t xml:space="preserve">Novagentica AG</w:t>
            </w:r>
          </w:p>
          <w:p>
            <w:pPr>
              <w:spacing w:after="0" w:line="262"/>
            </w:pPr>
            <w:r>
              <w:rPr>
                <w:color w:val="1A1A1A"/>
                <w:sz w:val="18"/>
                <w:szCs w:val="18"/>
                <w:rFonts w:ascii="Inter" w:cs="Inter" w:eastAsia="Inter" w:hAnsi="Inter"/>
              </w:rPr>
              <w:t xml:space="preserve">Chläusjägergasse 8</w:t>
            </w:r>
          </w:p>
          <w:p>
            <w:pPr>
              <w:spacing w:after="0" w:line="262"/>
            </w:pPr>
            <w:r>
              <w:rPr>
                <w:color w:val="1A1A1A"/>
                <w:sz w:val="18"/>
                <w:szCs w:val="18"/>
                <w:rFonts w:ascii="Inter" w:cs="Inter" w:eastAsia="Inter" w:hAnsi="Inter"/>
              </w:rPr>
              <w:t xml:space="preserve">CH-6403 Küssnacht am Rigi, Switzerland</w:t>
            </w:r>
          </w:p>
          <w:p>
            <w:pPr>
              <w:spacing w:after="0" w:line="262"/>
            </w:pPr>
            <w:r>
              <w:rPr>
                <w:color w:val="8C8C8C"/>
                <w:sz w:val="16"/>
                <w:szCs w:val="16"/>
                <w:rFonts w:ascii="Inter" w:cs="Inter" w:eastAsia="Inter" w:hAnsi="Inter"/>
              </w:rPr>
              <w:t xml:space="preserve">Reg. no. CH-020.3.051.524-2</w:t>
            </w:r>
          </w:p>
        </w:tc>
        <w:tc>
          <w:tcPr>
            <w:tcW w:type="dxa" w:w="4513"/>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b/>
                <w:bCs/>
                <w:color w:val="CC0D2C"/>
                <w:sz w:val="16"/>
                <w:szCs w:val="16"/>
                <w:rFonts w:ascii="Inter" w:cs="Inter" w:eastAsia="Inter" w:hAnsi="Inter"/>
              </w:rPr>
              <w:t xml:space="preserve">Customer</w:t>
            </w:r>
          </w:p>
          <w:p>
            <w:pPr>
              <w:spacing w:after="0" w:line="262"/>
            </w:pPr>
            <w:r>
              <w:rPr>
                <w:b/>
                <w:bCs/>
                <w:color w:val="1A1A1A"/>
                <w:sz w:val="18"/>
                <w:szCs w:val="18"/>
                <w:rFonts w:ascii="Inter" w:cs="Inter" w:eastAsia="Inter" w:hAnsi="Inter"/>
              </w:rPr>
              <w:t xml:space="preserve">HENSOLDT AG</w:t>
            </w:r>
          </w:p>
          <w:p>
            <w:pPr>
              <w:spacing w:after="0" w:line="262"/>
            </w:pPr>
            <w:r>
              <w:rPr>
                <w:color w:val="1A1A1A"/>
                <w:sz w:val="18"/>
                <w:szCs w:val="18"/>
                <w:rFonts w:ascii="Inter" w:cs="Inter" w:eastAsia="Inter" w:hAnsi="Inter"/>
              </w:rPr>
              <w:t xml:space="preserve">Willy-Messerschmitt-Strasse 3</w:t>
            </w:r>
          </w:p>
          <w:p>
            <w:pPr>
              <w:spacing w:after="0" w:line="262"/>
            </w:pPr>
            <w:r>
              <w:rPr>
                <w:color w:val="1A1A1A"/>
                <w:sz w:val="18"/>
                <w:szCs w:val="18"/>
                <w:rFonts w:ascii="Inter" w:cs="Inter" w:eastAsia="Inter" w:hAnsi="Inter"/>
              </w:rPr>
              <w:t xml:space="preserve">82024 Taufkirchen, Germany</w:t>
            </w:r>
          </w:p>
          <w:p>
            <w:pPr>
              <w:spacing w:after="0" w:line="262"/>
            </w:pPr>
            <w:r>
              <w:rPr>
                <w:color w:val="8C8C8C"/>
                <w:sz w:val="16"/>
                <w:szCs w:val="16"/>
                <w:rFonts w:ascii="Inter" w:cs="Inter" w:eastAsia="Inter" w:hAnsi="Inter"/>
              </w:rPr>
              <w:t xml:space="preserve">Attn.: André Scheidhammer, Chief Information Officer</w:t>
            </w:r>
          </w:p>
        </w:tc>
      </w:tr>
    </w:tbl>
    <w:p>
      <w:pPr>
        <w:keepNext/>
        <w:pBdr>
          <w:bottom w:val="single" w:color="CC0D2C" w:sz="8" w:space="4"/>
        </w:pBdr>
        <w:spacing w:before="300" w:after="90"/>
      </w:pPr>
      <w:r>
        <w:rPr>
          <w:b/>
          <w:bCs/>
          <w:color w:val="1A1A1A"/>
          <w:sz w:val="23"/>
          <w:szCs w:val="23"/>
          <w:caps/>
          <w:rFonts w:ascii="Inter" w:cs="Inter" w:eastAsia="Inter" w:hAnsi="Inter"/>
          <w:spacing w:val="12"/>
        </w:rPr>
        <w:t xml:space="preserve">Order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Order Form type</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Professional Services</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Order Form no.</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2026-NVG-HE-PS-001</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Offer date</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25 June 2026</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Offer valid until</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30 September 2026</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Contact — Customer</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André Scheidhammer, Chief Information Officer</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Contact — Novagentica</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Felix Bühner, Commercial Lead</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Billing e-mail — Customer</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[Customer billing contact — to confirm]</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VAT no. — Customer</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[Customer VAT / register no. — to confirm]</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Currency</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Swiss Francs (CHF). All amounts net, exclusive of VAT.</w:t>
            </w:r>
          </w:p>
        </w:tc>
      </w:tr>
    </w:tbl>
    <w:p>
      <w:pPr>
        <w:keepNext/>
        <w:pBdr>
          <w:bottom w:val="single" w:color="CC0D2C" w:sz="8" w:space="4"/>
        </w:pBdr>
        <w:spacing w:before="300" w:after="90"/>
      </w:pPr>
      <w:r>
        <w:rPr>
          <w:b/>
          <w:bCs/>
          <w:color w:val="1A1A1A"/>
          <w:sz w:val="23"/>
          <w:szCs w:val="23"/>
          <w:caps/>
          <w:rFonts w:ascii="Inter" w:cs="Inter" w:eastAsia="Inter" w:hAnsi="Inter"/>
          <w:spacing w:val="12"/>
        </w:rPr>
        <w:t xml:space="preserve">Delivery model</w:t>
      </w:r>
    </w:p>
    <w:p>
      <w:pPr>
        <w:spacing w:after="120" w:line="268"/>
      </w:pPr>
      <w:r>
        <w:rPr>
          <w:b/>
          <w:bCs/>
          <w:color w:val="1A1A1A"/>
          <w:sz w:val="19"/>
          <w:szCs w:val="19"/>
          <w:rFonts w:ascii="Inter" w:cs="Inter" w:eastAsia="Inter" w:hAnsi="Inter"/>
        </w:rPr>
        <w:t xml:space="preserve">Select one. </w:t>
      </w:r>
      <w:r>
        <w:rPr>
          <w:color w:val="1A1A1A"/>
          <w:sz w:val="19"/>
          <w:szCs w:val="19"/>
          <w:rFonts w:ascii="Inter" w:cs="Inter" w:eastAsia="Inter" w:hAnsi="Inter"/>
        </w:rPr>
        <w:t xml:space="preserve">Professional Services are delivered on an MVP1 → MVPx basis: each stage delivers a working, enforced increment rather than a throwaway trial.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226"/>
      </w:tblGrid>
      <w:tr>
        <w:trPr>
          <w:tblHeader/>
        </w:trPr>
        <w:tc>
          <w:tcPr>
            <w:tcW w:type="dxa" w:w="900"/>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b/>
                <w:bCs/>
                <w:color w:val="FFFFFF"/>
                <w:sz w:val="18"/>
                <w:szCs w:val="18"/>
                <w:rFonts w:ascii="Inter" w:cs="Inter" w:eastAsia="Inter" w:hAnsi="Inter"/>
              </w:rPr>
              <w:t xml:space="preserve">Select</w:t>
            </w:r>
          </w:p>
        </w:tc>
        <w:tc>
          <w:tcPr>
            <w:tcW w:type="dxa" w:w="2900"/>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b/>
                <w:bCs/>
                <w:color w:val="FFFFFF"/>
                <w:sz w:val="18"/>
                <w:szCs w:val="18"/>
                <w:rFonts w:ascii="Inter" w:cs="Inter" w:eastAsia="Inter" w:hAnsi="Inter"/>
              </w:rPr>
              <w:t xml:space="preserve">Model</w:t>
            </w:r>
          </w:p>
        </w:tc>
        <w:tc>
          <w:tcPr>
            <w:tcW w:type="dxa" w:w="5226"/>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b/>
                <w:bCs/>
                <w:color w:val="FFFFFF"/>
                <w:sz w:val="18"/>
                <w:szCs w:val="18"/>
                <w:rFonts w:ascii="Inter" w:cs="Inter" w:eastAsia="Inter" w:hAnsi="Inter"/>
              </w:rPr>
              <w:t xml:space="preserve">What it means</w:t>
            </w:r>
          </w:p>
        </w:tc>
      </w:tr>
      <w:tr>
        <w:tc>
          <w:tcPr>
            <w:tcW w:type="dxa" w:w="9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w:t>
            </w:r>
          </w:p>
        </w:tc>
        <w:tc>
          <w:tcPr>
            <w:tcW w:type="dxa" w:w="290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Novagentica-built</w:t>
            </w:r>
          </w:p>
        </w:tc>
        <w:tc>
          <w:tcPr>
            <w:tcW w:type="dxa" w:w="52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Novagentica designs, builds and enforces the agents and delivers them into the Customer’s runtimes.</w:t>
            </w:r>
          </w:p>
        </w:tc>
      </w:tr>
      <w:tr>
        <w:tc>
          <w:tcPr>
            <w:tcW w:type="dxa" w:w="9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w:t>
            </w:r>
          </w:p>
        </w:tc>
        <w:tc>
          <w:tcPr>
            <w:tcW w:type="dxa" w:w="290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Co-build (Agentic Atelier)</w:t>
            </w:r>
          </w:p>
        </w:tc>
        <w:tc>
          <w:tcPr>
            <w:tcW w:type="dxa" w:w="52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Novagentica and the Customer build together; the Customer’s team is upskilled alongside delivery.</w:t>
            </w:r>
          </w:p>
        </w:tc>
      </w:tr>
      <w:tr>
        <w:tc>
          <w:tcPr>
            <w:tcW w:type="dxa" w:w="9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w:t>
            </w:r>
          </w:p>
        </w:tc>
        <w:tc>
          <w:tcPr>
            <w:tcW w:type="dxa" w:w="290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Customer-built + supported</w:t>
            </w:r>
          </w:p>
        </w:tc>
        <w:tc>
          <w:tcPr>
            <w:tcW w:type="dxa" w:w="52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The Customer builds; Novagentica provides enablement, review and enforcement support. Includes ingestion of existing agents.</w:t>
            </w:r>
          </w:p>
        </w:tc>
      </w:tr>
    </w:tbl>
    <w:p>
      <w:pPr>
        <w:keepNext/>
        <w:pBdr>
          <w:bottom w:val="single" w:color="CC0D2C" w:sz="8" w:space="4"/>
        </w:pBdr>
        <w:spacing w:before="300" w:after="90"/>
      </w:pPr>
      <w:r>
        <w:rPr>
          <w:b/>
          <w:bCs/>
          <w:color w:val="1A1A1A"/>
          <w:sz w:val="23"/>
          <w:szCs w:val="23"/>
          <w:caps/>
          <w:rFonts w:ascii="Inter" w:cs="Inter" w:eastAsia="Inter" w:hAnsi="Inter"/>
          <w:spacing w:val="12"/>
        </w:rPr>
        <w:t xml:space="preserve">Professional services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Service / position</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Architect™ MVP1→MVP3 build — RFI/RFQ governance, candidate screening, SAP source-to-PO</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Description</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Reverse-engineer and govern the existing Copilot Studio + LangGraph build; candidate screening on SuccessFactors with human sign-off; SAP source-to-PO on SAP MM. Detailed scope and acceptance criteria in the attached SoW / Appendix 1.</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Order start</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01.07.2026</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Order end</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31.08.2026</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Estimated effort (person-days)</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27 person-days</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Day rate</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CHF 2,500 per person-day</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Fee basis</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 Time &amp; materials against the estimate   ☒ Fixed package price of CHF 67,500</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Estimated / fixed fee</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CHF 67,500 (net, excl. VAT and expenses)</w:t>
            </w:r>
          </w:p>
        </w:tc>
      </w:tr>
    </w:tbl>
    <w:p>
      <w:pPr>
        <w:spacing w:after="60" w:line="268"/>
      </w:pPr>
      <w:r>
        <w:rPr>
          <w:b/>
          <w:bCs/>
          <w:color w:val="1A1A1A"/>
          <w:sz w:val="19"/>
          <w:szCs w:val="19"/>
          <w:rFonts w:ascii="Inter" w:cs="Inter" w:eastAsia="Inter" w:hAnsi="Inter"/>
        </w:rPr>
        <w:t xml:space="preserve">MVP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926"/>
        <w:gridCol w:w="2600"/>
      </w:tblGrid>
      <w:tr>
        <w:trPr>
          <w:tblHeader/>
        </w:trPr>
        <w:tc>
          <w:tcPr>
            <w:tcW w:type="dxa" w:w="1500"/>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b/>
                <w:bCs/>
                <w:color w:val="FFFFFF"/>
                <w:sz w:val="18"/>
                <w:szCs w:val="18"/>
                <w:rFonts w:ascii="Inter" w:cs="Inter" w:eastAsia="Inter" w:hAnsi="Inter"/>
              </w:rPr>
              <w:t xml:space="preserve">Stage</w:t>
            </w:r>
          </w:p>
        </w:tc>
        <w:tc>
          <w:tcPr>
            <w:tcW w:type="dxa" w:w="4926"/>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b/>
                <w:bCs/>
                <w:color w:val="FFFFFF"/>
                <w:sz w:val="18"/>
                <w:szCs w:val="18"/>
                <w:rFonts w:ascii="Inter" w:cs="Inter" w:eastAsia="Inter" w:hAnsi="Inter"/>
              </w:rPr>
              <w:t xml:space="preserve">Outcome delivered &amp; enforced</w:t>
            </w:r>
          </w:p>
        </w:tc>
        <w:tc>
          <w:tcPr>
            <w:tcW w:type="dxa" w:w="2600"/>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b/>
                <w:bCs/>
                <w:color w:val="FFFFFF"/>
                <w:sz w:val="18"/>
                <w:szCs w:val="18"/>
                <w:rFonts w:ascii="Inter" w:cs="Inter" w:eastAsia="Inter" w:hAnsi="Inter"/>
              </w:rPr>
              <w:t xml:space="preserve">Est. effort (days)</w:t>
            </w:r>
          </w:p>
        </w:tc>
      </w:tr>
      <w:tr>
        <w:tc>
          <w:tcPr>
            <w:tcW w:type="dxa" w:w="15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MVP1</w:t>
            </w:r>
          </w:p>
        </w:tc>
        <w:tc>
          <w:tcPr>
            <w:tcW w:type="dxa" w:w="49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RFI/RFQ governance — govern the Copilot Studio + LangGraph build; authority bands encoded as a Decision Contract; every commit gated and Crypto Passport-signed.</w:t>
            </w:r>
          </w:p>
        </w:tc>
        <w:tc>
          <w:tcPr>
            <w:tcW w:type="dxa" w:w="260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2</w:t>
            </w:r>
          </w:p>
        </w:tc>
      </w:tr>
      <w:tr>
        <w:tc>
          <w:tcPr>
            <w:tcW w:type="dxa" w:w="15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MVP2</w:t>
            </w:r>
          </w:p>
        </w:tc>
        <w:tc>
          <w:tcPr>
            <w:tcW w:type="dxa" w:w="49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Candidate screening on SuccessFactors — rank-and-recommend with Article 14 human sign-off (Annex III high-risk; works-council gated).</w:t>
            </w:r>
          </w:p>
        </w:tc>
        <w:tc>
          <w:tcPr>
            <w:tcW w:type="dxa" w:w="260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5</w:t>
            </w:r>
          </w:p>
        </w:tc>
      </w:tr>
      <w:tr>
        <w:tc>
          <w:tcPr>
            <w:tcW w:type="dxa" w:w="15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MVP3</w:t>
            </w:r>
          </w:p>
        </w:tc>
        <w:tc>
          <w:tcPr>
            <w:tcW w:type="dxa" w:w="49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SAP source-to-PO on SAP MM — in-policy purchase orders drawn automatically; out-of-policy escalated; every output signed.</w:t>
            </w:r>
          </w:p>
        </w:tc>
        <w:tc>
          <w:tcPr>
            <w:tcW w:type="dxa" w:w="260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20</w:t>
            </w:r>
          </w:p>
        </w:tc>
      </w:tr>
      <w:tr>
        <w:tc>
          <w:tcPr>
            <w:tcW w:type="dxa" w:w="1500"/>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Total</w:t>
            </w:r>
          </w:p>
        </w:tc>
        <w:tc>
          <w:tcPr>
            <w:tcW w:type="dxa" w:w="4926"/>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color w:val="1A1A1A"/>
                <w:sz w:val="18"/>
                <w:szCs w:val="18"/>
                <w:rFonts w:ascii="Inter" w:cs="Inter" w:eastAsia="Inter" w:hAnsi="Inter"/>
              </w:rPr>
            </w:r>
          </w:p>
        </w:tc>
        <w:tc>
          <w:tcPr>
            <w:tcW w:type="dxa" w:w="2600"/>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jc w:val="center"/>
            </w:pPr>
            <w:r>
              <w:rPr>
                <w:b/>
                <w:bCs/>
                <w:color w:val="1A1A1A"/>
                <w:sz w:val="18"/>
                <w:szCs w:val="18"/>
                <w:rFonts w:ascii="Inter" w:cs="Inter" w:eastAsia="Inter" w:hAnsi="Inter"/>
              </w:rPr>
              <w:t xml:space="preserve">27</w:t>
            </w:r>
          </w:p>
        </w:tc>
      </w:tr>
    </w:tbl>
    <w:p>
      <w:pPr>
        <w:pBdr>
          <w:left w:val="single" w:color="8A6D00" w:sz="18" w:space="10"/>
        </w:pBdr>
        <w:spacing w:after="130" w:line="258"/>
        <w:ind w:left="120"/>
      </w:pPr>
      <w:r>
        <w:rPr>
          <w:b/>
          <w:bCs/>
          <w:i/>
          <w:iCs/>
          <w:color w:val="8A6D00"/>
          <w:sz w:val="16"/>
          <w:szCs w:val="16"/>
          <w:rFonts w:ascii="Inter" w:cs="Inter" w:eastAsia="Inter" w:hAnsi="Inter"/>
        </w:rPr>
        <w:t xml:space="preserve">‹ drafting note › </w:t>
      </w:r>
      <w:r>
        <w:rPr>
          <w:i/>
          <w:iCs/>
          <w:color w:val="8A6D00"/>
          <w:sz w:val="16"/>
          <w:szCs w:val="16"/>
          <w:rFonts w:ascii="Inter" w:cs="Inter" w:eastAsia="Inter" w:hAnsi="Inter"/>
        </w:rPr>
        <w:t xml:space="preserve">Hensoldt MVP plan (27 person-days). MVP2 is conditional on works-council (Betriebsrat) approval — see SoW. Detailed scope and acceptance criteria belong in the SoW / Appendix 1.</w:t>
      </w:r>
    </w:p>
    <w:p>
      <w:pPr>
        <w:keepNext/>
        <w:pBdr>
          <w:bottom w:val="single" w:color="CC0D2C" w:sz="8" w:space="4"/>
        </w:pBdr>
        <w:spacing w:before="300" w:after="90"/>
      </w:pPr>
      <w:r>
        <w:rPr>
          <w:b/>
          <w:bCs/>
          <w:color w:val="1A1A1A"/>
          <w:sz w:val="23"/>
          <w:szCs w:val="23"/>
          <w:caps/>
          <w:rFonts w:ascii="Inter" w:cs="Inter" w:eastAsia="Inter" w:hAnsi="Inter"/>
          <w:spacing w:val="12"/>
        </w:rPr>
        <w:t xml:space="preserve">Travel &amp; expenses</w:t>
      </w:r>
    </w:p>
    <w:p>
      <w:pPr>
        <w:tabs>
          <w:tab w:val="left" w:pos="560"/>
        </w:tabs>
        <w:spacing w:after="100" w:line="268"/>
        <w:ind w:left="560" w:hanging="560"/>
      </w:pPr>
      <w:r>
        <w:rPr>
          <w:color w:val="1A1A1A"/>
          <w:sz w:val="19"/>
          <w:szCs w:val="19"/>
          <w:rFonts w:ascii="Inter" w:cs="Inter" w:eastAsia="Inter" w:hAnsi="Inter"/>
        </w:rPr>
        <w:t xml:space="preserve">1	</w:t>
      </w:r>
      <w:r>
        <w:rPr>
          <w:b/>
          <w:bCs/>
          <w:color w:val="1A1A1A"/>
          <w:sz w:val="19"/>
          <w:szCs w:val="19"/>
          <w:rFonts w:ascii="Inter" w:cs="Inter" w:eastAsia="Inter" w:hAnsi="Inter"/>
        </w:rPr>
        <w:t xml:space="preserve">Expenses.</w:t>
      </w:r>
      <w:r>
        <w:rPr>
          <w:color w:val="1A1A1A"/>
          <w:sz w:val="19"/>
          <w:szCs w:val="19"/>
          <w:rFonts w:ascii="Inter" w:cs="Inter" w:eastAsia="Inter" w:hAnsi="Inter"/>
        </w:rPr>
        <w:t xml:space="preserve"> Travel expenses are reimbursed based on actual costs incurred and upon presentation of relevant receipts. The use of a private car will be reimbursed at CHF 0.70 per km, up to a maximum of 500 km/day, only if there is no economically reasonable train or flight connection. Economy class (train 2nd class / air), rental cars up to mid-range class. Accommodation up to CHF 140 (Switzerland) / CHF 190 (abroad) against receipt. Additional meal expenses at applicable statutory flat rates. Other incidental expenses (parking, tolls, etc.) against proof.</w:t>
      </w:r>
    </w:p>
    <w:p>
      <w:pPr>
        <w:keepNext/>
        <w:pBdr>
          <w:bottom w:val="single" w:color="CC0D2C" w:sz="8" w:space="4"/>
        </w:pBdr>
        <w:spacing w:before="300" w:after="90"/>
      </w:pPr>
      <w:r>
        <w:rPr>
          <w:b/>
          <w:bCs/>
          <w:color w:val="1A1A1A"/>
          <w:sz w:val="23"/>
          <w:szCs w:val="23"/>
          <w:caps/>
          <w:rFonts w:ascii="Inter" w:cs="Inter" w:eastAsia="Inter" w:hAnsi="Inter"/>
          <w:spacing w:val="12"/>
        </w:rPr>
        <w:t xml:space="preserve">Change control</w:t>
      </w:r>
    </w:p>
    <w:p>
      <w:pPr>
        <w:tabs>
          <w:tab w:val="left" w:pos="560"/>
        </w:tabs>
        <w:spacing w:after="100" w:line="268"/>
        <w:ind w:left="560" w:hanging="560"/>
      </w:pPr>
      <w:r>
        <w:rPr>
          <w:color w:val="1A1A1A"/>
          <w:sz w:val="19"/>
          <w:szCs w:val="19"/>
          <w:rFonts w:ascii="Inter" w:cs="Inter" w:eastAsia="Inter" w:hAnsi="Inter"/>
        </w:rPr>
        <w:t xml:space="preserve">1	</w:t>
      </w:r>
      <w:r>
        <w:rPr>
          <w:color w:val="1A1A1A"/>
          <w:sz w:val="19"/>
          <w:szCs w:val="19"/>
          <w:rFonts w:ascii="Inter" w:cs="Inter" w:eastAsia="Inter" w:hAnsi="Inter"/>
        </w:rPr>
        <w:t xml:space="preserve">Work outside the agreed scope is performed only under a written Change Order signed by both parties before it starts (this mirrors MSA clause 5.4). No out-of-scope work proceeds on the basis of email or verbal agreement alone.</w:t>
      </w:r>
    </w:p>
    <w:p>
      <w:pPr>
        <w:keepNext/>
        <w:pBdr>
          <w:bottom w:val="single" w:color="CC0D2C" w:sz="8" w:space="4"/>
        </w:pBdr>
        <w:spacing w:before="300" w:after="90"/>
      </w:pPr>
      <w:r>
        <w:rPr>
          <w:b/>
          <w:bCs/>
          <w:color w:val="1A1A1A"/>
          <w:sz w:val="23"/>
          <w:szCs w:val="23"/>
          <w:caps/>
          <w:rFonts w:ascii="Inter" w:cs="Inter" w:eastAsia="Inter" w:hAnsi="Inter"/>
          <w:spacing w:val="12"/>
        </w:rPr>
        <w:t xml:space="preserve">Payment schedule</w:t>
      </w:r>
    </w:p>
    <w:p>
      <w:pPr>
        <w:spacing w:after="120" w:line="268"/>
      </w:pPr>
      <w:r>
        <w:rPr>
          <w:color w:val="1A1A1A"/>
          <w:sz w:val="19"/>
          <w:szCs w:val="19"/>
          <w:rFonts w:ascii="Inter" w:cs="Inter" w:eastAsia="Inter" w:hAnsi="Inter"/>
        </w:rPr>
        <w:t xml:space="preserve">For this engagement the Professional Services are a fixed package price of CHF 67,500, payable 100% on the Effective Date (01.07.2026). Foundation, AQVP™ certification and engagement management are absorbed within each MVP and are not billed separately. Indicative ± 15%, fixed at SoW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226"/>
        <w:gridCol w:w="2400"/>
      </w:tblGrid>
      <w:tr>
        <w:trPr>
          <w:tblHeader/>
        </w:trPr>
        <w:tc>
          <w:tcPr>
            <w:tcW w:type="dxa" w:w="2400"/>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b/>
                <w:bCs/>
                <w:color w:val="FFFFFF"/>
                <w:sz w:val="18"/>
                <w:szCs w:val="18"/>
                <w:rFonts w:ascii="Inter" w:cs="Inter" w:eastAsia="Inter" w:hAnsi="Inter"/>
              </w:rPr>
              <w:t xml:space="preserve">Date</w:t>
            </w:r>
          </w:p>
        </w:tc>
        <w:tc>
          <w:tcPr>
            <w:tcW w:type="dxa" w:w="4226"/>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b/>
                <w:bCs/>
                <w:color w:val="FFFFFF"/>
                <w:sz w:val="18"/>
                <w:szCs w:val="18"/>
                <w:rFonts w:ascii="Inter" w:cs="Inter" w:eastAsia="Inter" w:hAnsi="Inter"/>
              </w:rPr>
              <w:t xml:space="preserve">Service / description</w:t>
            </w:r>
          </w:p>
        </w:tc>
        <w:tc>
          <w:tcPr>
            <w:tcW w:type="dxa" w:w="2400"/>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b/>
                <w:bCs/>
                <w:color w:val="FFFFFF"/>
                <w:sz w:val="18"/>
                <w:szCs w:val="18"/>
                <w:rFonts w:ascii="Inter" w:cs="Inter" w:eastAsia="Inter" w:hAnsi="Inter"/>
              </w:rPr>
              <w:t xml:space="preserve">Amount (net, excl. VAT)</w:t>
            </w:r>
          </w:p>
        </w:tc>
      </w:tr>
      <w:tr>
        <w:tc>
          <w:tcPr>
            <w:tcW w:type="dxa" w:w="240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01.07.2026</w:t>
            </w:r>
          </w:p>
        </w:tc>
        <w:tc>
          <w:tcPr>
            <w:tcW w:type="dxa" w:w="42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Professional Services — fixed package price, 100% on the Effective Date</w:t>
            </w:r>
          </w:p>
        </w:tc>
        <w:tc>
          <w:tcPr>
            <w:tcW w:type="dxa" w:w="240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right"/>
            </w:pPr>
            <w:r>
              <w:rPr>
                <w:color w:val="1A1A1A"/>
                <w:sz w:val="18"/>
                <w:szCs w:val="18"/>
                <w:rFonts w:ascii="Inter" w:cs="Inter" w:eastAsia="Inter" w:hAnsi="Inter"/>
              </w:rPr>
              <w:t xml:space="preserve">CHF 67,500</w:t>
            </w:r>
          </w:p>
        </w:tc>
      </w:tr>
    </w:tbl>
    <w:p>
      <w:pPr>
        <w:keepNext/>
        <w:pBdr>
          <w:bottom w:val="single" w:color="CC0D2C" w:sz="8" w:space="4"/>
        </w:pBdr>
        <w:spacing w:before="300" w:after="90"/>
      </w:pPr>
      <w:r>
        <w:rPr>
          <w:b/>
          <w:bCs/>
          <w:color w:val="1A1A1A"/>
          <w:sz w:val="23"/>
          <w:szCs w:val="23"/>
          <w:caps/>
          <w:rFonts w:ascii="Inter" w:cs="Inter" w:eastAsia="Inter" w:hAnsi="Inter"/>
          <w:spacing w:val="12"/>
        </w:rPr>
        <w:t xml:space="preserve">Payment terms</w:t>
      </w:r>
    </w:p>
    <w:p>
      <w:pPr>
        <w:tabs>
          <w:tab w:val="left" w:pos="560"/>
        </w:tabs>
        <w:spacing w:after="100" w:line="268"/>
        <w:ind w:left="560" w:hanging="560"/>
      </w:pPr>
      <w:r>
        <w:rPr>
          <w:color w:val="1A1A1A"/>
          <w:sz w:val="19"/>
          <w:szCs w:val="19"/>
          <w:rFonts w:ascii="Inter" w:cs="Inter" w:eastAsia="Inter" w:hAnsi="Inter"/>
        </w:rPr>
        <w:t xml:space="preserve">1	</w:t>
      </w:r>
      <w:r>
        <w:rPr>
          <w:b/>
          <w:bCs/>
          <w:color w:val="1A1A1A"/>
          <w:sz w:val="19"/>
          <w:szCs w:val="19"/>
          <w:rFonts w:ascii="Inter" w:cs="Inter" w:eastAsia="Inter" w:hAnsi="Inter"/>
        </w:rPr>
        <w:t xml:space="preserve">Terms.</w:t>
      </w:r>
      <w:r>
        <w:rPr>
          <w:color w:val="1A1A1A"/>
          <w:sz w:val="19"/>
          <w:szCs w:val="19"/>
          <w:rFonts w:ascii="Inter" w:cs="Inter" w:eastAsia="Inter" w:hAnsi="Inter"/>
        </w:rPr>
        <w:t xml:space="preserve"> Net 14 days from the date of a valid invoice. Invoices are issued electronically (PDF). All amounts are net and exclusive of applicable VAT.</w:t>
      </w:r>
    </w:p>
    <w:p>
      <w:pPr>
        <w:tabs>
          <w:tab w:val="left" w:pos="560"/>
        </w:tabs>
        <w:spacing w:after="100" w:line="268"/>
        <w:ind w:left="560" w:hanging="560"/>
      </w:pPr>
      <w:r>
        <w:rPr>
          <w:color w:val="1A1A1A"/>
          <w:sz w:val="19"/>
          <w:szCs w:val="19"/>
          <w:rFonts w:ascii="Inter" w:cs="Inter" w:eastAsia="Inter" w:hAnsi="Inter"/>
        </w:rPr>
        <w:t xml:space="preserve">2	</w:t>
      </w:r>
      <w:r>
        <w:rPr>
          <w:b/>
          <w:bCs/>
          <w:color w:val="1A1A1A"/>
          <w:sz w:val="19"/>
          <w:szCs w:val="19"/>
          <w:rFonts w:ascii="Inter" w:cs="Inter" w:eastAsia="Inter" w:hAnsi="Inter"/>
        </w:rPr>
        <w:t xml:space="preserve">Late payment.</w:t>
      </w:r>
      <w:r>
        <w:rPr>
          <w:color w:val="1A1A1A"/>
          <w:sz w:val="19"/>
          <w:szCs w:val="19"/>
          <w:rFonts w:ascii="Inter" w:cs="Inter" w:eastAsia="Inter" w:hAnsi="Inter"/>
        </w:rPr>
        <w:t xml:space="preserve"> Overdue amounts accrue interest at 5% per annum above the Swiss National Bank policy rate, or the maximum permitted by law if lower (per the MSA).</w:t>
      </w:r>
    </w:p>
    <w:p>
      <w:pPr>
        <w:tabs>
          <w:tab w:val="left" w:pos="560"/>
        </w:tabs>
        <w:spacing w:after="100" w:line="268"/>
        <w:ind w:left="560" w:hanging="560"/>
      </w:pPr>
      <w:r>
        <w:rPr>
          <w:color w:val="1A1A1A"/>
          <w:sz w:val="19"/>
          <w:szCs w:val="19"/>
          <w:rFonts w:ascii="Inter" w:cs="Inter" w:eastAsia="Inter" w:hAnsi="Inter"/>
        </w:rPr>
        <w:t xml:space="preserve">3	</w:t>
      </w:r>
      <w:r>
        <w:rPr>
          <w:b/>
          <w:bCs/>
          <w:color w:val="1A1A1A"/>
          <w:sz w:val="19"/>
          <w:szCs w:val="19"/>
          <w:rFonts w:ascii="Inter" w:cs="Inter" w:eastAsia="Inter" w:hAnsi="Inter"/>
        </w:rPr>
        <w:t xml:space="preserve">Purchase orders.</w:t>
      </w:r>
      <w:r>
        <w:rPr>
          <w:color w:val="1A1A1A"/>
          <w:sz w:val="19"/>
          <w:szCs w:val="19"/>
          <w:rFonts w:ascii="Inter" w:cs="Inter" w:eastAsia="Inter" w:hAnsi="Inter"/>
        </w:rPr>
        <w:t xml:space="preserve"> If the Customer requires a Purchase Order, it must be provided at least seven (7) days before the start of the service term. If it is not, Novagentica may invoice on the basis of this Order Form and the Customer remains obliged to pay.</w:t>
      </w:r>
    </w:p>
    <w:p>
      <w:pPr>
        <w:keepNext/>
        <w:pBdr>
          <w:bottom w:val="single" w:color="CC0D2C" w:sz="8" w:space="4"/>
        </w:pBdr>
        <w:spacing w:before="300" w:after="90"/>
      </w:pPr>
      <w:r>
        <w:rPr>
          <w:b/>
          <w:bCs/>
          <w:color w:val="1A1A1A"/>
          <w:sz w:val="23"/>
          <w:szCs w:val="23"/>
          <w:caps/>
          <w:rFonts w:ascii="Inter" w:cs="Inter" w:eastAsia="Inter" w:hAnsi="Inter"/>
          <w:spacing w:val="12"/>
        </w:rPr>
        <w:t xml:space="preserve">Purchase-order requirements</w:t>
      </w:r>
    </w:p>
    <w:p>
      <w:pPr>
        <w:spacing w:after="120" w:line="268"/>
      </w:pPr>
      <w:r>
        <w:rPr>
          <w:color w:val="1A1A1A"/>
          <w:sz w:val="19"/>
          <w:szCs w:val="19"/>
          <w:rFonts w:ascii="Inter" w:cs="Inter" w:eastAsia="Inter" w:hAnsi="Inter"/>
        </w:rPr>
        <w:t xml:space="preserve">Is a Purchase Order required (to be completed by the Customer)?  </w:t>
      </w:r>
      <w:r>
        <w:rPr>
          <w:b/>
          <w:bCs/>
          <w:color w:val="1A1A1A"/>
          <w:sz w:val="19"/>
          <w:szCs w:val="19"/>
          <w:rFonts w:ascii="Inter" w:cs="Inter" w:eastAsia="Inter" w:hAnsi="Inter"/>
        </w:rPr>
        <w:t xml:space="preserve">☐ No   ☐ Yes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PO number</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 ]</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PO amount</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CHF [ ]</w:t>
            </w:r>
          </w:p>
        </w:tc>
      </w:tr>
    </w:tbl>
    <w:p>
      <w:pPr>
        <w:keepNext/>
        <w:pBdr>
          <w:bottom w:val="single" w:color="CC0D2C" w:sz="8" w:space="4"/>
        </w:pBdr>
        <w:spacing w:before="300" w:after="90"/>
      </w:pPr>
      <w:r>
        <w:rPr>
          <w:b/>
          <w:bCs/>
          <w:color w:val="1A1A1A"/>
          <w:sz w:val="23"/>
          <w:szCs w:val="23"/>
          <w:caps/>
          <w:rFonts w:ascii="Inter" w:cs="Inter" w:eastAsia="Inter" w:hAnsi="Inter"/>
          <w:spacing w:val="12"/>
        </w:rPr>
        <w:t xml:space="preserve">Confidentiality</w:t>
      </w:r>
    </w:p>
    <w:p>
      <w:pPr>
        <w:spacing w:after="120" w:line="268"/>
      </w:pPr>
      <w:r>
        <w:rPr>
          <w:color w:val="1A1A1A"/>
          <w:sz w:val="19"/>
          <w:szCs w:val="19"/>
          <w:rFonts w:ascii="Inter" w:cs="Inter" w:eastAsia="Inter" w:hAnsi="Inter"/>
        </w:rPr>
        <w:t xml:space="preserve">This Order Form and its contents are confidential. The confidentiality obligations of the MSA apply to it; each party protects the other’s confidential information on the terms set out there.</w:t>
      </w:r>
    </w:p>
    <w:p>
      <w:pPr>
        <w:keepNext/>
        <w:pBdr>
          <w:bottom w:val="single" w:color="CC0D2C" w:sz="8" w:space="4"/>
        </w:pBdr>
        <w:spacing w:before="300" w:after="90"/>
      </w:pPr>
      <w:r>
        <w:rPr>
          <w:b/>
          <w:bCs/>
          <w:color w:val="1A1A1A"/>
          <w:sz w:val="23"/>
          <w:szCs w:val="23"/>
          <w:caps/>
          <w:rFonts w:ascii="Inter" w:cs="Inter" w:eastAsia="Inter" w:hAnsi="Inter"/>
          <w:spacing w:val="12"/>
        </w:rPr>
        <w:t xml:space="preserve">Special provisions &amp; relationship to the MSA</w:t>
      </w:r>
    </w:p>
    <w:p>
      <w:pPr>
        <w:tabs>
          <w:tab w:val="left" w:pos="560"/>
        </w:tabs>
        <w:spacing w:after="100" w:line="268"/>
        <w:ind w:left="560" w:hanging="560"/>
      </w:pPr>
      <w:r>
        <w:rPr>
          <w:color w:val="1A1A1A"/>
          <w:sz w:val="19"/>
          <w:szCs w:val="19"/>
          <w:rFonts w:ascii="Inter" w:cs="Inter" w:eastAsia="Inter" w:hAnsi="Inter"/>
        </w:rPr>
        <w:t xml:space="preserve">1	</w:t>
      </w:r>
      <w:r>
        <w:rPr>
          <w:b/>
          <w:bCs/>
          <w:color w:val="1A1A1A"/>
          <w:sz w:val="19"/>
          <w:szCs w:val="19"/>
          <w:rFonts w:ascii="Inter" w:cs="Inter" w:eastAsia="Inter" w:hAnsi="Inter"/>
        </w:rPr>
        <w:t xml:space="preserve">Incorporation.</w:t>
      </w:r>
      <w:r>
        <w:rPr>
          <w:color w:val="1A1A1A"/>
          <w:sz w:val="19"/>
          <w:szCs w:val="19"/>
          <w:rFonts w:ascii="Inter" w:cs="Inter" w:eastAsia="Inter" w:hAnsi="Inter"/>
        </w:rPr>
        <w:t xml:space="preserve"> This Order Form is a separate contract that incorporates and is subject to the MSA. Capitalised terms have the meanings given in the MSA unless defined otherwise here.</w:t>
      </w:r>
    </w:p>
    <w:p>
      <w:pPr>
        <w:tabs>
          <w:tab w:val="left" w:pos="560"/>
        </w:tabs>
        <w:spacing w:after="100" w:line="268"/>
        <w:ind w:left="560" w:hanging="560"/>
      </w:pPr>
      <w:r>
        <w:rPr>
          <w:color w:val="1A1A1A"/>
          <w:sz w:val="19"/>
          <w:szCs w:val="19"/>
          <w:rFonts w:ascii="Inter" w:cs="Inter" w:eastAsia="Inter" w:hAnsi="Inter"/>
        </w:rPr>
        <w:t xml:space="preserve">2	</w:t>
      </w:r>
      <w:r>
        <w:rPr>
          <w:b/>
          <w:bCs/>
          <w:color w:val="1A1A1A"/>
          <w:sz w:val="19"/>
          <w:szCs w:val="19"/>
          <w:rFonts w:ascii="Inter" w:cs="Inter" w:eastAsia="Inter" w:hAnsi="Inter"/>
        </w:rPr>
        <w:t xml:space="preserve">Order of precedence.</w:t>
      </w:r>
      <w:r>
        <w:rPr>
          <w:color w:val="1A1A1A"/>
          <w:sz w:val="19"/>
          <w:szCs w:val="19"/>
          <w:rFonts w:ascii="Inter" w:cs="Inter" w:eastAsia="Inter" w:hAnsi="Inter"/>
        </w:rPr>
        <w:t xml:space="preserve"> If there is a conflict, the following order applies: (a) the DPA, for personal data; (b) this Order Form, for the commercial terms it covers; (c) the MSA; and (d) the Service Description and Documentation.</w:t>
      </w:r>
    </w:p>
    <w:p>
      <w:pPr>
        <w:tabs>
          <w:tab w:val="left" w:pos="560"/>
        </w:tabs>
        <w:spacing w:after="100" w:line="268"/>
        <w:ind w:left="560" w:hanging="560"/>
      </w:pPr>
      <w:r>
        <w:rPr>
          <w:color w:val="1A1A1A"/>
          <w:sz w:val="19"/>
          <w:szCs w:val="19"/>
          <w:rFonts w:ascii="Inter" w:cs="Inter" w:eastAsia="Inter" w:hAnsi="Inter"/>
        </w:rPr>
        <w:t xml:space="preserve">3	</w:t>
      </w:r>
      <w:r>
        <w:rPr>
          <w:b/>
          <w:bCs/>
          <w:color w:val="1A1A1A"/>
          <w:sz w:val="19"/>
          <w:szCs w:val="19"/>
          <w:rFonts w:ascii="Inter" w:cs="Inter" w:eastAsia="Inter" w:hAnsi="Inter"/>
        </w:rPr>
        <w:t xml:space="preserve">Standard of performance.</w:t>
      </w:r>
      <w:r>
        <w:rPr>
          <w:color w:val="1A1A1A"/>
          <w:sz w:val="19"/>
          <w:szCs w:val="19"/>
          <w:rFonts w:ascii="Inter" w:cs="Inter" w:eastAsia="Inter" w:hAnsi="Inter"/>
        </w:rPr>
        <w:t xml:space="preserve"> Novagentica performs the Professional Services with reasonable skill and care, using suitably qualified personnel, as set out in the MSA. Customer dependencies (timely access, information, decisions, personnel) may affect timelines and fees.</w:t>
      </w:r>
    </w:p>
    <w:p>
      <w:pPr>
        <w:tabs>
          <w:tab w:val="left" w:pos="560"/>
        </w:tabs>
        <w:spacing w:after="100" w:line="268"/>
        <w:ind w:left="560" w:hanging="560"/>
      </w:pPr>
      <w:r>
        <w:rPr>
          <w:color w:val="1A1A1A"/>
          <w:sz w:val="19"/>
          <w:szCs w:val="19"/>
          <w:rFonts w:ascii="Inter" w:cs="Inter" w:eastAsia="Inter" w:hAnsi="Inter"/>
        </w:rPr>
        <w:t xml:space="preserve">4	</w:t>
      </w:r>
      <w:r>
        <w:rPr>
          <w:b/>
          <w:bCs/>
          <w:color w:val="1A1A1A"/>
          <w:sz w:val="19"/>
          <w:szCs w:val="19"/>
          <w:rFonts w:ascii="Inter" w:cs="Inter" w:eastAsia="Inter" w:hAnsi="Inter"/>
        </w:rPr>
        <w:t xml:space="preserve">Fixed price &amp; relationship to licence.</w:t>
      </w:r>
      <w:r>
        <w:rPr>
          <w:color w:val="1A1A1A"/>
          <w:sz w:val="19"/>
          <w:szCs w:val="19"/>
          <w:rFonts w:ascii="Inter" w:cs="Inter" w:eastAsia="Inter" w:hAnsi="Inter"/>
        </w:rPr>
        <w:t xml:space="preserve"> The fee is a fixed package price (indicative ± 15%, fixed at SoW sign-off). The platform licence is quoted separately under Order Form 2026-NVG-HE-SC-001.</w:t>
      </w:r>
    </w:p>
    <w:p>
      <w:pPr>
        <w:keepNext/>
        <w:pBdr>
          <w:bottom w:val="single" w:color="CC0D2C" w:sz="8" w:space="4"/>
        </w:pBdr>
        <w:spacing w:before="300" w:after="90"/>
      </w:pPr>
      <w:r>
        <w:rPr>
          <w:b/>
          <w:bCs/>
          <w:color w:val="1A1A1A"/>
          <w:sz w:val="23"/>
          <w:szCs w:val="23"/>
          <w:caps/>
          <w:rFonts w:ascii="Inter" w:cs="Inter" w:eastAsia="Inter" w:hAnsi="Inter"/>
          <w:spacing w:val="12"/>
        </w:rPr>
        <w:t xml:space="preserve">Signatures</w:t>
      </w:r>
    </w:p>
    <w:p>
      <w:pPr>
        <w:spacing w:after="120" w:line="268"/>
      </w:pPr>
      <w:r>
        <w:rPr>
          <w:color w:val="1A1A1A"/>
          <w:sz w:val="18"/>
          <w:szCs w:val="18"/>
          <w:rFonts w:ascii="Inter" w:cs="Inter" w:eastAsia="Inter" w:hAnsi="Inter"/>
        </w:rPr>
        <w:t xml:space="preserve">By signing, each party agrees to this Order Form under the MSA identified above. Each signatory warrants they are authorised to bind their organisation.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8D8D2" w:sz="2"/>
              <w:left w:val="single" w:color="D8D8D2" w:sz="2"/>
              <w:bottom w:val="single" w:color="D8D8D2" w:sz="2"/>
              <w:right w:val="single" w:color="D8D8D2" w:sz="2"/>
            </w:tcBorders>
            <w:tcMar>
              <w:top w:type="dxa" w:w="120"/>
              <w:left w:type="dxa" w:w="160"/>
              <w:bottom w:type="dxa" w:w="200"/>
              <w:right w:type="dxa" w:w="160"/>
            </w:tcMar>
          </w:tcPr>
          <w:p>
            <w:r>
              <w:rPr>
                <w:b/>
                <w:bCs/>
                <w:color w:val="CC0D2C"/>
                <w:sz w:val="19"/>
                <w:szCs w:val="19"/>
                <w:rFonts w:ascii="Inter" w:cs="Inter" w:eastAsia="Inter" w:hAnsi="Inter"/>
              </w:rPr>
              <w:t xml:space="preserve">For Novagentica AG</w:t>
            </w:r>
          </w:p>
          <w:p>
            <w:pPr>
              <w:pBdr>
                <w:bottom w:val="single" w:color="1A1A1A" w:sz="6" w:space="2"/>
              </w:pBdr>
              <w:spacing w:before="360" w:after="20"/>
            </w:pPr>
          </w:p>
          <w:p>
            <w:pPr>
              <w:spacing w:after="140"/>
            </w:pPr>
            <w:r>
              <w:rPr>
                <w:color w:val="8C8C8C"/>
                <w:sz w:val="16"/>
                <w:szCs w:val="16"/>
                <w:rFonts w:ascii="Inter" w:cs="Inter" w:eastAsia="Inter" w:hAnsi="Inter"/>
              </w:rPr>
              <w:t xml:space="preserve">Signature / Date</w:t>
            </w:r>
          </w:p>
          <w:p>
            <w:pPr>
              <w:pBdr>
                <w:bottom w:val="single" w:color="1A1A1A" w:sz="6" w:space="2"/>
              </w:pBdr>
              <w:spacing w:before="360" w:after="20"/>
            </w:pPr>
          </w:p>
          <w:p>
            <w:pPr>
              <w:spacing w:after="140"/>
            </w:pPr>
            <w:r>
              <w:rPr>
                <w:color w:val="8C8C8C"/>
                <w:sz w:val="16"/>
                <w:szCs w:val="16"/>
                <w:rFonts w:ascii="Inter" w:cs="Inter" w:eastAsia="Inter" w:hAnsi="Inter"/>
              </w:rPr>
              <w:t xml:space="preserve">Name / Title</w:t>
            </w:r>
          </w:p>
        </w:tc>
        <w:tc>
          <w:tcPr>
            <w:tcW w:type="dxa" w:w="4513"/>
            <w:tcBorders>
              <w:top w:val="single" w:color="D8D8D2" w:sz="2"/>
              <w:left w:val="single" w:color="D8D8D2" w:sz="2"/>
              <w:bottom w:val="single" w:color="D8D8D2" w:sz="2"/>
              <w:right w:val="single" w:color="D8D8D2" w:sz="2"/>
            </w:tcBorders>
            <w:tcMar>
              <w:top w:type="dxa" w:w="120"/>
              <w:left w:type="dxa" w:w="160"/>
              <w:bottom w:type="dxa" w:w="200"/>
              <w:right w:type="dxa" w:w="160"/>
            </w:tcMar>
          </w:tcPr>
          <w:p>
            <w:r>
              <w:rPr>
                <w:b/>
                <w:bCs/>
                <w:color w:val="CC0D2C"/>
                <w:sz w:val="19"/>
                <w:szCs w:val="19"/>
                <w:rFonts w:ascii="Inter" w:cs="Inter" w:eastAsia="Inter" w:hAnsi="Inter"/>
              </w:rPr>
              <w:t xml:space="preserve">For HENSOLDT AG</w:t>
            </w:r>
          </w:p>
          <w:p>
            <w:pPr>
              <w:pBdr>
                <w:bottom w:val="single" w:color="1A1A1A" w:sz="6" w:space="2"/>
              </w:pBdr>
              <w:spacing w:before="360" w:after="20"/>
            </w:pPr>
          </w:p>
          <w:p>
            <w:pPr>
              <w:spacing w:after="140"/>
            </w:pPr>
            <w:r>
              <w:rPr>
                <w:color w:val="8C8C8C"/>
                <w:sz w:val="16"/>
                <w:szCs w:val="16"/>
                <w:rFonts w:ascii="Inter" w:cs="Inter" w:eastAsia="Inter" w:hAnsi="Inter"/>
              </w:rPr>
              <w:t xml:space="preserve">Signature / Date</w:t>
            </w:r>
          </w:p>
          <w:p>
            <w:pPr>
              <w:pBdr>
                <w:bottom w:val="single" w:color="1A1A1A" w:sz="6" w:space="2"/>
              </w:pBdr>
              <w:spacing w:before="360" w:after="20"/>
            </w:pPr>
          </w:p>
          <w:p>
            <w:pPr>
              <w:spacing w:after="140"/>
            </w:pPr>
            <w:r>
              <w:rPr>
                <w:color w:val="8C8C8C"/>
                <w:sz w:val="16"/>
                <w:szCs w:val="16"/>
                <w:rFonts w:ascii="Inter" w:cs="Inter" w:eastAsia="Inter" w:hAnsi="Inter"/>
              </w:rPr>
              <w:t xml:space="preserve">Name / Title</w:t>
            </w:r>
          </w:p>
        </w:tc>
      </w:tr>
    </w:tbl>
    <w:sectPr>
      <w:headerReference w:type="default" r:id="rId6"/>
      <w:footerReference w:type="default" r:id="rId7"/>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8D2" w:sz="4" w:space="4"/>
      </w:pBdr>
      <w:tabs>
        <w:tab w:val="right" w:pos="9026"/>
      </w:tabs>
    </w:pPr>
    <w:r>
      <w:rPr>
        <w:color w:val="8C8C8C"/>
        <w:sz w:val="13"/>
        <w:szCs w:val="13"/>
        <w:rFonts w:ascii="Inter" w:cs="Inter" w:eastAsia="Inter" w:hAnsi="Inter"/>
      </w:rPr>
      <w:t xml:space="preserve">Novagentica AG · Küssnacht am Rigi, Switzerland · Subject to the MSA; Swiss law, Zurich courts</w:t>
    </w:r>
    <w:r>
      <w:rPr>
        <w:color w:val="8C8C8C"/>
        <w:sz w:val="13"/>
        <w:szCs w:val="13"/>
        <w:rFonts w:ascii="Inter" w:cs="Inter" w:eastAsia="Inter" w:hAnsi="Inter"/>
      </w:rPr>
      <w:t xml:space="preserve">	Page </w:t>
    </w:r>
    <w:r>
      <w:rPr>
        <w:color w:val="8C8C8C"/>
        <w:sz w:val="13"/>
        <w:szCs w:val="13"/>
        <w:rFonts w:ascii="Inter" w:cs="Inter" w:eastAsia="Inter" w:hAnsi="Inter"/>
      </w:rPr>
      <w:fldChar w:fldCharType="begin"/>
      <w:instrText xml:space="preserve">PAGE</w:instrText>
      <w:fldChar w:fldCharType="separate"/>
      <w:fldChar w:fldCharType="end"/>
    </w:r>
    <w:r>
      <w:rPr>
        <w:color w:val="8C8C8C"/>
        <w:sz w:val="13"/>
        <w:szCs w:val="13"/>
        <w:rFonts w:ascii="Inter" w:cs="Inter" w:eastAsia="Inter" w:hAnsi="Inter"/>
      </w:rPr>
      <w:t xml:space="preserve"> of </w:t>
    </w:r>
    <w:r>
      <w:rPr>
        <w:color w:val="8C8C8C"/>
        <w:sz w:val="13"/>
        <w:szCs w:val="13"/>
        <w:rFonts w:ascii="Inter" w:cs="Inter" w:eastAsia="Inter" w:hAnsi="Inter"/>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0D2C" w:sz="6" w:space="4"/>
      </w:pBdr>
      <w:tabs>
        <w:tab w:val="right" w:pos="9026"/>
      </w:tabs>
      <w:spacing w:after="0"/>
    </w:pPr>
    <w:r>
      <w:rPr>
        <w:b/>
        <w:bCs/>
        <w:color w:val="CC0D2C"/>
        <w:sz w:val="16"/>
        <w:szCs w:val="16"/>
        <w:rFonts w:ascii="Inter" w:cs="Inter" w:eastAsia="Inter" w:hAnsi="Inter"/>
        <w:spacing w:val="-6"/>
      </w:rPr>
      <w:t xml:space="preserve">novagentica</w:t>
    </w:r>
    <w:r>
      <w:rPr>
        <w:color w:val="8C8C8C"/>
        <w:sz w:val="14"/>
        <w:szCs w:val="14"/>
        <w:rFonts w:ascii="Inter" w:cs="Inter" w:eastAsia="Inter" w:hAnsi="Inter"/>
      </w:rPr>
      <w:t xml:space="preserve">	Order Form · Professional Services · Hensoldt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19"/>
        <w:szCs w:val="19"/>
        <w:rFonts w:ascii="Inter" w:cs="Inter" w:eastAsia="Inter" w:hAnsi="Inter"/>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Novagentica Order Form — Professional Services — HENSOLDT AG</dc:title>
  <dc:creator>Novagentica AG</dc:creator>
  <cp:lastModifiedBy>Un-named</cp:lastModifiedBy>
  <cp:revision>1</cp:revision>
  <dcterms:created xsi:type="dcterms:W3CDTF">2026-06-25T15:10:24.930Z</dcterms:created>
  <dcterms:modified xsi:type="dcterms:W3CDTF">2026-06-25T15:10:24.930Z</dcterms:modified>
</cp:coreProperties>
</file>

<file path=docProps/custom.xml><?xml version="1.0" encoding="utf-8"?>
<Properties xmlns="http://schemas.openxmlformats.org/officeDocument/2006/custom-properties" xmlns:vt="http://schemas.openxmlformats.org/officeDocument/2006/docPropsVTypes"/>
</file>