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BF6"/>
  <w:body>
    <w:p>
      <w:pPr>
        <w:spacing w:after="200" w:before="40"/>
      </w:pPr>
      <w:r>
        <w:rPr>
          <w:rFonts w:ascii="Inter" w:hAnsi="Inter"/>
          <w:b/>
          <w:color w:val="CC0D2C"/>
          <w:sz w:val="34"/>
        </w:rPr>
        <w:t>Decision Memo: Choose Deel or Rippling as the single managed vendor for Novagentica's HR·IT·EOR·Payroll stack (3→30 ramp, 2-yr term)</w:t>
      </w:r>
    </w:p>
    <w:p>
      <w:r>
        <w:rPr>
          <w:rFonts w:ascii="Georgia" w:hAnsi="Georgia"/>
          <w:b/>
          <w:color w:val="0E0E0C"/>
          <w:sz w:val="22"/>
        </w:rPr>
        <w:t>Status:</w:t>
      </w:r>
      <w:r>
        <w:rPr>
          <w:rFonts w:ascii="Georgia" w:hAnsi="Georgia"/>
          <w:color w:val="5C5C58"/>
          <w:sz w:val="22"/>
        </w:rPr>
        <w:t xml:space="preserve"> DECIDED — Deel selected (2026-06-24); counter-signature gated on §12 diligence. Two-model cross-eval (CrossEval v3 — Claude + Gemini): 🟡 PAUSE — vendor confirmed by both models; clear the four diligence items (security-ops, implementation references, DE country fee, device-lease terms) before signing.</w:t>
      </w:r>
    </w:p>
    <w:p>
      <w:r>
        <w:rPr>
          <w:rFonts w:ascii="Georgia" w:hAnsi="Georgia"/>
          <w:b/>
          <w:color w:val="0E0E0C"/>
          <w:sz w:val="22"/>
        </w:rPr>
        <w:t>Owner:</w:t>
      </w:r>
      <w:r>
        <w:rPr>
          <w:rFonts w:ascii="Georgia" w:hAnsi="Georgia"/>
          <w:color w:val="5C5C58"/>
          <w:sz w:val="22"/>
        </w:rPr>
        <w:t xml:space="preserve"> Shiv Tailor      </w:t>
      </w:r>
      <w:r>
        <w:rPr>
          <w:rFonts w:ascii="Georgia" w:hAnsi="Georgia"/>
          <w:b/>
          <w:color w:val="0E0E0C"/>
          <w:sz w:val="22"/>
        </w:rPr>
        <w:t>Date:</w:t>
      </w:r>
      <w:r>
        <w:rPr>
          <w:rFonts w:ascii="Georgia" w:hAnsi="Georgia"/>
          <w:color w:val="5C5C58"/>
          <w:sz w:val="22"/>
        </w:rPr>
        <w:t xml:space="preserve"> 2026-06-24      </w:t>
      </w:r>
      <w:r>
        <w:rPr>
          <w:rFonts w:ascii="Georgia" w:hAnsi="Georgia"/>
          <w:b/>
          <w:color w:val="0E0E0C"/>
          <w:sz w:val="22"/>
        </w:rPr>
        <w:t>Decide by:</w:t>
      </w:r>
      <w:r>
        <w:rPr>
          <w:rFonts w:ascii="Georgia" w:hAnsi="Georgia"/>
          <w:color w:val="5C5C58"/>
          <w:sz w:val="22"/>
        </w:rPr>
        <w:t xml:space="preserve"> 2026-07-03 (before Stage-1 onboarding, Jul–Dec 26; pre-signature is peak leverage)</w:t>
      </w:r>
    </w:p>
    <w:p>
      <w:r>
        <w:rPr>
          <w:rFonts w:ascii="Georgia" w:hAnsi="Georgia"/>
          <w:b/>
          <w:color w:val="0E0E0C"/>
          <w:sz w:val="22"/>
        </w:rPr>
        <w:t>Reversibility:</w:t>
      </w:r>
      <w:r>
        <w:rPr>
          <w:rFonts w:ascii="Georgia" w:hAnsi="Georgia"/>
          <w:color w:val="5C5C58"/>
          <w:sz w:val="22"/>
        </w:rPr>
        <w:t xml:space="preserve"> Type-1 (expensive/painful to reverse) — cost-to-reverse: re-migrating HR + identity + payroll + device fleet off one platform mid-contract; the risk model rates switching cost "huge" once all four pillars + data + devices are live; Rippling auto-renews (worst case for exit); plus a 2-year commitment.</w:t>
      </w:r>
    </w:p>
    <w:p>
      <w:r>
        <w:rPr>
          <w:rFonts w:ascii="Georgia" w:hAnsi="Georgia"/>
          <w:b/>
          <w:color w:val="0E0E0C"/>
          <w:sz w:val="22"/>
        </w:rPr>
        <w:t>Depends on / relates to:</w:t>
      </w:r>
      <w:r>
        <w:rPr>
          <w:rFonts w:ascii="Georgia" w:hAnsi="Georgia"/>
          <w:color w:val="5C5C58"/>
          <w:sz w:val="22"/>
        </w:rPr>
        <w:t xml:space="preserve"> The 7 modelling decisions already locked (ramp 3→30; ~50% EOR; single-vendor scope, no internal IT; Rippling EOR discount locked full term; 2-yr term; model both FX). This memo decides the vendor </w:t>
      </w:r>
      <w:r>
        <w:rPr>
          <w:rFonts w:ascii="Georgia" w:hAnsi="Georgia"/>
          <w:i/>
          <w:color w:val="5C5C58"/>
          <w:sz w:val="22"/>
        </w:rPr>
        <w:t>within</w:t>
      </w:r>
      <w:r>
        <w:rPr>
          <w:rFonts w:ascii="Georgia" w:hAnsi="Georgia"/>
          <w:color w:val="5C5C58"/>
          <w:sz w:val="22"/>
        </w:rPr>
        <w:t xml:space="preserve"> that locked scope; it does not re-open the consolidation scope except via the null option.</w:t>
      </w:r>
    </w:p>
    <w:p>
      <w:r>
        <w:rPr>
          <w:rFonts w:ascii="Georgia" w:hAnsi="Georgia"/>
          <w:b/>
          <w:color w:val="0E0E0C"/>
          <w:sz w:val="22"/>
        </w:rPr>
        <w:t>Deliberation:</w:t>
      </w:r>
      <w:r>
        <w:rPr>
          <w:rFonts w:ascii="Georgia" w:hAnsi="Georgia"/>
          <w:color w:val="5C5C58"/>
          <w:sz w:val="22"/>
        </w:rPr>
        <w:t xml:space="preserve"> Inline board (fallback) — the `c-level-agents` plugin (`/cs:boardroom`) is not installed in this environment, so the self-contained multi-perspective pass was used (independent positions → cross-examination → devil's advocate). Stated explicitly per skill protocol.</w:t>
      </w:r>
    </w:p>
    <w:p>
      <w:pPr>
        <w:spacing w:before="240" w:after="80"/>
      </w:pPr>
      <w:r>
        <w:rPr>
          <w:rFonts w:ascii="Inter" w:hAnsi="Inter"/>
          <w:b/>
          <w:color w:val="0E0E0C"/>
          <w:sz w:val="26"/>
        </w:rPr>
        <w:t>1. The decision</w:t>
      </w:r>
    </w:p>
    <w:p>
      <w:r>
        <w:rPr>
          <w:rFonts w:ascii="Georgia" w:hAnsi="Georgia"/>
          <w:color w:val="5C5C58"/>
          <w:sz w:val="22"/>
        </w:rPr>
        <w:t xml:space="preserve">Should Novagentica sign </w:t>
      </w:r>
      <w:r>
        <w:rPr>
          <w:rFonts w:ascii="Georgia" w:hAnsi="Georgia"/>
          <w:b/>
          <w:color w:val="0E0E0C"/>
          <w:sz w:val="22"/>
        </w:rPr>
        <w:t>Rippling</w:t>
      </w:r>
      <w:r>
        <w:rPr>
          <w:rFonts w:ascii="Georgia" w:hAnsi="Georgia"/>
          <w:color w:val="5C5C58"/>
          <w:sz w:val="22"/>
        </w:rPr>
        <w:t xml:space="preserve"> or </w:t>
      </w:r>
      <w:r>
        <w:rPr>
          <w:rFonts w:ascii="Georgia" w:hAnsi="Georgia"/>
          <w:b/>
          <w:color w:val="0E0E0C"/>
          <w:sz w:val="22"/>
        </w:rPr>
        <w:t>Deel</w:t>
      </w:r>
      <w:r>
        <w:rPr>
          <w:rFonts w:ascii="Georgia" w:hAnsi="Georgia"/>
          <w:color w:val="5C5C58"/>
          <w:sz w:val="22"/>
        </w:rPr>
        <w:t xml:space="preserve"> (or </w:t>
      </w:r>
      <w:r>
        <w:rPr>
          <w:rFonts w:ascii="Georgia" w:hAnsi="Georgia"/>
          <w:b/>
          <w:color w:val="0E0E0C"/>
          <w:sz w:val="22"/>
        </w:rPr>
        <w:t>neither, for now</w:t>
      </w:r>
      <w:r>
        <w:rPr>
          <w:rFonts w:ascii="Georgia" w:hAnsi="Georgia"/>
          <w:color w:val="5C5C58"/>
          <w:sz w:val="22"/>
        </w:rPr>
        <w:t>) as the single all-in-one managed vendor for HR · IT · EOR · Payroll · Recruiting · managed endpoint, on a 2-year term, across the 3→30 headcount ramp (Jul 2026 → Jun 2028)?</w:t>
      </w:r>
    </w:p>
    <w:p>
      <w:pPr>
        <w:spacing w:before="240" w:after="80"/>
      </w:pPr>
      <w:r>
        <w:rPr>
          <w:rFonts w:ascii="Inter" w:hAnsi="Inter"/>
          <w:b/>
          <w:color w:val="0E0E0C"/>
          <w:sz w:val="26"/>
        </w:rPr>
        <w:t>2. Why now</w:t>
      </w:r>
    </w:p>
    <w:p>
      <w:r>
        <w:rPr>
          <w:rFonts w:ascii="Georgia" w:hAnsi="Georgia"/>
          <w:color w:val="5C5C58"/>
          <w:sz w:val="22"/>
        </w:rPr>
        <w:t xml:space="preserve">Stage-1 onboarding starts Jul 2026 (the model's first ramp stage). The company has </w:t>
      </w:r>
      <w:r>
        <w:rPr>
          <w:rFonts w:ascii="Georgia" w:hAnsi="Georgia"/>
          <w:b/>
          <w:color w:val="0E0E0C"/>
          <w:sz w:val="22"/>
        </w:rPr>
        <w:t>maximum leverage now, before signature</w:t>
      </w:r>
      <w:r>
        <w:rPr>
          <w:rFonts w:ascii="Georgia" w:hAnsi="Georgia"/>
          <w:color w:val="5C5C58"/>
          <w:sz w:val="22"/>
        </w:rPr>
        <w:t xml:space="preserve"> — auto-renewal, price caps, exit-assistance and SLA terms are negotiable today and far harder to claw back later. The forcing event is the Stage-1 go-live; the deadline is set by the leverage window, not by the platforms.</w:t>
      </w:r>
    </w:p>
    <w:p>
      <w:r>
        <w:rPr>
          <w:rFonts w:ascii="Georgia" w:hAnsi="Georgia"/>
          <w:b/>
          <w:color w:val="0E0E0C"/>
          <w:sz w:val="22"/>
        </w:rPr>
        <w:t>Decouple the commercial choice from the 2-year signature.</w:t>
      </w:r>
      <w:r>
        <w:rPr>
          <w:rFonts w:ascii="Georgia" w:hAnsi="Georgia"/>
          <w:color w:val="5C5C58"/>
          <w:sz w:val="22"/>
        </w:rPr>
        <w:t xml:space="preserve"> If the conditions in §5 (written full-scope quotes, reference calls, redlined auto-renewal) cannot all close by the decide-by date, run Stage-1 onboarding on a </w:t>
      </w:r>
      <w:r>
        <w:rPr>
          <w:rFonts w:ascii="Georgia" w:hAnsi="Georgia"/>
          <w:b/>
          <w:color w:val="0E0E0C"/>
          <w:sz w:val="22"/>
        </w:rPr>
        <w:t>short month-to-month bridge</w:t>
      </w:r>
      <w:r>
        <w:rPr>
          <w:rFonts w:ascii="Georgia" w:hAnsi="Georgia"/>
          <w:color w:val="5C5C58"/>
          <w:sz w:val="22"/>
        </w:rPr>
        <w:t xml:space="preserve"> and sign the 2-year term only once the terms are met. Never sign the 2-year deal to hit the ramp date — that is precisely the lock-in trap §8 warns against.</w:t>
      </w:r>
    </w:p>
    <w:p>
      <w:pPr>
        <w:spacing w:before="240" w:after="80"/>
      </w:pPr>
      <w:r>
        <w:rPr>
          <w:rFonts w:ascii="Inter" w:hAnsi="Inter"/>
          <w:b/>
          <w:color w:val="0E0E0C"/>
          <w:sz w:val="26"/>
        </w:rPr>
        <w:t>3. Context &amp; numbers (grounded)</w:t>
      </w:r>
    </w:p>
    <w:p>
      <w:r>
        <w:rPr>
          <w:rFonts w:ascii="Georgia" w:hAnsi="Georgia"/>
          <w:color w:val="5C5C58"/>
          <w:sz w:val="22"/>
        </w:rPr>
        <w:t xml:space="preserve">All figures from the </w:t>
      </w:r>
      <w:r>
        <w:rPr>
          <w:rFonts w:ascii="Georgia" w:hAnsi="Georgia"/>
          <w:b/>
          <w:color w:val="0E0E0C"/>
          <w:sz w:val="22"/>
        </w:rPr>
        <w:t>Deel-vs-Rippling Normalised Comparison model</w:t>
      </w:r>
      <w:r>
        <w:rPr>
          <w:rFonts w:ascii="Georgia" w:hAnsi="Georgia"/>
          <w:color w:val="5C5C58"/>
          <w:sz w:val="22"/>
        </w:rPr>
        <w:t xml:space="preserve"> (the uploaded workbook), base FX </w:t>
      </w:r>
      <w:r>
        <w:rPr>
          <w:rFonts w:ascii="Georgia" w:hAnsi="Georgia"/>
          <w:b/>
          <w:color w:val="0E0E0C"/>
          <w:sz w:val="22"/>
        </w:rPr>
        <w:t>1.142 USD/EUR (ECB/TE, 23-Jun-26)</w:t>
      </w:r>
      <w:r>
        <w:rPr>
          <w:rFonts w:ascii="Georgia" w:hAnsi="Georgia"/>
          <w:color w:val="5C5C58"/>
          <w:sz w:val="22"/>
        </w:rPr>
        <w:t>, unless noted. Both quotes are scoped like-for-like: full HR + IT + EOR + Payroll + Recruiting + managed endpoint.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2-yr total, base FX:</w:t>
      </w:r>
      <w:r>
        <w:rPr>
          <w:rFonts w:ascii="Georgia" w:hAnsi="Georgia"/>
          <w:color w:val="5C5C58"/>
          <w:sz w:val="21"/>
        </w:rPr>
        <w:t xml:space="preserve"> Deel </w:t>
      </w:r>
      <w:r>
        <w:rPr>
          <w:rFonts w:ascii="Georgia" w:hAnsi="Georgia"/>
          <w:b/>
          <w:color w:val="0E0E0C"/>
          <w:sz w:val="21"/>
        </w:rPr>
        <w:t>€97,219</w:t>
      </w:r>
      <w:r>
        <w:rPr>
          <w:rFonts w:ascii="Georgia" w:hAnsi="Georgia"/>
          <w:color w:val="5C5C58"/>
          <w:sz w:val="21"/>
        </w:rPr>
        <w:t xml:space="preserve"> vs Rippling </w:t>
      </w:r>
      <w:r>
        <w:rPr>
          <w:rFonts w:ascii="Georgia" w:hAnsi="Georgia"/>
          <w:b/>
          <w:color w:val="0E0E0C"/>
          <w:sz w:val="21"/>
        </w:rPr>
        <w:t>€96,356</w:t>
      </w:r>
      <w:r>
        <w:rPr>
          <w:rFonts w:ascii="Georgia" w:hAnsi="Georgia"/>
          <w:color w:val="5C5C58"/>
          <w:sz w:val="21"/>
        </w:rPr>
        <w:t xml:space="preserve"> — difference </w:t>
      </w:r>
      <w:r>
        <w:rPr>
          <w:rFonts w:ascii="Georgia" w:hAnsi="Georgia"/>
          <w:b/>
          <w:color w:val="0E0E0C"/>
          <w:sz w:val="21"/>
        </w:rPr>
        <w:t>€863 (0.9%)</w:t>
      </w:r>
      <w:r>
        <w:rPr>
          <w:rFonts w:ascii="Georgia" w:hAnsi="Georgia"/>
          <w:color w:val="5C5C58"/>
          <w:sz w:val="21"/>
        </w:rPr>
        <w:t xml:space="preserve">. The model's own verdict: </w:t>
      </w:r>
      <w:r>
        <w:rPr>
          <w:rFonts w:ascii="Georgia" w:hAnsi="Georgia"/>
          <w:i/>
          <w:color w:val="5C5C58"/>
          <w:sz w:val="21"/>
        </w:rPr>
        <w:t>"within model noise — treat price as a TIE."</w:t>
      </w:r>
      <w:r>
        <w:rPr>
          <w:rFonts w:ascii="Georgia" w:hAnsi="Georgia"/>
          <w:color w:val="5C5C58"/>
          <w:sz w:val="21"/>
        </w:rPr>
        <w:t xml:space="preserve"> (comparison model, base FX)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FX sensitivity (Deel is USD-billed; Rippling is EUR-native):</w:t>
      </w:r>
      <w:r>
        <w:rPr>
          <w:rFonts w:ascii="Georgia" w:hAnsi="Georgia"/>
          <w:color w:val="5C5C58"/>
          <w:sz w:val="21"/>
        </w:rPr>
        <w:t xml:space="preserve"> strong-EUR (1.20) → </w:t>
      </w:r>
      <w:r>
        <w:rPr>
          <w:rFonts w:ascii="Georgia" w:hAnsi="Georgia"/>
          <w:b/>
          <w:color w:val="0E0E0C"/>
          <w:sz w:val="21"/>
        </w:rPr>
        <w:t>Deel cheaper</w:t>
      </w:r>
      <w:r>
        <w:rPr>
          <w:rFonts w:ascii="Georgia" w:hAnsi="Georgia"/>
          <w:color w:val="5C5C58"/>
          <w:sz w:val="21"/>
        </w:rPr>
        <w:t xml:space="preserve"> (€92,520 vs €95,578); weak-EUR (1.05) → </w:t>
      </w:r>
      <w:r>
        <w:rPr>
          <w:rFonts w:ascii="Georgia" w:hAnsi="Georgia"/>
          <w:b/>
          <w:color w:val="0E0E0C"/>
          <w:sz w:val="21"/>
        </w:rPr>
        <w:t>Rippling cheaper</w:t>
      </w:r>
      <w:r>
        <w:rPr>
          <w:rFonts w:ascii="Georgia" w:hAnsi="Georgia"/>
          <w:color w:val="5C5C58"/>
          <w:sz w:val="21"/>
        </w:rPr>
        <w:t xml:space="preserve"> (€105,737 vs €97,764). (comparison model, FX scenarios)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Weighted scorecard (draft, for Shiv/Felix to own):</w:t>
      </w:r>
      <w:r>
        <w:rPr>
          <w:rFonts w:ascii="Georgia" w:hAnsi="Georgia"/>
          <w:color w:val="5C5C58"/>
          <w:sz w:val="21"/>
        </w:rPr>
        <w:t xml:space="preserve"> Deel </w:t>
      </w:r>
      <w:r>
        <w:rPr>
          <w:rFonts w:ascii="Georgia" w:hAnsi="Georgia"/>
          <w:b/>
          <w:color w:val="0E0E0C"/>
          <w:sz w:val="21"/>
        </w:rPr>
        <w:t>3.85</w:t>
      </w:r>
      <w:r>
        <w:rPr>
          <w:rFonts w:ascii="Georgia" w:hAnsi="Georgia"/>
          <w:color w:val="5C5C58"/>
          <w:sz w:val="21"/>
        </w:rPr>
        <w:t xml:space="preserve"> vs Rippling </w:t>
      </w:r>
      <w:r>
        <w:rPr>
          <w:rFonts w:ascii="Georgia" w:hAnsi="Georgia"/>
          <w:b/>
          <w:color w:val="0E0E0C"/>
          <w:sz w:val="21"/>
        </w:rPr>
        <w:t>4.05</w:t>
      </w:r>
      <w:r>
        <w:rPr>
          <w:rFonts w:ascii="Georgia" w:hAnsi="Georgia"/>
          <w:color w:val="5C5C58"/>
          <w:sz w:val="21"/>
        </w:rPr>
        <w:t xml:space="preserve"> → Rippling leads, but the model flags it </w:t>
      </w:r>
      <w:r>
        <w:rPr>
          <w:rFonts w:ascii="Georgia" w:hAnsi="Georgia"/>
          <w:i/>
          <w:color w:val="5C5C58"/>
          <w:sz w:val="21"/>
        </w:rPr>
        <w:t>"close &amp; flips on small changes."</w:t>
      </w:r>
      <w:r>
        <w:rPr>
          <w:rFonts w:ascii="Georgia" w:hAnsi="Georgia"/>
          <w:color w:val="5C5C58"/>
          <w:sz w:val="21"/>
        </w:rPr>
        <w:t xml:space="preserve"> (comparison model, Decision scorecard)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Delivery confidence:</w:t>
      </w:r>
      <w:r>
        <w:rPr>
          <w:rFonts w:ascii="Georgia" w:hAnsi="Georgia"/>
          <w:color w:val="5C5C58"/>
          <w:sz w:val="21"/>
        </w:rPr>
        <w:t xml:space="preserve"> Deel </w:t>
      </w:r>
      <w:r>
        <w:rPr>
          <w:rFonts w:ascii="Georgia" w:hAnsi="Georgia"/>
          <w:b/>
          <w:color w:val="0E0E0C"/>
          <w:sz w:val="21"/>
        </w:rPr>
        <w:t>3</w:t>
      </w:r>
      <w:r>
        <w:rPr>
          <w:rFonts w:ascii="Georgia" w:hAnsi="Georgia"/>
          <w:color w:val="5C5C58"/>
          <w:sz w:val="21"/>
        </w:rPr>
        <w:t xml:space="preserve"> / Rippling </w:t>
      </w:r>
      <w:r>
        <w:rPr>
          <w:rFonts w:ascii="Georgia" w:hAnsi="Georgia"/>
          <w:b/>
          <w:color w:val="0E0E0C"/>
          <w:sz w:val="21"/>
        </w:rPr>
        <w:t>4</w:t>
      </w:r>
      <w:r>
        <w:rPr>
          <w:rFonts w:ascii="Georgia" w:hAnsi="Georgia"/>
          <w:color w:val="5C5C58"/>
          <w:sz w:val="21"/>
        </w:rPr>
        <w:t xml:space="preserve"> — </w:t>
      </w:r>
      <w:r>
        <w:rPr>
          <w:rFonts w:ascii="Georgia" w:hAnsi="Georgia"/>
          <w:i/>
          <w:color w:val="5C5C58"/>
          <w:sz w:val="21"/>
        </w:rPr>
        <w:t>Felix lived a FAILED Deel HRIS go-live</w:t>
      </w:r>
      <w:r>
        <w:rPr>
          <w:rFonts w:ascii="Georgia" w:hAnsi="Georgia"/>
          <w:color w:val="5C5C58"/>
          <w:sz w:val="21"/>
        </w:rPr>
        <w:t>; the model says to weight this heavily and check references. (comparison model)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Contract terms &amp; lock-in:</w:t>
      </w:r>
      <w:r>
        <w:rPr>
          <w:rFonts w:ascii="Georgia" w:hAnsi="Georgia"/>
          <w:color w:val="5C5C58"/>
          <w:sz w:val="21"/>
        </w:rPr>
        <w:t xml:space="preserve"> Deel </w:t>
      </w:r>
      <w:r>
        <w:rPr>
          <w:rFonts w:ascii="Georgia" w:hAnsi="Georgia"/>
          <w:b/>
          <w:color w:val="0E0E0C"/>
          <w:sz w:val="21"/>
        </w:rPr>
        <w:t>4</w:t>
      </w:r>
      <w:r>
        <w:rPr>
          <w:rFonts w:ascii="Georgia" w:hAnsi="Georgia"/>
          <w:color w:val="5C5C58"/>
          <w:sz w:val="21"/>
        </w:rPr>
        <w:t xml:space="preserve"> / Rippling </w:t>
      </w:r>
      <w:r>
        <w:rPr>
          <w:rFonts w:ascii="Georgia" w:hAnsi="Georgia"/>
          <w:b/>
          <w:color w:val="0E0E0C"/>
          <w:sz w:val="21"/>
        </w:rPr>
        <w:t>3</w:t>
      </w:r>
      <w:r>
        <w:rPr>
          <w:rFonts w:ascii="Georgia" w:hAnsi="Georgia"/>
          <w:color w:val="5C5C58"/>
          <w:sz w:val="21"/>
        </w:rPr>
        <w:t xml:space="preserve"> — Deel has </w:t>
      </w:r>
      <w:r>
        <w:rPr>
          <w:rFonts w:ascii="Georgia" w:hAnsi="Georgia"/>
          <w:i/>
          <w:color w:val="5C5C58"/>
          <w:sz w:val="21"/>
        </w:rPr>
        <w:t>no auto-renew + locked rate</w:t>
      </w:r>
      <w:r>
        <w:rPr>
          <w:rFonts w:ascii="Georgia" w:hAnsi="Georgia"/>
          <w:color w:val="5C5C58"/>
          <w:sz w:val="21"/>
        </w:rPr>
        <w:t xml:space="preserve">; </w:t>
      </w:r>
      <w:r>
        <w:rPr>
          <w:rFonts w:ascii="Georgia" w:hAnsi="Georgia"/>
          <w:b/>
          <w:color w:val="0E0E0C"/>
          <w:sz w:val="21"/>
        </w:rPr>
        <w:t>Rippling AUTO-RENEWS</w:t>
      </w:r>
      <w:r>
        <w:rPr>
          <w:rFonts w:ascii="Georgia" w:hAnsi="Georgia"/>
          <w:color w:val="5C5C58"/>
          <w:sz w:val="21"/>
        </w:rPr>
        <w:t xml:space="preserve"> (the model flags: negotiate out). (comparison model)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Run-rate &amp; one-time:</w:t>
      </w:r>
      <w:r>
        <w:rPr>
          <w:rFonts w:ascii="Georgia" w:hAnsi="Georgia"/>
          <w:color w:val="5C5C58"/>
          <w:sz w:val="21"/>
        </w:rPr>
        <w:t xml:space="preserve"> peak ~€7,011/mo at 30 users (Stage 4); one-time setup Deel €2,364 vs Rippling €1,000. (comparison model)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Open scope items (unpriced — could move the "tie"):</w:t>
      </w:r>
      <w:r>
        <w:rPr>
          <w:rFonts w:ascii="Georgia" w:hAnsi="Georgia"/>
          <w:color w:val="5C5C58"/>
          <w:sz w:val="21"/>
        </w:rPr>
        <w:t xml:space="preserve"> Deel </w:t>
      </w:r>
      <w:r>
        <w:rPr>
          <w:rFonts w:ascii="Georgia" w:hAnsi="Georgia"/>
          <w:b/>
          <w:color w:val="0E0E0C"/>
          <w:sz w:val="21"/>
        </w:rPr>
        <w:t>Country Fee / GP DE entity</w:t>
      </w:r>
      <w:r>
        <w:rPr>
          <w:rFonts w:ascii="Georgia" w:hAnsi="Georgia"/>
          <w:color w:val="5C5C58"/>
          <w:sz w:val="21"/>
        </w:rPr>
        <w:t xml:space="preserve"> ("may be MANDATORY for EOR — would raise Deel total"); Rippling recruiting quote (~$3–6 + performance, unconfirmed); 24/7 security-ops layer on both; named OBM/CSM + SLA response times. (comparison model, CONFIRM flags)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Not loaded in this environment (assumption):</w:t>
      </w:r>
      <w:r>
        <w:rPr>
          <w:rFonts w:ascii="Georgia" w:hAnsi="Georgia"/>
          <w:color w:val="5C5C58"/>
          <w:sz w:val="21"/>
        </w:rPr>
        <w:t xml:space="preserve"> Novagentica runway/burn from the master model is not reachable in this sandbox. The ~€97k/2-yr commitment is treated as modest relative to runway; </w:t>
      </w:r>
      <w:r>
        <w:rPr>
          <w:rFonts w:ascii="Georgia" w:hAnsi="Georgia"/>
          <w:b/>
          <w:color w:val="0E0E0C"/>
          <w:sz w:val="21"/>
        </w:rPr>
        <w:t>this is an assumption to verify</w:t>
      </w:r>
      <w:r>
        <w:rPr>
          <w:rFonts w:ascii="Georgia" w:hAnsi="Georgia"/>
          <w:color w:val="5C5C58"/>
          <w:sz w:val="21"/>
        </w:rPr>
        <w:t xml:space="preserve"> (§7). The dominant risk here is switching/lock-in, not cash.</w:t>
      </w:r>
    </w:p>
    <w:p>
      <w:pPr>
        <w:spacing w:before="240" w:after="80"/>
      </w:pPr>
      <w:r>
        <w:rPr>
          <w:rFonts w:ascii="Inter" w:hAnsi="Inter"/>
          <w:b/>
          <w:color w:val="0E0E0C"/>
          <w:sz w:val="26"/>
        </w:rPr>
        <w:t>4. Options considered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CC0D2C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3137"/>
            <w:shd w:val="clear" w:fill="CC0D2C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3137"/>
            <w:shd w:val="clear" w:fill="CC0D2C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Cost / impact (vs the numbers above)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0E0E0C"/>
                <w:sz w:val="19"/>
              </w:rPr>
              <w:t>A — Rippling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>Single EUR-native managed stack; leads draft scorecard (4.05); higher delivery-confidence score.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 xml:space="preserve">Price tie at base FX; removes FX risk; </w:t>
            </w:r>
            <w:r>
              <w:rPr>
                <w:rFonts w:ascii="Georgia" w:hAnsi="Georgia"/>
                <w:b/>
                <w:color w:val="0E0E0C"/>
                <w:sz w:val="19"/>
              </w:rPr>
              <w:t>but auto-renews</w:t>
            </w:r>
            <w:r>
              <w:rPr>
                <w:rFonts w:ascii="Georgia" w:hAnsi="Georgia"/>
                <w:color w:val="5C5C58"/>
                <w:sz w:val="19"/>
              </w:rPr>
              <w:t xml:space="preserve"> and recruiting/managed-security scope is unconfirmed.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0E0E0C"/>
                <w:sz w:val="19"/>
              </w:rPr>
              <w:t>B — Deel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>Single managed stack with no auto-renew + locked rate → best renewal leverage for an all-eggs bet.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 xml:space="preserve">Price tie at base FX; </w:t>
            </w:r>
            <w:r>
              <w:rPr>
                <w:rFonts w:ascii="Georgia" w:hAnsi="Georgia"/>
                <w:b/>
                <w:color w:val="0E0E0C"/>
                <w:sz w:val="19"/>
              </w:rPr>
              <w:t>USD-billed → FX-exposed</w:t>
            </w:r>
            <w:r>
              <w:rPr>
                <w:rFonts w:ascii="Georgia" w:hAnsi="Georgia"/>
                <w:color w:val="5C5C58"/>
                <w:sz w:val="19"/>
              </w:rPr>
              <w:t>; Felix's failed go-live; possible mandatory DE country fee could break the tie against it.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  <w:shd w:val="clear" w:fill="FBE3E7"/>
          </w:tcPr>
          <w:p>
            <w:pPr>
              <w:spacing w:after="0"/>
            </w:pPr>
            <w:r>
              <w:rPr>
                <w:rFonts w:ascii="Georgia" w:hAnsi="Georgia"/>
                <w:b/>
                <w:color w:val="0E0E0C"/>
                <w:sz w:val="19"/>
              </w:rPr>
              <w:t>Null — don't consolidate / don't sign now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  <w:shd w:val="clear" w:fill="FBE3E7"/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>Keep current/best-of-breed point tools; defer the all-eggs bet.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  <w:shd w:val="clear" w:fill="FBE3E7"/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>Forfeits pre-signature leverage; continued admin overhead + fragmented data; no managed endpoint → likely forces an internal IT hire; HR/IT/payroll stay un-unified through the ramp.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Inter" w:hAnsi="Inter"/>
          <w:b/>
          <w:color w:val="0E0E0C"/>
          <w:sz w:val="26"/>
        </w:rPr>
        <w:t>5. Recommendation</w:t>
      </w:r>
    </w:p>
    <w:p>
      <w:r>
        <w:rPr>
          <w:rFonts w:ascii="Georgia" w:hAnsi="Georgia"/>
          <w:b/>
          <w:color w:val="0E0E0C"/>
          <w:sz w:val="22"/>
        </w:rPr>
        <w:t>Option A — Rippling, conditional on contract terms that neutralise its one structural weakness.</w:t>
      </w:r>
      <w:r>
        <w:rPr>
          <w:rFonts w:ascii="Georgia" w:hAnsi="Georgia"/>
          <w:color w:val="5C5C58"/>
          <w:sz w:val="22"/>
        </w:rPr>
        <w:t xml:space="preserve"> On a genuine price tie, Rippling wins on the two things that aren't tied: it is </w:t>
      </w:r>
      <w:r>
        <w:rPr>
          <w:rFonts w:ascii="Georgia" w:hAnsi="Georgia"/>
          <w:b/>
          <w:color w:val="0E0E0C"/>
          <w:sz w:val="22"/>
        </w:rPr>
        <w:t>EUR-native</w:t>
      </w:r>
      <w:r>
        <w:rPr>
          <w:rFonts w:ascii="Georgia" w:hAnsi="Georgia"/>
          <w:color w:val="5C5C58"/>
          <w:sz w:val="22"/>
        </w:rPr>
        <w:t xml:space="preserve"> (removes the FX volatility that Deel's USD billing carries — material in the weak-EUR scenario) and it scores higher on </w:t>
      </w:r>
      <w:r>
        <w:rPr>
          <w:rFonts w:ascii="Georgia" w:hAnsi="Georgia"/>
          <w:b/>
          <w:color w:val="0E0E0C"/>
          <w:sz w:val="22"/>
        </w:rPr>
        <w:t>delivery confidence</w:t>
      </w:r>
      <w:r>
        <w:rPr>
          <w:rFonts w:ascii="Georgia" w:hAnsi="Georgia"/>
          <w:color w:val="5C5C58"/>
          <w:sz w:val="22"/>
        </w:rPr>
        <w:t xml:space="preserve"> — a </w:t>
      </w:r>
      <w:r>
        <w:rPr>
          <w:rFonts w:ascii="Georgia" w:hAnsi="Georgia"/>
          <w:i/>
          <w:color w:val="5C5C58"/>
          <w:sz w:val="22"/>
        </w:rPr>
        <w:t>provisional</w:t>
      </w:r>
      <w:r>
        <w:rPr>
          <w:rFonts w:ascii="Georgia" w:hAnsi="Georgia"/>
          <w:color w:val="5C5C58"/>
          <w:sz w:val="22"/>
        </w:rPr>
        <w:t xml:space="preserve"> edge, reinforced by Felix's first-hand failed-Deel go-live but to be confirmed by reference calls on both vendors, not treated as proven. It is one clean system right-sized for a no-IT team scaling 3→30. </w:t>
      </w:r>
      <w:r>
        <w:rPr>
          <w:rFonts w:ascii="Georgia" w:hAnsi="Georgia"/>
          <w:b/>
          <w:color w:val="0E0E0C"/>
          <w:sz w:val="22"/>
        </w:rPr>
        <w:t>But the recommendation is conditional:</w:t>
      </w:r>
      <w:r>
        <w:rPr>
          <w:rFonts w:ascii="Georgia" w:hAnsi="Georgia"/>
          <w:color w:val="5C5C58"/>
          <w:sz w:val="22"/>
        </w:rPr>
        <w:t xml:space="preserve"> Rippling's auto-renewal is the worst structural position for an all-eggs bet, so signature is contingent on </w:t>
      </w:r>
      <w:r>
        <w:rPr>
          <w:rFonts w:ascii="Georgia" w:hAnsi="Georgia"/>
          <w:b/>
          <w:color w:val="0E0E0C"/>
          <w:sz w:val="22"/>
        </w:rPr>
        <w:t>(a) auto-renewal struck out + a capped renewal increase, (b) contractual data-export + exit-assistance, (c) SLAs with service credits + documented incident response, (d) a parallel payroll run before any cutover, and (e) written full-scope quotes</w:t>
      </w:r>
      <w:r>
        <w:rPr>
          <w:rFonts w:ascii="Georgia" w:hAnsi="Georgia"/>
          <w:color w:val="5C5C58"/>
          <w:sz w:val="22"/>
        </w:rPr>
        <w:t xml:space="preserve"> (Rippling recruiting + managed security; Deel's DE country fee) confirming the tie holds. </w:t>
      </w:r>
      <w:r>
        <w:rPr>
          <w:rFonts w:ascii="Georgia" w:hAnsi="Georgia"/>
          <w:b/>
          <w:color w:val="0E0E0C"/>
          <w:sz w:val="22"/>
        </w:rPr>
        <w:t>If Rippling refuses to remove auto-renewal, the lock-in advantage flips the call to Deel (Option B).</w:t>
      </w:r>
      <w:r>
        <w:rPr>
          <w:rFonts w:ascii="Georgia" w:hAnsi="Georgia"/>
          <w:color w:val="5C5C58"/>
          <w:sz w:val="22"/>
        </w:rPr>
        <w:t xml:space="preserve"> One clear call — but the terms are part of the call, not an afterthought.</w:t>
      </w:r>
    </w:p>
    <w:p>
      <w:pPr>
        <w:spacing w:before="240" w:after="80"/>
      </w:pPr>
      <w:r>
        <w:rPr>
          <w:rFonts w:ascii="Inter" w:hAnsi="Inter"/>
          <w:b/>
          <w:color w:val="0E0E0C"/>
          <w:sz w:val="26"/>
        </w:rPr>
        <w:t>6. Success criteria (binding)</w:t>
      </w:r>
    </w:p>
    <w:p>
      <w:pPr>
        <w:pStyle w:val="ListBullet"/>
        <w:spacing w:after="60"/>
      </w:pPr>
      <w:r>
        <w:rPr>
          <w:rFonts w:ascii="Georgia" w:hAnsi="Georgia"/>
          <w:color w:val="5C5C58"/>
          <w:sz w:val="21"/>
        </w:rPr>
        <w:t xml:space="preserve">Vendor chosen by </w:t>
      </w:r>
      <w:r>
        <w:rPr>
          <w:rFonts w:ascii="Georgia" w:hAnsi="Georgia"/>
          <w:b/>
          <w:color w:val="0E0E0C"/>
          <w:sz w:val="21"/>
        </w:rPr>
        <w:t>2026-07-03</w:t>
      </w:r>
      <w:r>
        <w:rPr>
          <w:rFonts w:ascii="Georgia" w:hAnsi="Georgia"/>
          <w:color w:val="5C5C58"/>
          <w:sz w:val="21"/>
        </w:rPr>
        <w:t xml:space="preserve">; the </w:t>
      </w:r>
      <w:r>
        <w:rPr>
          <w:rFonts w:ascii="Georgia" w:hAnsi="Georgia"/>
          <w:b/>
          <w:color w:val="0E0E0C"/>
          <w:sz w:val="21"/>
        </w:rPr>
        <w:t>2-year term signed only once</w:t>
      </w:r>
      <w:r>
        <w:rPr>
          <w:rFonts w:ascii="Georgia" w:hAnsi="Georgia"/>
          <w:color w:val="5C5C58"/>
          <w:sz w:val="21"/>
        </w:rPr>
        <w:t xml:space="preserve"> these terms are met (a month-to-month bridge covers Stage-1 if they are not): no auto-renewal + renewal increase capped at ≤ a single-digit %; data-export + exit-assistance clause; SLA with service credits + documented incident response.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A parallel payroll run completed with two consecutive clean cycles</w:t>
      </w:r>
      <w:r>
        <w:rPr>
          <w:rFonts w:ascii="Georgia" w:hAnsi="Georgia"/>
          <w:color w:val="5C5C58"/>
          <w:sz w:val="21"/>
        </w:rPr>
        <w:t xml:space="preserve"> before first production payroll — zero missed or incorrect pay events through cutover.</w:t>
      </w:r>
    </w:p>
    <w:p>
      <w:pPr>
        <w:pStyle w:val="ListBullet"/>
        <w:spacing w:after="60"/>
      </w:pPr>
      <w:r>
        <w:rPr>
          <w:rFonts w:ascii="Georgia" w:hAnsi="Georgia"/>
          <w:color w:val="5C5C58"/>
          <w:sz w:val="21"/>
        </w:rPr>
        <w:t xml:space="preserve">By Stage-2 (Jan 2027) the consolidated stack supports 11 users on one contract/one invoice with </w:t>
      </w:r>
      <w:r>
        <w:rPr>
          <w:rFonts w:ascii="Georgia" w:hAnsi="Georgia"/>
          <w:b/>
          <w:color w:val="0E0E0C"/>
          <w:sz w:val="21"/>
        </w:rPr>
        <w:t>no internal IT hire required.</w:t>
      </w:r>
    </w:p>
    <w:p>
      <w:pPr>
        <w:pStyle w:val="ListBullet"/>
        <w:spacing w:after="60"/>
      </w:pPr>
      <w:r>
        <w:rPr>
          <w:rFonts w:ascii="Georgia" w:hAnsi="Georgia"/>
          <w:color w:val="5C5C58"/>
          <w:sz w:val="21"/>
        </w:rPr>
        <w:t>Reference calls completed on the chosen vendor's managed-service responsiveness, including one recovered failed implementation.</w:t>
      </w:r>
    </w:p>
    <w:p>
      <w:pPr>
        <w:spacing w:before="240" w:after="80"/>
      </w:pPr>
      <w:r>
        <w:rPr>
          <w:rFonts w:ascii="Inter" w:hAnsi="Inter"/>
          <w:b/>
          <w:color w:val="0E0E0C"/>
          <w:sz w:val="26"/>
        </w:rPr>
        <w:t>7. Key assumptions (falsifiable)</w:t>
      </w:r>
    </w:p>
    <w:p>
      <w:pPr>
        <w:pStyle w:val="ListBullet"/>
        <w:spacing w:after="60"/>
      </w:pPr>
      <w:r>
        <w:rPr>
          <w:rFonts w:ascii="Georgia" w:hAnsi="Georgia"/>
          <w:color w:val="5C5C58"/>
          <w:sz w:val="21"/>
        </w:rPr>
        <w:t xml:space="preserve">The 2-yr ~€97k commitment is small relative to Novagentica's runway at current burn. </w:t>
      </w:r>
      <w:r>
        <w:rPr>
          <w:rFonts w:ascii="Georgia" w:hAnsi="Georgia"/>
          <w:i/>
          <w:color w:val="5C5C58"/>
          <w:sz w:val="21"/>
        </w:rPr>
        <w:t>(Verify against the master model — not loaded here.)</w:t>
      </w:r>
    </w:p>
    <w:p>
      <w:pPr>
        <w:pStyle w:val="ListBullet"/>
        <w:spacing w:after="60"/>
      </w:pPr>
      <w:r>
        <w:rPr>
          <w:rFonts w:ascii="Georgia" w:hAnsi="Georgia"/>
          <w:color w:val="5C5C58"/>
          <w:sz w:val="21"/>
        </w:rPr>
        <w:t>The current totals are a true like-for-like tie: i.e. Rippling's recruiting + managed-security adds and Deel's DE country fee, once quoted in writing, keep the 2-yr delta within ~10%.</w:t>
      </w:r>
    </w:p>
    <w:p>
      <w:pPr>
        <w:pStyle w:val="ListBullet"/>
        <w:spacing w:after="60"/>
      </w:pPr>
      <w:r>
        <w:rPr>
          <w:rFonts w:ascii="Georgia" w:hAnsi="Georgia"/>
          <w:color w:val="5C5C58"/>
          <w:sz w:val="21"/>
        </w:rPr>
        <w:t xml:space="preserve">Rippling's delivery/managed-service is genuinely stronger than Deel's </w:t>
      </w:r>
      <w:r>
        <w:rPr>
          <w:rFonts w:ascii="Georgia" w:hAnsi="Georgia"/>
          <w:i/>
          <w:color w:val="5C5C58"/>
          <w:sz w:val="21"/>
        </w:rPr>
        <w:t>for our scope</w:t>
      </w:r>
      <w:r>
        <w:rPr>
          <w:rFonts w:ascii="Georgia" w:hAnsi="Georgia"/>
          <w:color w:val="5C5C58"/>
          <w:sz w:val="21"/>
        </w:rPr>
        <w:t xml:space="preserve"> — i.e. Felix's failed go-live reflects the platform/partner, not a one-off, and survives reference checks on both vendors.</w:t>
      </w:r>
    </w:p>
    <w:p>
      <w:pPr>
        <w:pStyle w:val="ListBullet"/>
        <w:spacing w:after="60"/>
      </w:pPr>
      <w:r>
        <w:rPr>
          <w:rFonts w:ascii="Georgia" w:hAnsi="Georgia"/>
          <w:color w:val="5C5C58"/>
          <w:sz w:val="21"/>
        </w:rPr>
        <w:t>Rippling will agree to strike auto-renewal and cap renewal increases in writing.</w:t>
      </w:r>
    </w:p>
    <w:p>
      <w:pPr>
        <w:pStyle w:val="ListBullet"/>
        <w:spacing w:after="60"/>
      </w:pPr>
      <w:r>
        <w:rPr>
          <w:rFonts w:ascii="Georgia" w:hAnsi="Georgia"/>
          <w:color w:val="5C5C58"/>
          <w:sz w:val="21"/>
        </w:rPr>
        <w:t>Both vendors can evidence ISO 27001 and a 24/7 security-ops layer for the consolidated scope.</w:t>
      </w:r>
    </w:p>
    <w:p>
      <w:pPr>
        <w:spacing w:before="240" w:after="80"/>
      </w:pPr>
      <w:r>
        <w:rPr>
          <w:rFonts w:ascii="Inter" w:hAnsi="Inter"/>
          <w:b/>
          <w:color w:val="0E0E0C"/>
          <w:sz w:val="26"/>
        </w:rPr>
        <w:t>8. Risks &amp; mitigations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CC0D2C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137"/>
            <w:shd w:val="clear" w:fill="CC0D2C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137"/>
            <w:shd w:val="clear" w:fill="CC0D2C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>Lock-in / weak renewal leverage (Rippling auto-renews; switching cost "huge" once all-eggs)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0E0E0C"/>
                <w:sz w:val="19"/>
              </w:rPr>
              <w:t>CRITICAL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 xml:space="preserve">Strike auto-renewal + cap renewal increase + exit-assistance &amp; data-portability </w:t>
            </w:r>
            <w:r>
              <w:rPr>
                <w:rFonts w:ascii="Georgia" w:hAnsi="Georgia"/>
                <w:b/>
                <w:color w:val="0E0E0C"/>
                <w:sz w:val="19"/>
              </w:rPr>
              <w:t>in writing now</w:t>
            </w:r>
            <w:r>
              <w:rPr>
                <w:rFonts w:ascii="Georgia" w:hAnsi="Georgia"/>
                <w:color w:val="5C5C58"/>
                <w:sz w:val="19"/>
              </w:rPr>
              <w:t>, pre-signature. If refused → Deel.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>Correlated failure — one outage/breach/billing dispute hits pay + identity + devices + hiring at once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0E0E0C"/>
                <w:sz w:val="19"/>
              </w:rPr>
              <w:t>HIGH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>Phased rollout; parallel payroll run; SLAs with service credits; documented incident response.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>Concentrated execution risk — a single botched migration takes down everything (Felix lived a failed Deel go-live)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0E0E0C"/>
                <w:sz w:val="19"/>
              </w:rPr>
              <w:t>HIGH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>Reference calls incl. a recovered failed implementation; never single-cut payroll; staged cutover.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>Security blast radius — one breach exposes payroll + identity + device fleet together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0E0E0C"/>
                <w:sz w:val="19"/>
              </w:rPr>
              <w:t>HIGH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>Confirm ISO 27001 evidence + 24/7 security-ops layer on the chosen vendor; one-IdP hygiene; least-privilege.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>Unconfirmed scope (Rippling recruiting/managed-security; Deel DE country fee) moves the tie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0E0E0C"/>
                <w:sz w:val="19"/>
              </w:rPr>
              <w:t>MEDIUM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>Written full-scope quotes from both before signing; treat current totals as provisional.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>FX exposure (Deel USD-billed)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0E0E0C"/>
                <w:sz w:val="19"/>
              </w:rPr>
              <w:t>MEDIUM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>Rippling EUR-native neutralises it; if Deel chosen, budget/hedge USD and price the weak-EUR case.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>Vendor dependency — roadmap/pricing/viability of one vendor gates the whole back office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color w:val="0E0E0C"/>
                <w:sz w:val="19"/>
              </w:rPr>
              <w:t>MEDIUM</w:t>
            </w:r>
          </w:p>
        </w:tc>
        <w:tc>
          <w:tcPr>
            <w:tcW w:type="dxa" w:w="313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color w:val="5C5C58"/>
                <w:sz w:val="19"/>
              </w:rPr>
              <w:t>Keep EOR/payroll data standardised so EOR↔local-entity migration stays feasible.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Inter" w:hAnsi="Inter"/>
          <w:b/>
          <w:color w:val="0E0E0C"/>
          <w:sz w:val="26"/>
        </w:rPr>
        <w:t>9. Kill criteria / tripwires (binding)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IF</w:t>
      </w:r>
      <w:r>
        <w:rPr>
          <w:rFonts w:ascii="Georgia" w:hAnsi="Georgia"/>
          <w:color w:val="5C5C58"/>
          <w:sz w:val="21"/>
        </w:rPr>
        <w:t xml:space="preserve"> Rippling will not remove auto-renewal (or cap renewal increases) in writing </w:t>
      </w:r>
      <w:r>
        <w:rPr>
          <w:rFonts w:ascii="Georgia" w:hAnsi="Georgia"/>
          <w:b/>
          <w:color w:val="0E0E0C"/>
          <w:sz w:val="21"/>
        </w:rPr>
        <w:t>THEN</w:t>
      </w:r>
      <w:r>
        <w:rPr>
          <w:rFonts w:ascii="Georgia" w:hAnsi="Georgia"/>
          <w:color w:val="5C5C58"/>
          <w:sz w:val="21"/>
        </w:rPr>
        <w:t xml:space="preserve"> switch to Deel before signing.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IF</w:t>
      </w:r>
      <w:r>
        <w:rPr>
          <w:rFonts w:ascii="Georgia" w:hAnsi="Georgia"/>
          <w:color w:val="5C5C58"/>
          <w:sz w:val="21"/>
        </w:rPr>
        <w:t xml:space="preserve"> Deel's DE country fee is confirmed mandatory </w:t>
      </w:r>
      <w:r>
        <w:rPr>
          <w:rFonts w:ascii="Georgia" w:hAnsi="Georgia"/>
          <w:b/>
          <w:color w:val="0E0E0C"/>
          <w:sz w:val="21"/>
        </w:rPr>
        <w:t>AND</w:t>
      </w:r>
      <w:r>
        <w:rPr>
          <w:rFonts w:ascii="Georgia" w:hAnsi="Georgia"/>
          <w:color w:val="5C5C58"/>
          <w:sz w:val="21"/>
        </w:rPr>
        <w:t xml:space="preserve"> it moves the 2-yr total materially against Deel </w:t>
      </w:r>
      <w:r>
        <w:rPr>
          <w:rFonts w:ascii="Georgia" w:hAnsi="Georgia"/>
          <w:b/>
          <w:color w:val="0E0E0C"/>
          <w:sz w:val="21"/>
        </w:rPr>
        <w:t>THEN</w:t>
      </w:r>
      <w:r>
        <w:rPr>
          <w:rFonts w:ascii="Georgia" w:hAnsi="Georgia"/>
          <w:color w:val="5C5C58"/>
          <w:sz w:val="21"/>
        </w:rPr>
        <w:t xml:space="preserve"> Deel's commercial tie is void (reinforces Rippling — provided auto-renewal is handled).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IF</w:t>
      </w:r>
      <w:r>
        <w:rPr>
          <w:rFonts w:ascii="Georgia" w:hAnsi="Georgia"/>
          <w:color w:val="5C5C58"/>
          <w:sz w:val="21"/>
        </w:rPr>
        <w:t xml:space="preserve"> reference calls reveal poor managed-service responsiveness on the chosen vendor </w:t>
      </w:r>
      <w:r>
        <w:rPr>
          <w:rFonts w:ascii="Georgia" w:hAnsi="Georgia"/>
          <w:b/>
          <w:color w:val="0E0E0C"/>
          <w:sz w:val="21"/>
        </w:rPr>
        <w:t>THEN</w:t>
      </w:r>
      <w:r>
        <w:rPr>
          <w:rFonts w:ascii="Georgia" w:hAnsi="Georgia"/>
          <w:color w:val="5C5C58"/>
          <w:sz w:val="21"/>
        </w:rPr>
        <w:t xml:space="preserve"> pause and re-open the comparison.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IF</w:t>
      </w:r>
      <w:r>
        <w:rPr>
          <w:rFonts w:ascii="Georgia" w:hAnsi="Georgia"/>
          <w:color w:val="5C5C58"/>
          <w:sz w:val="21"/>
        </w:rPr>
        <w:t xml:space="preserve"> the parallel payroll run produces any pay error </w:t>
      </w:r>
      <w:r>
        <w:rPr>
          <w:rFonts w:ascii="Georgia" w:hAnsi="Georgia"/>
          <w:b/>
          <w:color w:val="0E0E0C"/>
          <w:sz w:val="21"/>
        </w:rPr>
        <w:t>THEN</w:t>
      </w:r>
      <w:r>
        <w:rPr>
          <w:rFonts w:ascii="Georgia" w:hAnsi="Georgia"/>
          <w:color w:val="5C5C58"/>
          <w:sz w:val="21"/>
        </w:rPr>
        <w:t xml:space="preserve"> do not cut over; extend the parallel run until two consecutive clean cycles.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IF</w:t>
      </w:r>
      <w:r>
        <w:rPr>
          <w:rFonts w:ascii="Georgia" w:hAnsi="Georgia"/>
          <w:color w:val="5C5C58"/>
          <w:sz w:val="21"/>
        </w:rPr>
        <w:t xml:space="preserve"> written full-scope quotes move the 2-yr delta beyond ~10% </w:t>
      </w:r>
      <w:r>
        <w:rPr>
          <w:rFonts w:ascii="Georgia" w:hAnsi="Georgia"/>
          <w:b/>
          <w:color w:val="0E0E0C"/>
          <w:sz w:val="21"/>
        </w:rPr>
        <w:t>THEN</w:t>
      </w:r>
      <w:r>
        <w:rPr>
          <w:rFonts w:ascii="Georgia" w:hAnsi="Georgia"/>
          <w:color w:val="5C5C58"/>
          <w:sz w:val="21"/>
        </w:rPr>
        <w:t xml:space="preserve"> re-run the scorecard before signing.</w:t>
      </w:r>
    </w:p>
    <w:p>
      <w:pPr>
        <w:spacing w:before="240" w:after="80"/>
      </w:pPr>
      <w:r>
        <w:rPr>
          <w:rFonts w:ascii="Inter" w:hAnsi="Inter"/>
          <w:b/>
          <w:color w:val="0E0E0C"/>
          <w:sz w:val="26"/>
        </w:rPr>
        <w:t>10. Dissent (verbatim)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General Counsel (inline board):</w:t>
      </w:r>
      <w:r>
        <w:rPr>
          <w:rFonts w:ascii="Georgia" w:hAnsi="Georgia"/>
          <w:color w:val="5C5C58"/>
          <w:sz w:val="21"/>
        </w:rPr>
        <w:t xml:space="preserve"> "In an all-eggs single-vendor bet, the contract is the only thing protecting you at renewal. Rippling auto-renews and Deel does not. A 0.2-point scorecard edge does not outweigh handing one vendor multi-year pricing power over your entire back office. Unless auto-renewal is struck out in writing, Deel is the safer all-eggs partner."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CISO (inline board):</w:t>
      </w:r>
      <w:r>
        <w:rPr>
          <w:rFonts w:ascii="Georgia" w:hAnsi="Georgia"/>
          <w:color w:val="5C5C58"/>
          <w:sz w:val="21"/>
        </w:rPr>
        <w:t xml:space="preserve"> "Both vendors' 24/7 security-ops layer is still a CONFIRM flag. We are choosing the vendor before we have evidence that either can actually run the security operations for a consolidated payroll-plus-identity-plus-device estate. Confirm the security-ops layer before signature, not after."</w:t>
      </w:r>
    </w:p>
    <w:p>
      <w:pPr>
        <w:spacing w:before="240" w:after="80"/>
      </w:pPr>
      <w:r>
        <w:rPr>
          <w:rFonts w:ascii="Inter" w:hAnsi="Inter"/>
          <w:b/>
          <w:color w:val="0E0E0C"/>
          <w:sz w:val="26"/>
        </w:rPr>
        <w:t>11. Decision</w:t>
      </w:r>
    </w:p>
    <w:p>
      <w:r>
        <w:rPr>
          <w:rFonts w:ascii="Georgia" w:hAnsi="Georgia"/>
          <w:b/>
          <w:color w:val="0E0E0C"/>
          <w:sz w:val="22"/>
        </w:rPr>
        <w:t>Chose:</w:t>
      </w:r>
      <w:r>
        <w:rPr>
          <w:rFonts w:ascii="Georgia" w:hAnsi="Georgia"/>
          <w:color w:val="5C5C58"/>
          <w:sz w:val="22"/>
        </w:rPr>
        <w:t xml:space="preserve"> </w:t>
      </w:r>
      <w:r>
        <w:rPr>
          <w:rFonts w:ascii="Georgia" w:hAnsi="Georgia"/>
          <w:b/>
          <w:color w:val="0E0E0C"/>
          <w:sz w:val="22"/>
        </w:rPr>
        <w:t>Deel.</w:t>
      </w:r>
    </w:p>
    <w:p>
      <w:r>
        <w:rPr>
          <w:rFonts w:ascii="Georgia" w:hAnsi="Georgia"/>
          <w:b/>
          <w:color w:val="0E0E0C"/>
          <w:sz w:val="22"/>
        </w:rPr>
        <w:t>Rejected:</w:t>
      </w:r>
      <w:r>
        <w:rPr>
          <w:rFonts w:ascii="Georgia" w:hAnsi="Georgia"/>
          <w:color w:val="5C5C58"/>
          <w:sz w:val="22"/>
        </w:rPr>
        <w:t xml:space="preserve"> </w:t>
      </w:r>
      <w:r>
        <w:rPr>
          <w:rFonts w:ascii="Georgia" w:hAnsi="Georgia"/>
          <w:i/>
          <w:color w:val="5C5C58"/>
          <w:sz w:val="22"/>
        </w:rPr>
        <w:t>Rippling</w:t>
      </w:r>
      <w:r>
        <w:rPr>
          <w:rFonts w:ascii="Georgia" w:hAnsi="Georgia"/>
          <w:color w:val="5C5C58"/>
          <w:sz w:val="22"/>
        </w:rPr>
        <w:t xml:space="preserve"> — refused to remove the auto-renewal clause (the §9 tripwire), making the lock-in risk on an all-eggs single-vendor bet unacceptable; and Rippling does not lease IT devices, so a no-internal-IT team would still have to procure hardware separately. </w:t>
      </w:r>
      <w:r>
        <w:rPr>
          <w:rFonts w:ascii="Georgia" w:hAnsi="Georgia"/>
          <w:i/>
          <w:color w:val="5C5C58"/>
          <w:sz w:val="22"/>
        </w:rPr>
        <w:t>Null (don't consolidate)</w:t>
      </w:r>
      <w:r>
        <w:rPr>
          <w:rFonts w:ascii="Georgia" w:hAnsi="Georgia"/>
          <w:color w:val="5C5C58"/>
          <w:sz w:val="22"/>
        </w:rPr>
        <w:t xml:space="preserve"> — forfeits the pre-signature leverage window and leaves HR/IT/payroll fragmented through the ramp, likely forcing an internal IT hire.</w:t>
      </w:r>
    </w:p>
    <w:p>
      <w:r>
        <w:rPr>
          <w:rFonts w:ascii="Georgia" w:hAnsi="Georgia"/>
          <w:b/>
          <w:color w:val="0E0E0C"/>
          <w:sz w:val="22"/>
        </w:rPr>
        <w:t>Why this is consistent with the memo:</w:t>
      </w:r>
      <w:r>
        <w:rPr>
          <w:rFonts w:ascii="Georgia" w:hAnsi="Georgia"/>
          <w:color w:val="5C5C58"/>
          <w:sz w:val="22"/>
        </w:rPr>
        <w:t xml:space="preserve"> §5 recommended "Rippling </w:t>
      </w:r>
      <w:r>
        <w:rPr>
          <w:rFonts w:ascii="Georgia" w:hAnsi="Georgia"/>
          <w:i/>
          <w:color w:val="5C5C58"/>
          <w:sz w:val="22"/>
        </w:rPr>
        <w:t>conditional</w:t>
      </w:r>
      <w:r>
        <w:rPr>
          <w:rFonts w:ascii="Georgia" w:hAnsi="Georgia"/>
          <w:color w:val="5C5C58"/>
          <w:sz w:val="22"/>
        </w:rPr>
        <w:t>, else Deel"; the condition failed — Rippling held the auto-renewal — so the §9 kill-criterion fired exactly as pre-registered, and the §10 General Counsel dissent ("unless auto-renewal is struck out in writing, Deel is the safer all-eggs partner") becomes the operative position. The new fact that Deel leases IT devices and Rippling does not reinforces the choice on the "no internal IT" goal.</w:t>
      </w:r>
    </w:p>
    <w:p>
      <w:r>
        <w:rPr>
          <w:rFonts w:ascii="Georgia" w:hAnsi="Georgia"/>
          <w:b/>
          <w:color w:val="0E0E0C"/>
          <w:sz w:val="22"/>
        </w:rPr>
        <w:t>Decided by:</w:t>
      </w:r>
      <w:r>
        <w:rPr>
          <w:rFonts w:ascii="Georgia" w:hAnsi="Georgia"/>
          <w:color w:val="5C5C58"/>
          <w:sz w:val="22"/>
        </w:rPr>
        <w:t xml:space="preserve"> Shiv Tailor   </w:t>
      </w:r>
      <w:r>
        <w:rPr>
          <w:rFonts w:ascii="Georgia" w:hAnsi="Georgia"/>
          <w:b/>
          <w:color w:val="0E0E0C"/>
          <w:sz w:val="22"/>
        </w:rPr>
        <w:t>On:</w:t>
      </w:r>
      <w:r>
        <w:rPr>
          <w:rFonts w:ascii="Georgia" w:hAnsi="Georgia"/>
          <w:color w:val="5C5C58"/>
          <w:sz w:val="22"/>
        </w:rPr>
        <w:t xml:space="preserve"> 2026-06-24</w:t>
      </w:r>
    </w:p>
    <w:p>
      <w:r>
        <w:rPr>
          <w:rFonts w:ascii="Georgia" w:hAnsi="Georgia"/>
          <w:b/>
          <w:color w:val="0E0E0C"/>
          <w:sz w:val="22"/>
        </w:rPr>
        <w:t>Review checkpoint:</w:t>
      </w:r>
      <w:r>
        <w:rPr>
          <w:rFonts w:ascii="Georgia" w:hAnsi="Georgia"/>
          <w:color w:val="5C5C58"/>
          <w:sz w:val="22"/>
        </w:rPr>
        <w:t xml:space="preserve"> 2026-12-31 (end of Stage 1, after first production payroll cycles)</w:t>
      </w:r>
    </w:p>
    <w:p>
      <w:r>
        <w:rPr>
          <w:rFonts w:ascii="Georgia" w:hAnsi="Georgia"/>
          <w:b/>
          <w:color w:val="0E0E0C"/>
          <w:sz w:val="22"/>
        </w:rPr>
        <w:t>Freeze:</w:t>
      </w:r>
      <w:r>
        <w:rPr>
          <w:rFonts w:ascii="Georgia" w:hAnsi="Georgia"/>
          <w:color w:val="5C5C58"/>
          <w:sz w:val="22"/>
        </w:rPr>
        <w:t xml:space="preserve"> 14-day cooldown recommended before counter-signature (`/cs:freeze` not installed — recorded here). Given the decision rests on two firm facts (auto-renewal refused; no device leasing), the cooldown is a formality, not a reconsideration window.</w:t>
      </w:r>
    </w:p>
    <w:p>
      <w:pPr>
        <w:spacing w:before="240" w:after="80"/>
      </w:pPr>
      <w:r>
        <w:rPr>
          <w:rFonts w:ascii="Inter" w:hAnsi="Inter"/>
          <w:b/>
          <w:color w:val="0E0E0C"/>
          <w:sz w:val="26"/>
        </w:rPr>
        <w:t>12. What changes now — Deel-specific actions</w:t>
      </w:r>
    </w:p>
    <w:p>
      <w:r>
        <w:rPr>
          <w:rFonts w:ascii="Georgia" w:hAnsi="Georgia"/>
          <w:color w:val="5C5C58"/>
          <w:sz w:val="22"/>
        </w:rPr>
        <w:t>Choosing Deel accepts two known weaknesses (USD/FX exposure; Felix's prior failed Deel go-live) for two firm advantages (no auto-renew + locked rate; IT device leasing). The mitigations that were optional for Rippling are now mandatory: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Confirm the DE country fee / GP entity cost before counter-signing</w:t>
      </w:r>
      <w:r>
        <w:rPr>
          <w:rFonts w:ascii="Georgia" w:hAnsi="Georgia"/>
          <w:color w:val="5C5C58"/>
          <w:sz w:val="21"/>
        </w:rPr>
        <w:t xml:space="preserve"> — the workbook flags it "may be MANDATORY for EOR." We are not choosing Deel on price, so a modest increase is acceptable, but it must be known and budgeted (§9 kill-criterion still applies if it is large).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Manage USD/FX exposure</w:t>
      </w:r>
      <w:r>
        <w:rPr>
          <w:rFonts w:ascii="Georgia" w:hAnsi="Georgia"/>
          <w:color w:val="5C5C58"/>
          <w:sz w:val="21"/>
        </w:rPr>
        <w:t xml:space="preserve"> — Deel is USD-billed. Budget at the weak-EUR case (~€105.7k over 2 yrs vs €97.2k base) and seek a fixed-FX clause or a simple USD hedge.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De-risk the implementation Felix got burned by</w:t>
      </w:r>
      <w:r>
        <w:rPr>
          <w:rFonts w:ascii="Georgia" w:hAnsi="Georgia"/>
          <w:color w:val="5C5C58"/>
          <w:sz w:val="21"/>
        </w:rPr>
        <w:t xml:space="preserve"> — the headline accepted risk. Reference calls including a </w:t>
      </w:r>
      <w:r>
        <w:rPr>
          <w:rFonts w:ascii="Georgia" w:hAnsi="Georgia"/>
          <w:i/>
          <w:color w:val="5C5C58"/>
          <w:sz w:val="21"/>
        </w:rPr>
        <w:t>recovered</w:t>
      </w:r>
      <w:r>
        <w:rPr>
          <w:rFonts w:ascii="Georgia" w:hAnsi="Georgia"/>
          <w:color w:val="5C5C58"/>
          <w:sz w:val="21"/>
        </w:rPr>
        <w:t xml:space="preserve"> failed Deel go-live; a parallel payroll run to two consecutive clean cycles before cutover; named OBM/CSM + SLA response times in writing.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Lock Deel's strengths in writing</w:t>
      </w:r>
      <w:r>
        <w:rPr>
          <w:rFonts w:ascii="Georgia" w:hAnsi="Georgia"/>
          <w:color w:val="5C5C58"/>
          <w:sz w:val="21"/>
        </w:rPr>
        <w:t xml:space="preserve"> — no auto-renewal + the locked rate, plus data-export / exit-assistance and SLAs with service credits.</w:t>
      </w:r>
    </w:p>
    <w:p>
      <w:pPr>
        <w:pStyle w:val="ListBullet"/>
        <w:spacing w:after="60"/>
      </w:pPr>
      <w:r>
        <w:rPr>
          <w:rFonts w:ascii="Georgia" w:hAnsi="Georgia"/>
          <w:b/>
          <w:color w:val="0E0E0C"/>
          <w:sz w:val="21"/>
        </w:rPr>
        <w:t>Confirm device-leasing scope in the order</w:t>
      </w:r>
      <w:r>
        <w:rPr>
          <w:rFonts w:ascii="Georgia" w:hAnsi="Georgia"/>
          <w:color w:val="5C5C58"/>
          <w:sz w:val="21"/>
        </w:rPr>
        <w:t xml:space="preserve"> — procure → deploy → manage → return terms, since device leasing is a stated reason for the choice.</w:t>
      </w:r>
    </w:p>
    <w:p>
      <w:pPr>
        <w:pBdr>
          <w:bottom w:val="single" w:sz="6" w:space="6" w:color="D9D9D2"/>
        </w:pBd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8" w:space="6" w:color="CC0D2C"/>
      </w:pBdr>
      <w:tabs>
        <w:tab w:pos="9412" w:val="right"/>
      </w:tabs>
    </w:pPr>
    <w:r/>
    <w:r>
      <w:rPr>
        <w:rFonts w:ascii="Inter" w:hAnsi="Inter"/>
        <w:b/>
        <w:color w:val="0E0E0C"/>
        <w:sz w:val="18"/>
      </w:rPr>
      <w:t>nova</w:t>
    </w:r>
    <w:r>
      <w:rPr>
        <w:rFonts w:ascii="Inter" w:hAnsi="Inter"/>
        <w:b/>
        <w:color w:val="CC0D2C"/>
        <w:sz w:val="18"/>
      </w:rPr>
      <w:t>gentica</w:t>
    </w:r>
    <w:r>
      <w:rPr>
        <w:rFonts w:ascii="Inter" w:hAnsi="Inter"/>
        <w:color w:val="8A8A86"/>
        <w:sz w:val="16"/>
      </w:rPr>
      <w:t xml:space="preserve">    ·    Confidential — internal decision record</w:t>
    </w:r>
    <w:r>
      <w:tab/>
    </w:r>
    <w:fldSimple w:instr=" PAGE ">
      <w:r>
        <w:rPr>
          <w:rFonts w:ascii="Inter" w:hAnsi="Inter"/>
          <w:color w:val="8A8A8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Georgia" w:hAnsi="Georgia"/>
      <w:color w:val="5C5C5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