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Segoe UI" w:cs="Segoe UI" w:eastAsia="Segoe UI" w:hAnsi="Segoe UI"/>
          <w:b/>
          <w:bCs/>
          <w:color w:val="0284C7"/>
          <w:sz w:val="24"/>
          <w:szCs w:val="24"/>
        </w:rPr>
        <w:t xml:space="preserve">JEEVANSETU (HEALTHCAREBRIDGE)</w:t>
      </w:r>
    </w:p>
    <w:p>
      <w:pPr>
        <w:spacing w:after="80"/>
        <w:jc w:val="center"/>
      </w:pPr>
      <w:r>
        <w:rPr>
          <w:rFonts w:ascii="Segoe UI" w:cs="Segoe UI" w:eastAsia="Segoe UI" w:hAnsi="Segoe UI"/>
          <w:b/>
          <w:bCs/>
          <w:color w:val="134E4A"/>
          <w:sz w:val="32"/>
          <w:szCs w:val="32"/>
        </w:rPr>
        <w:t xml:space="preserve">🎬 3-Minute Promotional Advertisement &amp; Explainer Script</w:t>
      </w:r>
    </w:p>
    <w:p>
      <w:pPr>
        <w:spacing w:after="250"/>
        <w:jc w:val="center"/>
      </w:pPr>
      <w:r>
        <w:rPr>
          <w:rFonts w:ascii="Segoe UI" w:cs="Segoe UI" w:eastAsia="Segoe UI" w:hAnsi="Segoe UI"/>
          <w:color w:val="475569"/>
          <w:sz w:val="19"/>
          <w:szCs w:val="19"/>
        </w:rPr>
        <w:t xml:space="preserve">Storyboard, Visual Guide, and Bilingual Voiceover (VO) Script
Created for SIH Final Presentation Demo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766E" w:val="clear"/>
          </w:tcPr>
          <w:p>
            <w:r>
              <w:rPr>
                <w:rFonts w:ascii="Segoe UI" w:cs="Segoe UI" w:eastAsia="Segoe UI" w:hAnsi="Segoe UI"/>
                <w:b/>
                <w:bCs/>
                <w:color w:val="FFFFFF"/>
                <w:sz w:val="20"/>
                <w:szCs w:val="20"/>
              </w:rPr>
              <w:t xml:space="preserve">Parameter</w:t>
            </w:r>
          </w:p>
        </w:tc>
        <w:tc>
          <w:tcPr>
            <w:tcW w:type="pct" w:w="70%"/>
            <w:shd w:fill="0F766E" w:val="clear"/>
          </w:tcPr>
          <w:p>
            <w:r>
              <w:rPr>
                <w:rFonts w:ascii="Segoe UI" w:cs="Segoe UI" w:eastAsia="Segoe UI" w:hAnsi="Segoe UI"/>
                <w:b/>
                <w:bCs/>
                <w:color w:val="FFFFFF"/>
                <w:sz w:val="20"/>
                <w:szCs w:val="20"/>
              </w:rPr>
              <w:t xml:space="preserve">Details</w:t>
            </w:r>
          </w:p>
        </w:tc>
      </w:tr>
      <w:tr>
        <w:tc>
          <w:tcPr>
            <w:tcW w:type="pct" w:w="30%"/>
          </w:tcPr>
          <w:p>
            <w:r>
              <w:rPr>
                <w:rFonts w:ascii="Segoe UI" w:cs="Segoe UI" w:eastAsia="Segoe UI" w:hAnsi="Segoe UI"/>
                <w:b/>
                <w:bCs/>
                <w:color w:val="0F172A"/>
                <w:sz w:val="19"/>
                <w:szCs w:val="19"/>
              </w:rPr>
              <w:t xml:space="preserve">Video Length</w:t>
            </w:r>
          </w:p>
        </w:tc>
        <w:tc>
          <w:tcPr>
            <w:tcW w:type="pct" w:w="70%"/>
          </w:tcPr>
          <w:p>
            <w:r>
              <w:rPr>
                <w:rFonts w:ascii="Segoe UI" w:cs="Segoe UI" w:eastAsia="Segoe UI" w:hAnsi="Segoe UI"/>
                <w:b w:val="false"/>
                <w:bCs w:val="false"/>
                <w:color w:val="0F172A"/>
                <w:sz w:val="19"/>
                <w:szCs w:val="19"/>
              </w:rPr>
              <w:t xml:space="preserve">2 Minutes 45 Seconds (Ideal for SIH presentation breaks / social promo)</w:t>
            </w:r>
          </w:p>
        </w:tc>
      </w:tr>
      <w:tr>
        <w:tc>
          <w:tcPr>
            <w:tcW w:type="pct" w:w="30%"/>
          </w:tcPr>
          <w:p>
            <w:r>
              <w:rPr>
                <w:rFonts w:ascii="Segoe UI" w:cs="Segoe UI" w:eastAsia="Segoe UI" w:hAnsi="Segoe UI"/>
                <w:b/>
                <w:bCs/>
                <w:color w:val="0F172A"/>
                <w:sz w:val="19"/>
                <w:szCs w:val="19"/>
              </w:rPr>
              <w:t xml:space="preserve">Primary Audience</w:t>
            </w:r>
          </w:p>
        </w:tc>
        <w:tc>
          <w:tcPr>
            <w:tcW w:type="pct" w:w="70%"/>
          </w:tcPr>
          <w:p>
            <w:r>
              <w:rPr>
                <w:rFonts w:ascii="Segoe UI" w:cs="Segoe UI" w:eastAsia="Segoe UI" w:hAnsi="Segoe UI"/>
                <w:b w:val="false"/>
                <w:bCs w:val="false"/>
                <w:color w:val="0F172A"/>
                <w:sz w:val="19"/>
                <w:szCs w:val="19"/>
              </w:rPr>
              <w:t xml:space="preserve">SIH Judges, Health Ministry Officials, State DHS Officers, Rural Communities</w:t>
            </w:r>
          </w:p>
        </w:tc>
      </w:tr>
      <w:tr>
        <w:tc>
          <w:tcPr>
            <w:tcW w:type="pct" w:w="30%"/>
          </w:tcPr>
          <w:p>
            <w:r>
              <w:rPr>
                <w:rFonts w:ascii="Segoe UI" w:cs="Segoe UI" w:eastAsia="Segoe UI" w:hAnsi="Segoe UI"/>
                <w:b/>
                <w:bCs/>
                <w:color w:val="0F172A"/>
                <w:sz w:val="19"/>
                <w:szCs w:val="19"/>
              </w:rPr>
              <w:t xml:space="preserve">Tone</w:t>
            </w:r>
          </w:p>
        </w:tc>
        <w:tc>
          <w:tcPr>
            <w:tcW w:type="pct" w:w="70%"/>
          </w:tcPr>
          <w:p>
            <w:r>
              <w:rPr>
                <w:rFonts w:ascii="Segoe UI" w:cs="Segoe UI" w:eastAsia="Segoe UI" w:hAnsi="Segoe UI"/>
                <w:b w:val="false"/>
                <w:bCs w:val="false"/>
                <w:color w:val="0F172A"/>
                <w:sz w:val="19"/>
                <w:szCs w:val="19"/>
              </w:rPr>
              <w:t xml:space="preserve">Inspiring, tech-driven, professional, solution-oriented, compassionate</w:t>
            </w:r>
          </w:p>
        </w:tc>
      </w:tr>
      <w:tr>
        <w:tc>
          <w:tcPr>
            <w:tcW w:type="pct" w:w="30%"/>
          </w:tcPr>
          <w:p>
            <w:r>
              <w:rPr>
                <w:rFonts w:ascii="Segoe UI" w:cs="Segoe UI" w:eastAsia="Segoe UI" w:hAnsi="Segoe UI"/>
                <w:b/>
                <w:bCs/>
                <w:color w:val="0F172A"/>
                <w:sz w:val="19"/>
                <w:szCs w:val="19"/>
              </w:rPr>
              <w:t xml:space="preserve">Core Slogan</w:t>
            </w:r>
          </w:p>
        </w:tc>
        <w:tc>
          <w:tcPr>
            <w:tcW w:type="pct" w:w="70%"/>
          </w:tcPr>
          <w:p>
            <w:r>
              <w:rPr>
                <w:rFonts w:ascii="Segoe UI" w:cs="Segoe UI" w:eastAsia="Segoe UI" w:hAnsi="Segoe UI"/>
                <w:b w:val="false"/>
                <w:bCs w:val="false"/>
                <w:color w:val="0F172A"/>
                <w:sz w:val="19"/>
                <w:szCs w:val="19"/>
              </w:rPr>
              <w:t xml:space="preserve">“JeevanSetu: Don't Make Them Travel Twice”</w:t>
            </w:r>
          </w:p>
        </w:tc>
      </w:tr>
    </w:tbl>
    <w:p>
      <w:pPr>
        <w:pStyle w:val="Heading1"/>
        <w:spacing w:after="150" w:before="300"/>
      </w:pPr>
      <w:r>
        <w:rPr>
          <w:rFonts w:ascii="Segoe UI" w:cs="Segoe UI" w:eastAsia="Segoe UI" w:hAnsi="Segoe UI"/>
          <w:b/>
          <w:bCs/>
          <w:color w:val="134E4A"/>
          <w:sz w:val="24"/>
          <w:szCs w:val="24"/>
        </w:rPr>
        <w:t xml:space="preserve">🌟 Video Concept &amp; Hook</w:t>
      </w:r>
    </w:p>
    <w:p>
      <w:pPr>
        <w:spacing w:after="150"/>
      </w:pPr>
      <w:r>
        <w:rPr>
          <w:rFonts w:ascii="Segoe UI" w:cs="Segoe UI" w:eastAsia="Segoe UI" w:hAnsi="Segoe UI"/>
          <w:sz w:val="20"/>
          <w:szCs w:val="20"/>
        </w:rPr>
        <w:t xml:space="preserve">The video begins with the realistic struggle of a rural grandfather in a remote village of Gadchiroli, who needs to travel to a tertiary civil hospital for urgent cardiac review. It contrasts the chaotic, blind, offline coordination of today with the seamless, automated, and multilingual digital pathway enabled by JeevanSetu.</w:t>
      </w:r>
    </w:p>
    <w:p>
      <w:pPr>
        <w:pStyle w:val="Heading1"/>
        <w:spacing w:after="150" w:before="300"/>
      </w:pPr>
      <w:r>
        <w:rPr>
          <w:rFonts w:ascii="Segoe UI" w:cs="Segoe UI" w:eastAsia="Segoe UI" w:hAnsi="Segoe UI"/>
          <w:b/>
          <w:bCs/>
          <w:color w:val="134E4A"/>
          <w:sz w:val="24"/>
          <w:szCs w:val="24"/>
        </w:rPr>
        <w:t xml:space="preserve">🎬 Scene-by-Scene Storyboard &amp; Voiceover 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0F766E" w:val="clear"/>
          </w:tcPr>
          <w:p>
            <w:r>
              <w:rPr>
                <w:rFonts w:ascii="Segoe UI" w:cs="Segoe UI" w:eastAsia="Segoe UI" w:hAnsi="Segoe UI"/>
                <w:b/>
                <w:bCs/>
                <w:color w:val="FFFFFF"/>
                <w:sz w:val="20"/>
                <w:szCs w:val="20"/>
              </w:rPr>
              <w:t xml:space="preserve">Scene</w:t>
            </w:r>
          </w:p>
        </w:tc>
        <w:tc>
          <w:tcPr>
            <w:tcW w:type="pct" w:w="40%"/>
            <w:shd w:fill="0F766E" w:val="clear"/>
          </w:tcPr>
          <w:p>
            <w:r>
              <w:rPr>
                <w:rFonts w:ascii="Segoe UI" w:cs="Segoe UI" w:eastAsia="Segoe UI" w:hAnsi="Segoe UI"/>
                <w:b/>
                <w:bCs/>
                <w:color w:val="FFFFFF"/>
                <w:sz w:val="20"/>
                <w:szCs w:val="20"/>
              </w:rPr>
              <w:t xml:space="preserve">Visual (What to record/show on screen)</w:t>
            </w:r>
          </w:p>
        </w:tc>
        <w:tc>
          <w:tcPr>
            <w:tcW w:type="pct" w:w="40%"/>
            <w:shd w:fill="0F766E" w:val="clear"/>
          </w:tcPr>
          <w:p>
            <w:r>
              <w:rPr>
                <w:rFonts w:ascii="Segoe UI" w:cs="Segoe UI" w:eastAsia="Segoe UI" w:hAnsi="Segoe UI"/>
                <w:b/>
                <w:bCs/>
                <w:color w:val="FFFFFF"/>
                <w:sz w:val="20"/>
                <w:szCs w:val="20"/>
              </w:rPr>
              <w:t xml:space="preserve">Audio / Voiceover (VO) Script</w:t>
            </w:r>
          </w:p>
        </w:tc>
        <w:tc>
          <w:tcPr>
            <w:tcW w:type="pct" w:w="10%"/>
            <w:shd w:fill="0F766E" w:val="clear"/>
          </w:tcPr>
          <w:p>
            <w:r>
              <w:rPr>
                <w:rFonts w:ascii="Segoe UI" w:cs="Segoe UI" w:eastAsia="Segoe UI" w:hAnsi="Segoe UI"/>
                <w:b/>
                <w:bCs/>
                <w:color w:val="FFFFFF"/>
                <w:sz w:val="20"/>
                <w:szCs w:val="20"/>
              </w:rPr>
              <w:t xml:space="preserve">Time</w:t>
            </w:r>
          </w:p>
        </w:tc>
      </w:tr>
      <w:tr>
        <w:tc>
          <w:tcPr>
            <w:tcW w:type="pct" w:w="10%"/>
            <w:shd w:fill="F0FDFA" w:val="clear"/>
          </w:tcPr>
          <w:p>
            <w:pPr>
              <w:jc w:val="center"/>
            </w:pPr>
            <w:r>
              <w:rPr>
                <w:rFonts w:ascii="Segoe UI" w:cs="Segoe UI" w:eastAsia="Segoe UI" w:hAnsi="Segoe UI"/>
                <w:b/>
                <w:bCs/>
                <w:color w:val="134E4A"/>
                <w:sz w:val="21"/>
                <w:szCs w:val="21"/>
              </w:rPr>
              <w:t xml:space="preserve">1</w:t>
            </w:r>
          </w:p>
        </w:tc>
        <w:tc>
          <w:tcPr>
            <w:tcW w:type="pct" w:w="40%"/>
          </w:tcPr>
          <w:p>
            <w:r>
              <w:rPr>
                <w:rFonts w:ascii="Segoe UI" w:cs="Segoe UI" w:eastAsia="Segoe UI" w:hAnsi="Segoe UI"/>
                <w:color w:val="0F172A"/>
                <w:sz w:val="20"/>
                <w:szCs w:val="20"/>
              </w:rPr>
              <w:t xml:space="preserve">Cinematic shot of a remote rural village path / PHC facade. Slide transition showing: 'Accessibility &amp; Quality of Public Healthcare (Problem Statement 26133)'.</w:t>
            </w:r>
          </w:p>
        </w:tc>
        <w:tc>
          <w:tcPr>
            <w:tcW w:type="pct" w:w="40%"/>
          </w:tcPr>
          <w:p>
            <w:r>
              <w:rPr>
                <w:rFonts w:ascii="Segoe UI" w:cs="Segoe UI" w:eastAsia="Segoe UI" w:hAnsi="Segoe UI"/>
                <w:color w:val="0F172A"/>
                <w:sz w:val="20"/>
                <w:szCs w:val="20"/>
              </w:rPr>
              <w:t xml:space="preserve">[Soft, emotional background music starts]
VO: “Bharat ke rural and tribal areas me health access sirf treatment ke baare me nahi... balki coordination ke baare me hai. Jab ek gaav ka mareez 80 kilometer door zila aspatal ke liye nikalta hai... bina ye jaane ki waha bed khali hai ya nahi, toh har ek minute life-threatening ban jata hai.”</w:t>
            </w:r>
          </w:p>
        </w:tc>
        <w:tc>
          <w:tcPr>
            <w:tcW w:type="pct" w:w="10%"/>
          </w:tcPr>
          <w:p>
            <w:pPr>
              <w:jc w:val="center"/>
            </w:pPr>
            <w:r>
              <w:rPr>
                <w:rFonts w:ascii="Segoe UI" w:cs="Segoe UI" w:eastAsia="Segoe UI" w:hAnsi="Segoe UI"/>
                <w:b/>
                <w:bCs/>
                <w:color w:val="0284C7"/>
                <w:sz w:val="20"/>
                <w:szCs w:val="20"/>
              </w:rPr>
              <w:t xml:space="preserve">0:00 - 0:25</w:t>
            </w:r>
          </w:p>
        </w:tc>
      </w:tr>
      <w:tr>
        <w:tc>
          <w:tcPr>
            <w:tcW w:type="pct" w:w="10%"/>
            <w:shd w:fill="F0FDFA" w:val="clear"/>
          </w:tcPr>
          <w:p>
            <w:pPr>
              <w:jc w:val="center"/>
            </w:pPr>
            <w:r>
              <w:rPr>
                <w:rFonts w:ascii="Segoe UI" w:cs="Segoe UI" w:eastAsia="Segoe UI" w:hAnsi="Segoe UI"/>
                <w:b/>
                <w:bCs/>
                <w:color w:val="134E4A"/>
                <w:sz w:val="21"/>
                <w:szCs w:val="21"/>
              </w:rPr>
              <w:t xml:space="preserve">2</w:t>
            </w:r>
          </w:p>
        </w:tc>
        <w:tc>
          <w:tcPr>
            <w:tcW w:type="pct" w:w="40%"/>
          </w:tcPr>
          <w:p>
            <w:r>
              <w:rPr>
                <w:rFonts w:ascii="Segoe UI" w:cs="Segoe UI" w:eastAsia="Segoe UI" w:hAnsi="Segoe UI"/>
                <w:color w:val="0F172A"/>
                <w:sz w:val="20"/>
                <w:szCs w:val="20"/>
              </w:rPr>
              <w:t xml:space="preserve">Screen recording of JeevanSetu landing page (localhost:3000) loading with high-quality visual banner. Zoom in on 'Bridging rural patients to verified public healthcare'.</w:t>
            </w:r>
          </w:p>
        </w:tc>
        <w:tc>
          <w:tcPr>
            <w:tcW w:type="pct" w:w="40%"/>
          </w:tcPr>
          <w:p>
            <w:r>
              <w:rPr>
                <w:rFonts w:ascii="Segoe UI" w:cs="Segoe UI" w:eastAsia="Segoe UI" w:hAnsi="Segoe UI"/>
                <w:color w:val="0F172A"/>
                <w:sz w:val="20"/>
                <w:szCs w:val="20"/>
              </w:rPr>
              <w:t xml:space="preserve">[Music shifts to a positive, tech-driven upbeat tempo]
VO: “Introducing JeevanSetu — HealthcareBridge. A unified coordination layer designed for the Government of Maharashtra to eliminate referral breakdowns, prevent drug stockouts, and speak the patient's own language.”</w:t>
            </w:r>
          </w:p>
        </w:tc>
        <w:tc>
          <w:tcPr>
            <w:tcW w:type="pct" w:w="10%"/>
          </w:tcPr>
          <w:p>
            <w:pPr>
              <w:jc w:val="center"/>
            </w:pPr>
            <w:r>
              <w:rPr>
                <w:rFonts w:ascii="Segoe UI" w:cs="Segoe UI" w:eastAsia="Segoe UI" w:hAnsi="Segoe UI"/>
                <w:b/>
                <w:bCs/>
                <w:color w:val="0284C7"/>
                <w:sz w:val="20"/>
                <w:szCs w:val="20"/>
              </w:rPr>
              <w:t xml:space="preserve">0:25 - 0:50</w:t>
            </w:r>
          </w:p>
        </w:tc>
      </w:tr>
      <w:tr>
        <w:tc>
          <w:tcPr>
            <w:tcW w:type="pct" w:w="10%"/>
            <w:shd w:fill="F0FDFA" w:val="clear"/>
          </w:tcPr>
          <w:p>
            <w:pPr>
              <w:jc w:val="center"/>
            </w:pPr>
            <w:r>
              <w:rPr>
                <w:rFonts w:ascii="Segoe UI" w:cs="Segoe UI" w:eastAsia="Segoe UI" w:hAnsi="Segoe UI"/>
                <w:b/>
                <w:bCs/>
                <w:color w:val="134E4A"/>
                <w:sz w:val="21"/>
                <w:szCs w:val="21"/>
              </w:rPr>
              <w:t xml:space="preserve">3</w:t>
            </w:r>
          </w:p>
        </w:tc>
        <w:tc>
          <w:tcPr>
            <w:tcW w:type="pct" w:w="40%"/>
          </w:tcPr>
          <w:p>
            <w:r>
              <w:rPr>
                <w:rFonts w:ascii="Segoe UI" w:cs="Segoe UI" w:eastAsia="Segoe UI" w:hAnsi="Segoe UI"/>
                <w:color w:val="0F172A"/>
                <w:sz w:val="20"/>
                <w:szCs w:val="20"/>
              </w:rPr>
              <w:t xml:space="preserve">Demo of changing language to Marathi in the topbar. Scroll the page showing English translating to pure, clean Marathi. Highlight the voice call button.</w:t>
            </w:r>
          </w:p>
        </w:tc>
        <w:tc>
          <w:tcPr>
            <w:tcW w:type="pct" w:w="40%"/>
          </w:tcPr>
          <w:p>
            <w:r>
              <w:rPr>
                <w:rFonts w:ascii="Segoe UI" w:cs="Segoe UI" w:eastAsia="Segoe UI" w:hAnsi="Segoe UI"/>
                <w:color w:val="0F172A"/>
                <w:sz w:val="20"/>
                <w:szCs w:val="20"/>
              </w:rPr>
              <w:t xml:space="preserve">VO: “Hamara platform simple translation nahi... balki complete native localization provide karta hai. Marathi, Hindi, aur English me 1-click translation. And with our built-in Voice AI Assistant, citizens can check readiness just like making a simple phone call in their own dialect.”</w:t>
            </w:r>
          </w:p>
        </w:tc>
        <w:tc>
          <w:tcPr>
            <w:tcW w:type="pct" w:w="10%"/>
          </w:tcPr>
          <w:p>
            <w:pPr>
              <w:jc w:val="center"/>
            </w:pPr>
            <w:r>
              <w:rPr>
                <w:rFonts w:ascii="Segoe UI" w:cs="Segoe UI" w:eastAsia="Segoe UI" w:hAnsi="Segoe UI"/>
                <w:b/>
                <w:bCs/>
                <w:color w:val="0284C7"/>
                <w:sz w:val="20"/>
                <w:szCs w:val="20"/>
              </w:rPr>
              <w:t xml:space="preserve">0:50 - 1:15</w:t>
            </w:r>
          </w:p>
        </w:tc>
      </w:tr>
      <w:tr>
        <w:tc>
          <w:tcPr>
            <w:tcW w:type="pct" w:w="10%"/>
            <w:shd w:fill="F0FDFA" w:val="clear"/>
          </w:tcPr>
          <w:p>
            <w:pPr>
              <w:jc w:val="center"/>
            </w:pPr>
            <w:r>
              <w:rPr>
                <w:rFonts w:ascii="Segoe UI" w:cs="Segoe UI" w:eastAsia="Segoe UI" w:hAnsi="Segoe UI"/>
                <w:b/>
                <w:bCs/>
                <w:color w:val="134E4A"/>
                <w:sz w:val="21"/>
                <w:szCs w:val="21"/>
              </w:rPr>
              <w:t xml:space="preserve">4</w:t>
            </w:r>
          </w:p>
        </w:tc>
        <w:tc>
          <w:tcPr>
            <w:tcW w:type="pct" w:w="40%"/>
          </w:tcPr>
          <w:p>
            <w:r>
              <w:rPr>
                <w:rFonts w:ascii="Segoe UI" w:cs="Segoe UI" w:eastAsia="Segoe UI" w:hAnsi="Segoe UI"/>
                <w:color w:val="0F172A"/>
                <w:sz w:val="20"/>
                <w:szCs w:val="20"/>
              </w:rPr>
              <w:t xml:space="preserve">Navigate to /dashboard/patient. Showcase the Patient Health Case tracker, the 5-Stage Referral Timeline, and the High-Risk Maternal Health Follow-up checklist.</w:t>
            </w:r>
          </w:p>
        </w:tc>
        <w:tc>
          <w:tcPr>
            <w:tcW w:type="pct" w:w="40%"/>
          </w:tcPr>
          <w:p>
            <w:r>
              <w:rPr>
                <w:rFonts w:ascii="Segoe UI" w:cs="Segoe UI" w:eastAsia="Segoe UI" w:hAnsi="Segoe UI"/>
                <w:color w:val="0F172A"/>
                <w:sz w:val="20"/>
                <w:szCs w:val="20"/>
              </w:rPr>
              <w:t xml:space="preserve">VO: “Citizen dashboard par patient ko milti hai 100% transparent referral tracking. Created, Reviewed, Accepted, In-Transit, aur Completed. Koi patient drop-out nahi. Sath hi, maternal health aur chronic disease follow-ups ke liye automated trackers.”</w:t>
            </w:r>
          </w:p>
        </w:tc>
        <w:tc>
          <w:tcPr>
            <w:tcW w:type="pct" w:w="10%"/>
          </w:tcPr>
          <w:p>
            <w:pPr>
              <w:jc w:val="center"/>
            </w:pPr>
            <w:r>
              <w:rPr>
                <w:rFonts w:ascii="Segoe UI" w:cs="Segoe UI" w:eastAsia="Segoe UI" w:hAnsi="Segoe UI"/>
                <w:b/>
                <w:bCs/>
                <w:color w:val="0284C7"/>
                <w:sz w:val="20"/>
                <w:szCs w:val="20"/>
              </w:rPr>
              <w:t xml:space="preserve">1:15 - 1:45</w:t>
            </w:r>
          </w:p>
        </w:tc>
      </w:tr>
      <w:tr>
        <w:tc>
          <w:tcPr>
            <w:tcW w:type="pct" w:w="10%"/>
            <w:shd w:fill="F0FDFA" w:val="clear"/>
          </w:tcPr>
          <w:p>
            <w:pPr>
              <w:jc w:val="center"/>
            </w:pPr>
            <w:r>
              <w:rPr>
                <w:rFonts w:ascii="Segoe UI" w:cs="Segoe UI" w:eastAsia="Segoe UI" w:hAnsi="Segoe UI"/>
                <w:b/>
                <w:bCs/>
                <w:color w:val="134E4A"/>
                <w:sz w:val="21"/>
                <w:szCs w:val="21"/>
              </w:rPr>
              <w:t xml:space="preserve">5</w:t>
            </w:r>
          </w:p>
        </w:tc>
        <w:tc>
          <w:tcPr>
            <w:tcW w:type="pct" w:w="40%"/>
          </w:tcPr>
          <w:p>
            <w:r>
              <w:rPr>
                <w:rFonts w:ascii="Segoe UI" w:cs="Segoe UI" w:eastAsia="Segoe UI" w:hAnsi="Segoe UI"/>
                <w:color w:val="0F172A"/>
                <w:sz w:val="20"/>
                <w:szCs w:val="20"/>
              </w:rPr>
              <w:t xml:space="preserve">Navigate to /inventory. Show the Essential Medicines List table. Click the 'Sync DVDMS Live' button. Show the green sync banner and the depleting stock warnings (yellow and red badges).</w:t>
            </w:r>
          </w:p>
        </w:tc>
        <w:tc>
          <w:tcPr>
            <w:tcW w:type="pct" w:w="40%"/>
          </w:tcPr>
          <w:p>
            <w:r>
              <w:rPr>
                <w:rFonts w:ascii="Segoe UI" w:cs="Segoe UI" w:eastAsia="Segoe UI" w:hAnsi="Segoe UI"/>
                <w:color w:val="0F172A"/>
                <w:sz w:val="20"/>
                <w:szCs w:val="20"/>
              </w:rPr>
              <w:t xml:space="preserve">VO: “Primary Health Centres ko medicine shortage se bachane ke liye, JeevanSetu direct Maharashtra DVDMS e-Aushadhi portal se live sync karta hai. Hamara deterministic forecasting engine stockout hone se 5 din pehle warning aur automated requisition indent slips generate kar deta hai.”</w:t>
            </w:r>
          </w:p>
        </w:tc>
        <w:tc>
          <w:tcPr>
            <w:tcW w:type="pct" w:w="10%"/>
          </w:tcPr>
          <w:p>
            <w:pPr>
              <w:jc w:val="center"/>
            </w:pPr>
            <w:r>
              <w:rPr>
                <w:rFonts w:ascii="Segoe UI" w:cs="Segoe UI" w:eastAsia="Segoe UI" w:hAnsi="Segoe UI"/>
                <w:b/>
                <w:bCs/>
                <w:color w:val="0284C7"/>
                <w:sz w:val="20"/>
                <w:szCs w:val="20"/>
              </w:rPr>
              <w:t xml:space="preserve">1:45 - 2:15</w:t>
            </w:r>
          </w:p>
        </w:tc>
      </w:tr>
      <w:tr>
        <w:tc>
          <w:tcPr>
            <w:tcW w:type="pct" w:w="10%"/>
            <w:shd w:fill="F0FDFA" w:val="clear"/>
          </w:tcPr>
          <w:p>
            <w:pPr>
              <w:jc w:val="center"/>
            </w:pPr>
            <w:r>
              <w:rPr>
                <w:rFonts w:ascii="Segoe UI" w:cs="Segoe UI" w:eastAsia="Segoe UI" w:hAnsi="Segoe UI"/>
                <w:b/>
                <w:bCs/>
                <w:color w:val="134E4A"/>
                <w:sz w:val="21"/>
                <w:szCs w:val="21"/>
              </w:rPr>
              <w:t xml:space="preserve">6</w:t>
            </w:r>
          </w:p>
        </w:tc>
        <w:tc>
          <w:tcPr>
            <w:tcW w:type="pct" w:w="40%"/>
          </w:tcPr>
          <w:p>
            <w:r>
              <w:rPr>
                <w:rFonts w:ascii="Segoe UI" w:cs="Segoe UI" w:eastAsia="Segoe UI" w:hAnsi="Segoe UI"/>
                <w:color w:val="0F172A"/>
                <w:sz w:val="20"/>
                <w:szCs w:val="20"/>
              </w:rPr>
              <w:t xml:space="preserve">Demonstrate the Location Modal. Click 'Auto-Detect Live GPS Location' and show the verified tertiary hospitals, accepted government schemes (PM-JAY), and local NGO transit list updating instantly.</w:t>
            </w:r>
          </w:p>
        </w:tc>
        <w:tc>
          <w:tcPr>
            <w:tcW w:type="pct" w:w="40%"/>
          </w:tcPr>
          <w:p>
            <w:r>
              <w:rPr>
                <w:rFonts w:ascii="Segoe UI" w:cs="Segoe UI" w:eastAsia="Segoe UI" w:hAnsi="Segoe UI"/>
                <w:color w:val="0F172A"/>
                <w:sz w:val="20"/>
                <w:szCs w:val="20"/>
              </w:rPr>
              <w:t xml:space="preserve">VO: “Hamara Guided Navigator live GPS and district routing ke sath verified hospitals directory and PM-JAY/MJPJAY scheme eligibility match karta hai, taaki BPL families ko cashless support mile bina kisi paper friction ke.”</w:t>
            </w:r>
          </w:p>
        </w:tc>
        <w:tc>
          <w:tcPr>
            <w:tcW w:type="pct" w:w="10%"/>
          </w:tcPr>
          <w:p>
            <w:pPr>
              <w:jc w:val="center"/>
            </w:pPr>
            <w:r>
              <w:rPr>
                <w:rFonts w:ascii="Segoe UI" w:cs="Segoe UI" w:eastAsia="Segoe UI" w:hAnsi="Segoe UI"/>
                <w:b/>
                <w:bCs/>
                <w:color w:val="0284C7"/>
                <w:sz w:val="20"/>
                <w:szCs w:val="20"/>
              </w:rPr>
              <w:t xml:space="preserve">2:15 - 2:35</w:t>
            </w:r>
          </w:p>
        </w:tc>
      </w:tr>
      <w:tr>
        <w:tc>
          <w:tcPr>
            <w:tcW w:type="pct" w:w="10%"/>
            <w:shd w:fill="F0FDFA" w:val="clear"/>
          </w:tcPr>
          <w:p>
            <w:pPr>
              <w:jc w:val="center"/>
            </w:pPr>
            <w:r>
              <w:rPr>
                <w:rFonts w:ascii="Segoe UI" w:cs="Segoe UI" w:eastAsia="Segoe UI" w:hAnsi="Segoe UI"/>
                <w:b/>
                <w:bCs/>
                <w:color w:val="134E4A"/>
                <w:sz w:val="21"/>
                <w:szCs w:val="21"/>
              </w:rPr>
              <w:t xml:space="preserve">7</w:t>
            </w:r>
          </w:p>
        </w:tc>
        <w:tc>
          <w:tcPr>
            <w:tcW w:type="pct" w:w="40%"/>
          </w:tcPr>
          <w:p>
            <w:r>
              <w:rPr>
                <w:rFonts w:ascii="Segoe UI" w:cs="Segoe UI" w:eastAsia="Segoe UI" w:hAnsi="Segoe UI"/>
                <w:color w:val="0F172A"/>
                <w:sz w:val="20"/>
                <w:szCs w:val="20"/>
              </w:rPr>
              <w:t xml:space="preserve">Final screen showing the team name 'PBCOE_EKATVA', SIH 2026 logo, and the JeevanSetu logo with slogan 'Don't Make Them Travel Twice'.</w:t>
            </w:r>
          </w:p>
        </w:tc>
        <w:tc>
          <w:tcPr>
            <w:tcW w:type="pct" w:w="40%"/>
          </w:tcPr>
          <w:p>
            <w:r>
              <w:rPr>
                <w:rFonts w:ascii="Segoe UI" w:cs="Segoe UI" w:eastAsia="Segoe UI" w:hAnsi="Segoe UI"/>
                <w:color w:val="0F172A"/>
                <w:sz w:val="20"/>
                <w:szCs w:val="20"/>
              </w:rPr>
              <w:t xml:space="preserve">[Inspiring music peaks]
VO: “Coordinated, transparent, and equitable. JeevanSetu bridges the gap between remote villages and quality tertiary care. Aligned with Digital India and National Health Mission. Team PBCOE_EKATVA. Thank you.”</w:t>
            </w:r>
          </w:p>
        </w:tc>
        <w:tc>
          <w:tcPr>
            <w:tcW w:type="pct" w:w="10%"/>
          </w:tcPr>
          <w:p>
            <w:pPr>
              <w:jc w:val="center"/>
            </w:pPr>
            <w:r>
              <w:rPr>
                <w:rFonts w:ascii="Segoe UI" w:cs="Segoe UI" w:eastAsia="Segoe UI" w:hAnsi="Segoe UI"/>
                <w:b/>
                <w:bCs/>
                <w:color w:val="0284C7"/>
                <w:sz w:val="20"/>
                <w:szCs w:val="20"/>
              </w:rPr>
              <w:t xml:space="preserve">2:35 - 2:45</w:t>
            </w:r>
          </w:p>
        </w:tc>
      </w:tr>
    </w:tbl>
    <w:p>
      <w:pPr>
        <w:pStyle w:val="Heading1"/>
        <w:spacing w:after="150" w:before="300"/>
      </w:pPr>
      <w:r>
        <w:rPr>
          <w:rFonts w:ascii="Segoe UI" w:cs="Segoe UI" w:eastAsia="Segoe UI" w:hAnsi="Segoe UI"/>
          <w:b/>
          <w:bCs/>
          <w:color w:val="134E4A"/>
          <w:sz w:val="24"/>
          <w:szCs w:val="24"/>
        </w:rPr>
        <w:t xml:space="preserve">📹 How to Record and Create this Video Yourself</w:t>
      </w:r>
    </w:p>
    <w:p>
      <w:pPr>
        <w:spacing w:after="120" w:line="240"/>
      </w:pPr>
      <w:r>
        <w:rPr>
          <w:rFonts w:ascii="Segoe UI" w:cs="Segoe UI" w:eastAsia="Segoe UI" w:hAnsi="Segoe UI"/>
          <w:sz w:val="20"/>
          <w:szCs w:val="20"/>
        </w:rPr>
        <w:t xml:space="preserve">Since the Playwright automated browser context faced a remote 404 driver error, you can easily record this high-quality walkthrough yourself using OBS Studio, Microsoft Clipchamp, or Loom by following these steps:</w:t>
      </w:r>
    </w:p>
    <w:p>
      <w:pPr>
        <w:pStyle w:val="ListParagraph"/>
        <w:numPr>
          <w:ilvl w:val="0"/>
          <w:numId w:val="1"/>
        </w:numPr>
      </w:pPr>
      <w:r>
        <w:rPr>
          <w:rFonts w:ascii="Segoe UI" w:cs="Segoe UI" w:eastAsia="Segoe UI" w:hAnsi="Segoe UI"/>
          <w:sz w:val="20"/>
          <w:szCs w:val="20"/>
        </w:rPr>
        <w:t xml:space="preserve">Step 1: Start your local development server by running `npm run dev` in the `frontend` folder.</w:t>
      </w:r>
    </w:p>
    <w:p>
      <w:pPr>
        <w:pStyle w:val="ListParagraph"/>
        <w:numPr>
          <w:ilvl w:val="0"/>
          <w:numId w:val="1"/>
        </w:numPr>
      </w:pPr>
      <w:r>
        <w:rPr>
          <w:rFonts w:ascii="Segoe UI" w:cs="Segoe UI" w:eastAsia="Segoe UI" w:hAnsi="Segoe UI"/>
          <w:sz w:val="20"/>
          <w:szCs w:val="20"/>
        </w:rPr>
        <w:t xml:space="preserve">Step 2: Open your browser to `http://localhost:3000/` and press F11 for full-screen mode to remove browser address bars and maximize visual aesthetics.</w:t>
      </w:r>
    </w:p>
    <w:p>
      <w:pPr>
        <w:pStyle w:val="ListParagraph"/>
        <w:numPr>
          <w:ilvl w:val="0"/>
          <w:numId w:val="1"/>
        </w:numPr>
      </w:pPr>
      <w:r>
        <w:rPr>
          <w:rFonts w:ascii="Segoe UI" w:cs="Segoe UI" w:eastAsia="Segoe UI" w:hAnsi="Segoe UI"/>
          <w:sz w:val="20"/>
          <w:szCs w:val="20"/>
        </w:rPr>
        <w:t xml:space="preserve">Step 3: Follow the visual instructions in the Storyboard above while recording your screen. Keep mouse movements smooth and slow.</w:t>
      </w:r>
    </w:p>
    <w:p>
      <w:pPr>
        <w:pStyle w:val="ListParagraph"/>
        <w:numPr>
          <w:ilvl w:val="0"/>
          <w:numId w:val="1"/>
        </w:numPr>
      </w:pPr>
      <w:r>
        <w:rPr>
          <w:rFonts w:ascii="Segoe UI" w:cs="Segoe UI" w:eastAsia="Segoe UI" w:hAnsi="Segoe UI"/>
          <w:sz w:val="20"/>
          <w:szCs w:val="20"/>
        </w:rPr>
        <w:t xml:space="preserve">Step 4: Use a clear microphone to record the provided Voiceover (VO) script, or overlay it as subtitles with soft, inspiring background instrumental music.</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F172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2026-08-29T03:14:42.995Z</dcterms:created>
  <dcterms:modified xsi:type="dcterms:W3CDTF">2026-08-29T03:14:42.996Z</dcterms:modified>
</cp:coreProperties>
</file>

<file path=docProps/custom.xml><?xml version="1.0" encoding="utf-8"?>
<Properties xmlns="http://schemas.openxmlformats.org/officeDocument/2006/custom-properties" xmlns:vt="http://schemas.openxmlformats.org/officeDocument/2006/docPropsVTypes"/>
</file>