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SALES PERFORMANCE EXECUTIVE SUMMARY</w:t>
      </w:r>
    </w:p>
    <w:p>
      <w:pPr>
        <w:spacing w:after="360"/>
        <w:jc w:val="center"/>
      </w:pPr>
      <w:r>
        <w:rPr>
          <w:b/>
          <w:bCs/>
          <w:sz w:val="24"/>
          <w:szCs w:val="24"/>
        </w:rPr>
        <w:t xml:space="preserve">Period: 2014-2017</w:t>
      </w:r>
    </w:p>
    <w:p>
      <w:pPr>
        <w:pStyle w:val="Heading2"/>
      </w:pPr>
      <w:r>
        <w:t xml:space="preserve">Executive Overview</w:t>
      </w:r>
    </w:p>
    <w:p>
      <w:pPr>
        <w:spacing w:after="240"/>
      </w:pPr>
      <w:r>
        <w:t xml:space="preserve">This report provides a comprehensive analysis of sales performance across a four-year period (2014-2017), covering 9,993 transactions from 793 unique customers across multiple product categories and geographic locations. The analysis reveals consistent year-over-year growth with strong performance in the Technology category and significant geographic concentration in California and New York.</w:t>
      </w:r>
    </w:p>
    <w:p>
      <w:pPr>
        <w:pStyle w:val="Heading2"/>
      </w:pPr>
      <w:r>
        <w:t xml:space="preserve">Key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5" w:val="clear"/>
            <w:tcMar>
              <w:top w:type="dxa" w:w="80"/>
              <w:left w:type="dxa" w:w="120"/>
              <w:bottom w:type="dxa" w:w="80"/>
              <w:right w:type="dxa" w:w="120"/>
            </w:tcMar>
          </w:tcPr>
          <w:p>
            <w:r>
              <w:rPr>
                <w:b/>
                <w:bCs/>
                <w:color w:val="FFFFFF"/>
              </w:rPr>
              <w:t xml:space="preserve">Metric</w:t>
            </w:r>
          </w:p>
        </w:tc>
        <w:tc>
          <w:tcPr>
            <w:tcW w:type="dxa" w:w="4680"/>
            <w:shd w:fill="2E75B5" w:val="clear"/>
            <w:tcMar>
              <w:top w:type="dxa" w:w="80"/>
              <w:left w:type="dxa" w:w="120"/>
              <w:bottom w:type="dxa" w:w="80"/>
              <w:right w:type="dxa" w:w="120"/>
            </w:tcMar>
          </w:tcPr>
          <w:p>
            <w:r>
              <w:rPr>
                <w:b/>
                <w:bCs/>
                <w:color w:val="FFFFFF"/>
              </w:rPr>
              <w:t xml:space="preserve">Value</w:t>
            </w:r>
          </w:p>
        </w:tc>
      </w:tr>
      <w:tr>
        <w:tc>
          <w:tcPr>
            <w:tcW w:type="dxa" w:w="4680"/>
            <w:shd w:fill="F2F2F2" w:val="clear"/>
            <w:tcMar>
              <w:top w:type="dxa" w:w="80"/>
              <w:left w:type="dxa" w:w="120"/>
              <w:bottom w:type="dxa" w:w="80"/>
              <w:right w:type="dxa" w:w="120"/>
            </w:tcMar>
          </w:tcPr>
          <w:p>
            <w:r>
              <w:t xml:space="preserve">Total Sales Revenue</w:t>
            </w:r>
          </w:p>
        </w:tc>
        <w:tc>
          <w:tcPr>
            <w:tcW w:type="dxa" w:w="4680"/>
            <w:shd w:fill="F2F2F2" w:val="clear"/>
            <w:tcMar>
              <w:top w:type="dxa" w:w="80"/>
              <w:left w:type="dxa" w:w="120"/>
              <w:bottom w:type="dxa" w:w="80"/>
              <w:right w:type="dxa" w:w="120"/>
            </w:tcMar>
          </w:tcPr>
          <w:p>
            <w:r>
              <w:rPr>
                <w:b/>
                <w:bCs/>
              </w:rPr>
              <w:t xml:space="preserve">$2,296,919.70</w:t>
            </w:r>
          </w:p>
        </w:tc>
      </w:tr>
      <w:tr>
        <w:tc>
          <w:tcPr>
            <w:tcW w:type="dxa" w:w="4680"/>
            <w:tcMar>
              <w:top w:type="dxa" w:w="80"/>
              <w:left w:type="dxa" w:w="120"/>
              <w:bottom w:type="dxa" w:w="80"/>
              <w:right w:type="dxa" w:w="120"/>
            </w:tcMar>
          </w:tcPr>
          <w:p>
            <w:r>
              <w:t xml:space="preserve">Total Profit</w:t>
            </w:r>
          </w:p>
        </w:tc>
        <w:tc>
          <w:tcPr>
            <w:tcW w:type="dxa" w:w="4680"/>
            <w:tcMar>
              <w:top w:type="dxa" w:w="80"/>
              <w:left w:type="dxa" w:w="120"/>
              <w:bottom w:type="dxa" w:w="80"/>
              <w:right w:type="dxa" w:w="120"/>
            </w:tcMar>
          </w:tcPr>
          <w:p>
            <w:r>
              <w:rPr>
                <w:b/>
                <w:bCs/>
              </w:rPr>
              <w:t xml:space="preserve">$286,409.85</w:t>
            </w:r>
          </w:p>
        </w:tc>
      </w:tr>
      <w:tr>
        <w:tc>
          <w:tcPr>
            <w:tcW w:type="dxa" w:w="4680"/>
            <w:shd w:fill="F2F2F2" w:val="clear"/>
            <w:tcMar>
              <w:top w:type="dxa" w:w="80"/>
              <w:left w:type="dxa" w:w="120"/>
              <w:bottom w:type="dxa" w:w="80"/>
              <w:right w:type="dxa" w:w="120"/>
            </w:tcMar>
          </w:tcPr>
          <w:p>
            <w:r>
              <w:t xml:space="preserve">Overall Profit Margin</w:t>
            </w:r>
          </w:p>
        </w:tc>
        <w:tc>
          <w:tcPr>
            <w:tcW w:type="dxa" w:w="4680"/>
            <w:shd w:fill="F2F2F2" w:val="clear"/>
            <w:tcMar>
              <w:top w:type="dxa" w:w="80"/>
              <w:left w:type="dxa" w:w="120"/>
              <w:bottom w:type="dxa" w:w="80"/>
              <w:right w:type="dxa" w:w="120"/>
            </w:tcMar>
          </w:tcPr>
          <w:p>
            <w:r>
              <w:rPr>
                <w:b/>
                <w:bCs/>
              </w:rPr>
              <w:t xml:space="preserve">12.47%</w:t>
            </w:r>
          </w:p>
        </w:tc>
      </w:tr>
      <w:tr>
        <w:tc>
          <w:tcPr>
            <w:tcW w:type="dxa" w:w="4680"/>
            <w:tcMar>
              <w:top w:type="dxa" w:w="80"/>
              <w:left w:type="dxa" w:w="120"/>
              <w:bottom w:type="dxa" w:w="80"/>
              <w:right w:type="dxa" w:w="120"/>
            </w:tcMar>
          </w:tcPr>
          <w:p>
            <w:r>
              <w:t xml:space="preserve">Total Transactions</w:t>
            </w:r>
          </w:p>
        </w:tc>
        <w:tc>
          <w:tcPr>
            <w:tcW w:type="dxa" w:w="4680"/>
            <w:tcMar>
              <w:top w:type="dxa" w:w="80"/>
              <w:left w:type="dxa" w:w="120"/>
              <w:bottom w:type="dxa" w:w="80"/>
              <w:right w:type="dxa" w:w="120"/>
            </w:tcMar>
          </w:tcPr>
          <w:p>
            <w:r>
              <w:rPr>
                <w:b/>
                <w:bCs/>
              </w:rPr>
              <w:t xml:space="preserve">9,993</w:t>
            </w:r>
          </w:p>
        </w:tc>
      </w:tr>
      <w:tr>
        <w:tc>
          <w:tcPr>
            <w:tcW w:type="dxa" w:w="4680"/>
            <w:shd w:fill="F2F2F2" w:val="clear"/>
            <w:tcMar>
              <w:top w:type="dxa" w:w="80"/>
              <w:left w:type="dxa" w:w="120"/>
              <w:bottom w:type="dxa" w:w="80"/>
              <w:right w:type="dxa" w:w="120"/>
            </w:tcMar>
          </w:tcPr>
          <w:p>
            <w:r>
              <w:t xml:space="preserve">Unique Customers</w:t>
            </w:r>
          </w:p>
        </w:tc>
        <w:tc>
          <w:tcPr>
            <w:tcW w:type="dxa" w:w="4680"/>
            <w:shd w:fill="F2F2F2" w:val="clear"/>
            <w:tcMar>
              <w:top w:type="dxa" w:w="80"/>
              <w:left w:type="dxa" w:w="120"/>
              <w:bottom w:type="dxa" w:w="80"/>
              <w:right w:type="dxa" w:w="120"/>
            </w:tcMar>
          </w:tcPr>
          <w:p>
            <w:r>
              <w:rPr>
                <w:b/>
                <w:bCs/>
              </w:rPr>
              <w:t xml:space="preserve">793</w:t>
            </w:r>
          </w:p>
        </w:tc>
      </w:tr>
      <w:tr>
        <w:tc>
          <w:tcPr>
            <w:tcW w:type="dxa" w:w="4680"/>
            <w:tcMar>
              <w:top w:type="dxa" w:w="80"/>
              <w:left w:type="dxa" w:w="120"/>
              <w:bottom w:type="dxa" w:w="80"/>
              <w:right w:type="dxa" w:w="120"/>
            </w:tcMar>
          </w:tcPr>
          <w:p>
            <w:r>
              <w:t xml:space="preserve">Average Order Value</w:t>
            </w:r>
          </w:p>
        </w:tc>
        <w:tc>
          <w:tcPr>
            <w:tcW w:type="dxa" w:w="4680"/>
            <w:tcMar>
              <w:top w:type="dxa" w:w="80"/>
              <w:left w:type="dxa" w:w="120"/>
              <w:bottom w:type="dxa" w:w="80"/>
              <w:right w:type="dxa" w:w="120"/>
            </w:tcMar>
          </w:tcPr>
          <w:p>
            <w:r>
              <w:rPr>
                <w:b/>
                <w:bCs/>
              </w:rPr>
              <w:t xml:space="preserve">$229.85</w:t>
            </w:r>
          </w:p>
        </w:tc>
      </w:tr>
    </w:tbl>
    <w:p>
      <w:pPr>
        <w:spacing w:after="240"/>
      </w:pPr>
    </w:p>
    <w:p>
      <w:pPr>
        <w:pStyle w:val="Heading2"/>
      </w:pPr>
      <w:r>
        <w:t xml:space="preserve">Year-over-Year Performance</w:t>
      </w:r>
    </w:p>
    <w:p>
      <w:pPr>
        <w:spacing w:after="180"/>
      </w:pPr>
      <w:r>
        <w:t xml:space="preserve">The business demonstrates strong growth trajectory with sales increasing by 51.5% from 2014 to 2017. Both revenue and profit show consistent upward trends, indicating healthy business expansion and improved 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5" w:val="clear"/>
            <w:tcMar>
              <w:top w:type="dxa" w:w="80"/>
              <w:left w:type="dxa" w:w="120"/>
              <w:bottom w:type="dxa" w:w="80"/>
              <w:right w:type="dxa" w:w="120"/>
            </w:tcMar>
          </w:tcPr>
          <w:p>
            <w:r>
              <w:rPr>
                <w:b/>
                <w:bCs/>
                <w:color w:val="FFFFFF"/>
              </w:rPr>
              <w:t xml:space="preserve">Year</w:t>
            </w:r>
          </w:p>
        </w:tc>
        <w:tc>
          <w:tcPr>
            <w:tcW w:type="dxa" w:w="2340"/>
            <w:shd w:fill="2E75B5" w:val="clear"/>
            <w:tcMar>
              <w:top w:type="dxa" w:w="80"/>
              <w:left w:type="dxa" w:w="120"/>
              <w:bottom w:type="dxa" w:w="80"/>
              <w:right w:type="dxa" w:w="120"/>
            </w:tcMar>
          </w:tcPr>
          <w:p>
            <w:r>
              <w:rPr>
                <w:b/>
                <w:bCs/>
                <w:color w:val="FFFFFF"/>
              </w:rPr>
              <w:t xml:space="preserve">Sales</w:t>
            </w:r>
          </w:p>
        </w:tc>
        <w:tc>
          <w:tcPr>
            <w:tcW w:type="dxa" w:w="2340"/>
            <w:shd w:fill="2E75B5" w:val="clear"/>
            <w:tcMar>
              <w:top w:type="dxa" w:w="80"/>
              <w:left w:type="dxa" w:w="120"/>
              <w:bottom w:type="dxa" w:w="80"/>
              <w:right w:type="dxa" w:w="120"/>
            </w:tcMar>
          </w:tcPr>
          <w:p>
            <w:r>
              <w:rPr>
                <w:b/>
                <w:bCs/>
                <w:color w:val="FFFFFF"/>
              </w:rPr>
              <w:t xml:space="preserve">Profit</w:t>
            </w:r>
          </w:p>
        </w:tc>
        <w:tc>
          <w:tcPr>
            <w:tcW w:type="dxa" w:w="2340"/>
            <w:shd w:fill="2E75B5" w:val="clear"/>
            <w:tcMar>
              <w:top w:type="dxa" w:w="80"/>
              <w:left w:type="dxa" w:w="120"/>
              <w:bottom w:type="dxa" w:w="80"/>
              <w:right w:type="dxa" w:w="120"/>
            </w:tcMar>
          </w:tcPr>
          <w:p>
            <w:r>
              <w:rPr>
                <w:b/>
                <w:bCs/>
                <w:color w:val="FFFFFF"/>
              </w:rPr>
              <w:t xml:space="preserve">Customers</w:t>
            </w:r>
          </w:p>
        </w:tc>
      </w:tr>
      <w:tr>
        <w:tc>
          <w:tcPr>
            <w:tcW w:type="dxa" w:w="2340"/>
            <w:shd w:fill="F2F2F2" w:val="clear"/>
            <w:tcMar>
              <w:top w:type="dxa" w:w="80"/>
              <w:left w:type="dxa" w:w="120"/>
              <w:bottom w:type="dxa" w:w="80"/>
              <w:right w:type="dxa" w:w="120"/>
            </w:tcMar>
          </w:tcPr>
          <w:p>
            <w:r>
              <w:rPr>
                <w:b/>
                <w:bCs/>
              </w:rPr>
              <w:t xml:space="preserve">2014</w:t>
            </w:r>
          </w:p>
        </w:tc>
        <w:tc>
          <w:tcPr>
            <w:tcW w:type="dxa" w:w="2340"/>
            <w:shd w:fill="F2F2F2" w:val="clear"/>
            <w:tcMar>
              <w:top w:type="dxa" w:w="80"/>
              <w:left w:type="dxa" w:w="120"/>
              <w:bottom w:type="dxa" w:w="80"/>
              <w:right w:type="dxa" w:w="120"/>
            </w:tcMar>
          </w:tcPr>
          <w:p>
            <w:r>
              <w:t xml:space="preserve">$483,966</w:t>
            </w:r>
          </w:p>
        </w:tc>
        <w:tc>
          <w:tcPr>
            <w:tcW w:type="dxa" w:w="2340"/>
            <w:shd w:fill="F2F2F2" w:val="clear"/>
            <w:tcMar>
              <w:top w:type="dxa" w:w="80"/>
              <w:left w:type="dxa" w:w="120"/>
              <w:bottom w:type="dxa" w:w="80"/>
              <w:right w:type="dxa" w:w="120"/>
            </w:tcMar>
          </w:tcPr>
          <w:p>
            <w:r>
              <w:t xml:space="preserve">$49,556</w:t>
            </w:r>
          </w:p>
        </w:tc>
        <w:tc>
          <w:tcPr>
            <w:tcW w:type="dxa" w:w="2340"/>
            <w:shd w:fill="F2F2F2" w:val="clear"/>
            <w:tcMar>
              <w:top w:type="dxa" w:w="80"/>
              <w:left w:type="dxa" w:w="120"/>
              <w:bottom w:type="dxa" w:w="80"/>
              <w:right w:type="dxa" w:w="120"/>
            </w:tcMar>
          </w:tcPr>
          <w:p>
            <w:r>
              <w:t xml:space="preserve">595</w:t>
            </w:r>
          </w:p>
        </w:tc>
      </w:tr>
      <w:tr>
        <w:tc>
          <w:tcPr>
            <w:tcW w:type="dxa" w:w="2340"/>
            <w:tcMar>
              <w:top w:type="dxa" w:w="80"/>
              <w:left w:type="dxa" w:w="120"/>
              <w:bottom w:type="dxa" w:w="80"/>
              <w:right w:type="dxa" w:w="120"/>
            </w:tcMar>
          </w:tcPr>
          <w:p>
            <w:r>
              <w:rPr>
                <w:b/>
                <w:bCs/>
              </w:rPr>
              <w:t xml:space="preserve">2015</w:t>
            </w:r>
          </w:p>
        </w:tc>
        <w:tc>
          <w:tcPr>
            <w:tcW w:type="dxa" w:w="2340"/>
            <w:tcMar>
              <w:top w:type="dxa" w:w="80"/>
              <w:left w:type="dxa" w:w="120"/>
              <w:bottom w:type="dxa" w:w="80"/>
              <w:right w:type="dxa" w:w="120"/>
            </w:tcMar>
          </w:tcPr>
          <w:p>
            <w:r>
              <w:t xml:space="preserve">$470,532</w:t>
            </w:r>
          </w:p>
        </w:tc>
        <w:tc>
          <w:tcPr>
            <w:tcW w:type="dxa" w:w="2340"/>
            <w:tcMar>
              <w:top w:type="dxa" w:w="80"/>
              <w:left w:type="dxa" w:w="120"/>
              <w:bottom w:type="dxa" w:w="80"/>
              <w:right w:type="dxa" w:w="120"/>
            </w:tcMar>
          </w:tcPr>
          <w:p>
            <w:r>
              <w:t xml:space="preserve">$61,619</w:t>
            </w:r>
          </w:p>
        </w:tc>
        <w:tc>
          <w:tcPr>
            <w:tcW w:type="dxa" w:w="2340"/>
            <w:tcMar>
              <w:top w:type="dxa" w:w="80"/>
              <w:left w:type="dxa" w:w="120"/>
              <w:bottom w:type="dxa" w:w="80"/>
              <w:right w:type="dxa" w:w="120"/>
            </w:tcMar>
          </w:tcPr>
          <w:p>
            <w:r>
              <w:t xml:space="preserve">573</w:t>
            </w:r>
          </w:p>
        </w:tc>
      </w:tr>
      <w:tr>
        <w:tc>
          <w:tcPr>
            <w:tcW w:type="dxa" w:w="2340"/>
            <w:shd w:fill="F2F2F2" w:val="clear"/>
            <w:tcMar>
              <w:top w:type="dxa" w:w="80"/>
              <w:left w:type="dxa" w:w="120"/>
              <w:bottom w:type="dxa" w:w="80"/>
              <w:right w:type="dxa" w:w="120"/>
            </w:tcMar>
          </w:tcPr>
          <w:p>
            <w:r>
              <w:rPr>
                <w:b/>
                <w:bCs/>
              </w:rPr>
              <w:t xml:space="preserve">2016</w:t>
            </w:r>
          </w:p>
        </w:tc>
        <w:tc>
          <w:tcPr>
            <w:tcW w:type="dxa" w:w="2340"/>
            <w:shd w:fill="F2F2F2" w:val="clear"/>
            <w:tcMar>
              <w:top w:type="dxa" w:w="80"/>
              <w:left w:type="dxa" w:w="120"/>
              <w:bottom w:type="dxa" w:w="80"/>
              <w:right w:type="dxa" w:w="120"/>
            </w:tcMar>
          </w:tcPr>
          <w:p>
            <w:r>
              <w:t xml:space="preserve">$609,206</w:t>
            </w:r>
          </w:p>
        </w:tc>
        <w:tc>
          <w:tcPr>
            <w:tcW w:type="dxa" w:w="2340"/>
            <w:shd w:fill="F2F2F2" w:val="clear"/>
            <w:tcMar>
              <w:top w:type="dxa" w:w="80"/>
              <w:left w:type="dxa" w:w="120"/>
              <w:bottom w:type="dxa" w:w="80"/>
              <w:right w:type="dxa" w:w="120"/>
            </w:tcMar>
          </w:tcPr>
          <w:p>
            <w:r>
              <w:t xml:space="preserve">$81,795</w:t>
            </w:r>
          </w:p>
        </w:tc>
        <w:tc>
          <w:tcPr>
            <w:tcW w:type="dxa" w:w="2340"/>
            <w:shd w:fill="F2F2F2" w:val="clear"/>
            <w:tcMar>
              <w:top w:type="dxa" w:w="80"/>
              <w:left w:type="dxa" w:w="120"/>
              <w:bottom w:type="dxa" w:w="80"/>
              <w:right w:type="dxa" w:w="120"/>
            </w:tcMar>
          </w:tcPr>
          <w:p>
            <w:r>
              <w:t xml:space="preserve">638</w:t>
            </w:r>
          </w:p>
        </w:tc>
      </w:tr>
      <w:tr>
        <w:tc>
          <w:tcPr>
            <w:tcW w:type="dxa" w:w="2340"/>
            <w:tcMar>
              <w:top w:type="dxa" w:w="80"/>
              <w:left w:type="dxa" w:w="120"/>
              <w:bottom w:type="dxa" w:w="80"/>
              <w:right w:type="dxa" w:w="120"/>
            </w:tcMar>
          </w:tcPr>
          <w:p>
            <w:r>
              <w:rPr>
                <w:b/>
                <w:bCs/>
              </w:rPr>
              <w:t xml:space="preserve">2017</w:t>
            </w:r>
          </w:p>
        </w:tc>
        <w:tc>
          <w:tcPr>
            <w:tcW w:type="dxa" w:w="2340"/>
            <w:tcMar>
              <w:top w:type="dxa" w:w="80"/>
              <w:left w:type="dxa" w:w="120"/>
              <w:bottom w:type="dxa" w:w="80"/>
              <w:right w:type="dxa" w:w="120"/>
            </w:tcMar>
          </w:tcPr>
          <w:p>
            <w:r>
              <w:t xml:space="preserve">$733,215</w:t>
            </w:r>
          </w:p>
        </w:tc>
        <w:tc>
          <w:tcPr>
            <w:tcW w:type="dxa" w:w="2340"/>
            <w:tcMar>
              <w:top w:type="dxa" w:w="80"/>
              <w:left w:type="dxa" w:w="120"/>
              <w:bottom w:type="dxa" w:w="80"/>
              <w:right w:type="dxa" w:w="120"/>
            </w:tcMar>
          </w:tcPr>
          <w:p>
            <w:r>
              <w:t xml:space="preserve">$93,440</w:t>
            </w:r>
          </w:p>
        </w:tc>
        <w:tc>
          <w:tcPr>
            <w:tcW w:type="dxa" w:w="2340"/>
            <w:tcMar>
              <w:top w:type="dxa" w:w="80"/>
              <w:left w:type="dxa" w:w="120"/>
              <w:bottom w:type="dxa" w:w="80"/>
              <w:right w:type="dxa" w:w="120"/>
            </w:tcMar>
          </w:tcPr>
          <w:p>
            <w:r>
              <w:t xml:space="preserve">693</w:t>
            </w:r>
          </w:p>
        </w:tc>
      </w:tr>
    </w:tbl>
    <w:p>
      <w:pPr>
        <w:spacing w:after="240"/>
      </w:pPr>
    </w:p>
    <w:p>
      <w:pPr>
        <w:pStyle w:val="Heading2"/>
      </w:pPr>
      <w:r>
        <w:t xml:space="preserve">Performance by Category</w:t>
      </w:r>
    </w:p>
    <w:p>
      <w:pPr>
        <w:spacing w:after="180"/>
      </w:pPr>
      <w:r>
        <w:t xml:space="preserve">Technology leads in both sales and profitability with a strong 17.4% profit margin. While Furniture generates substantial revenue, its profit margin of only 2.5% indicates opportunities for pricing optimization or cost management. Office Supplies maintains a healthy 17.0%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5" w:val="clear"/>
            <w:tcMar>
              <w:top w:type="dxa" w:w="80"/>
              <w:left w:type="dxa" w:w="120"/>
              <w:bottom w:type="dxa" w:w="80"/>
              <w:right w:type="dxa" w:w="120"/>
            </w:tcMar>
          </w:tcPr>
          <w:p>
            <w:r>
              <w:rPr>
                <w:b/>
                <w:bCs/>
                <w:color w:val="FFFFFF"/>
              </w:rPr>
              <w:t xml:space="preserve">Category</w:t>
            </w:r>
          </w:p>
        </w:tc>
        <w:tc>
          <w:tcPr>
            <w:tcW w:type="dxa" w:w="3120"/>
            <w:shd w:fill="2E75B5" w:val="clear"/>
            <w:tcMar>
              <w:top w:type="dxa" w:w="80"/>
              <w:left w:type="dxa" w:w="120"/>
              <w:bottom w:type="dxa" w:w="80"/>
              <w:right w:type="dxa" w:w="120"/>
            </w:tcMar>
          </w:tcPr>
          <w:p>
            <w:r>
              <w:rPr>
                <w:b/>
                <w:bCs/>
                <w:color w:val="FFFFFF"/>
              </w:rPr>
              <w:t xml:space="preserve">Sales</w:t>
            </w:r>
          </w:p>
        </w:tc>
        <w:tc>
          <w:tcPr>
            <w:tcW w:type="dxa" w:w="3120"/>
            <w:shd w:fill="2E75B5" w:val="clear"/>
            <w:tcMar>
              <w:top w:type="dxa" w:w="80"/>
              <w:left w:type="dxa" w:w="120"/>
              <w:bottom w:type="dxa" w:w="80"/>
              <w:right w:type="dxa" w:w="120"/>
            </w:tcMar>
          </w:tcPr>
          <w:p>
            <w:r>
              <w:rPr>
                <w:b/>
                <w:bCs/>
                <w:color w:val="FFFFFF"/>
              </w:rPr>
              <w:t xml:space="preserve">Profit (Margin)</w:t>
            </w:r>
          </w:p>
        </w:tc>
      </w:tr>
      <w:tr>
        <w:tc>
          <w:tcPr>
            <w:tcW w:type="dxa" w:w="3120"/>
            <w:shd w:fill="F2F2F2" w:val="clear"/>
            <w:tcMar>
              <w:top w:type="dxa" w:w="80"/>
              <w:left w:type="dxa" w:w="120"/>
              <w:bottom w:type="dxa" w:w="80"/>
              <w:right w:type="dxa" w:w="120"/>
            </w:tcMar>
          </w:tcPr>
          <w:p>
            <w:r>
              <w:rPr>
                <w:b/>
                <w:bCs/>
              </w:rPr>
              <w:t xml:space="preserve">Technology</w:t>
            </w:r>
          </w:p>
        </w:tc>
        <w:tc>
          <w:tcPr>
            <w:tcW w:type="dxa" w:w="3120"/>
            <w:shd w:fill="F2F2F2" w:val="clear"/>
            <w:tcMar>
              <w:top w:type="dxa" w:w="80"/>
              <w:left w:type="dxa" w:w="120"/>
              <w:bottom w:type="dxa" w:w="80"/>
              <w:right w:type="dxa" w:w="120"/>
            </w:tcMar>
          </w:tcPr>
          <w:p>
            <w:r>
              <w:t xml:space="preserve">$836,154</w:t>
            </w:r>
          </w:p>
        </w:tc>
        <w:tc>
          <w:tcPr>
            <w:tcW w:type="dxa" w:w="3120"/>
            <w:shd w:fill="F2F2F2" w:val="clear"/>
            <w:tcMar>
              <w:top w:type="dxa" w:w="80"/>
              <w:left w:type="dxa" w:w="120"/>
              <w:bottom w:type="dxa" w:w="80"/>
              <w:right w:type="dxa" w:w="120"/>
            </w:tcMar>
          </w:tcPr>
          <w:p>
            <w:r>
              <w:t xml:space="preserve">$145,456 (17.4%)</w:t>
            </w:r>
          </w:p>
        </w:tc>
      </w:tr>
      <w:tr>
        <w:tc>
          <w:tcPr>
            <w:tcW w:type="dxa" w:w="3120"/>
            <w:tcMar>
              <w:top w:type="dxa" w:w="80"/>
              <w:left w:type="dxa" w:w="120"/>
              <w:bottom w:type="dxa" w:w="80"/>
              <w:right w:type="dxa" w:w="120"/>
            </w:tcMar>
          </w:tcPr>
          <w:p>
            <w:r>
              <w:rPr>
                <w:b/>
                <w:bCs/>
              </w:rPr>
              <w:t xml:space="preserve">Furniture</w:t>
            </w:r>
          </w:p>
        </w:tc>
        <w:tc>
          <w:tcPr>
            <w:tcW w:type="dxa" w:w="3120"/>
            <w:tcMar>
              <w:top w:type="dxa" w:w="80"/>
              <w:left w:type="dxa" w:w="120"/>
              <w:bottom w:type="dxa" w:w="80"/>
              <w:right w:type="dxa" w:w="120"/>
            </w:tcMar>
          </w:tcPr>
          <w:p>
            <w:r>
              <w:t xml:space="preserve">$741,719</w:t>
            </w:r>
          </w:p>
        </w:tc>
        <w:tc>
          <w:tcPr>
            <w:tcW w:type="dxa" w:w="3120"/>
            <w:tcMar>
              <w:top w:type="dxa" w:w="80"/>
              <w:left w:type="dxa" w:w="120"/>
              <w:bottom w:type="dxa" w:w="80"/>
              <w:right w:type="dxa" w:w="120"/>
            </w:tcMar>
          </w:tcPr>
          <w:p>
            <w:r>
              <w:t xml:space="preserve">$18,463 (2.5%)</w:t>
            </w:r>
          </w:p>
        </w:tc>
      </w:tr>
      <w:tr>
        <w:tc>
          <w:tcPr>
            <w:tcW w:type="dxa" w:w="3120"/>
            <w:shd w:fill="F2F2F2" w:val="clear"/>
            <w:tcMar>
              <w:top w:type="dxa" w:w="80"/>
              <w:left w:type="dxa" w:w="120"/>
              <w:bottom w:type="dxa" w:w="80"/>
              <w:right w:type="dxa" w:w="120"/>
            </w:tcMar>
          </w:tcPr>
          <w:p>
            <w:r>
              <w:rPr>
                <w:b/>
                <w:bCs/>
              </w:rPr>
              <w:t xml:space="preserve">Office Supplies</w:t>
            </w:r>
          </w:p>
        </w:tc>
        <w:tc>
          <w:tcPr>
            <w:tcW w:type="dxa" w:w="3120"/>
            <w:shd w:fill="F2F2F2" w:val="clear"/>
            <w:tcMar>
              <w:top w:type="dxa" w:w="80"/>
              <w:left w:type="dxa" w:w="120"/>
              <w:bottom w:type="dxa" w:w="80"/>
              <w:right w:type="dxa" w:w="120"/>
            </w:tcMar>
          </w:tcPr>
          <w:p>
            <w:r>
              <w:t xml:space="preserve">$719,047</w:t>
            </w:r>
          </w:p>
        </w:tc>
        <w:tc>
          <w:tcPr>
            <w:tcW w:type="dxa" w:w="3120"/>
            <w:shd w:fill="F2F2F2" w:val="clear"/>
            <w:tcMar>
              <w:top w:type="dxa" w:w="80"/>
              <w:left w:type="dxa" w:w="120"/>
              <w:bottom w:type="dxa" w:w="80"/>
              <w:right w:type="dxa" w:w="120"/>
            </w:tcMar>
          </w:tcPr>
          <w:p>
            <w:r>
              <w:t xml:space="preserve">$122,491 (17.0%)</w:t>
            </w:r>
          </w:p>
        </w:tc>
      </w:tr>
    </w:tbl>
    <w:p>
      <w:pPr>
        <w:spacing w:after="240"/>
      </w:pPr>
    </w:p>
    <w:p>
      <w:pPr>
        <w:pStyle w:val="Heading2"/>
      </w:pPr>
      <w:r>
        <w:t xml:space="preserve">Top Product Sub-Categories</w:t>
      </w:r>
    </w:p>
    <w:p>
      <w:pPr>
        <w:spacing w:after="180"/>
      </w:pPr>
      <w:r>
        <w:t xml:space="preserve">Phones and Chairs are the leading sub-categories by sales volume, each generating over $328,000. Storage products and Tables also show strong performance, rounding out the top four revenue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2E75B5" w:val="clear"/>
            <w:tcMar>
              <w:top w:type="dxa" w:w="80"/>
              <w:left w:type="dxa" w:w="120"/>
              <w:bottom w:type="dxa" w:w="80"/>
              <w:right w:type="dxa" w:w="120"/>
            </w:tcMar>
          </w:tcPr>
          <w:p>
            <w:r>
              <w:rPr>
                <w:b/>
                <w:bCs/>
                <w:color w:val="FFFFFF"/>
              </w:rPr>
              <w:t xml:space="preserve">Rank</w:t>
            </w:r>
          </w:p>
        </w:tc>
        <w:tc>
          <w:tcPr>
            <w:tcW w:type="dxa" w:w="7020"/>
            <w:shd w:fill="2E75B5" w:val="clear"/>
            <w:tcMar>
              <w:top w:type="dxa" w:w="80"/>
              <w:left w:type="dxa" w:w="120"/>
              <w:bottom w:type="dxa" w:w="80"/>
              <w:right w:type="dxa" w:w="120"/>
            </w:tcMar>
          </w:tcPr>
          <w:p>
            <w:r>
              <w:rPr>
                <w:b/>
                <w:bCs/>
                <w:color w:val="FFFFFF"/>
              </w:rPr>
              <w:t xml:space="preserve">Sub-Category (Sales)</w:t>
            </w:r>
          </w:p>
        </w:tc>
      </w:tr>
      <w:tr>
        <w:tc>
          <w:tcPr>
            <w:tcW w:type="dxa" w:w="2340"/>
            <w:shd w:fill="F2F2F2" w:val="clear"/>
            <w:tcMar>
              <w:top w:type="dxa" w:w="80"/>
              <w:left w:type="dxa" w:w="120"/>
              <w:bottom w:type="dxa" w:w="80"/>
              <w:right w:type="dxa" w:w="120"/>
            </w:tcMar>
          </w:tcPr>
          <w:p>
            <w:r>
              <w:t xml:space="preserve">1</w:t>
            </w:r>
          </w:p>
        </w:tc>
        <w:tc>
          <w:tcPr>
            <w:tcW w:type="dxa" w:w="7020"/>
            <w:shd w:fill="F2F2F2" w:val="clear"/>
            <w:tcMar>
              <w:top w:type="dxa" w:w="80"/>
              <w:left w:type="dxa" w:w="120"/>
              <w:bottom w:type="dxa" w:w="80"/>
              <w:right w:type="dxa" w:w="120"/>
            </w:tcMar>
          </w:tcPr>
          <w:p>
            <w:r>
              <w:t xml:space="preserve">Phones - $330,007</w:t>
            </w:r>
          </w:p>
        </w:tc>
      </w:tr>
      <w:tr>
        <w:tc>
          <w:tcPr>
            <w:tcW w:type="dxa" w:w="2340"/>
            <w:tcMar>
              <w:top w:type="dxa" w:w="80"/>
              <w:left w:type="dxa" w:w="120"/>
              <w:bottom w:type="dxa" w:w="80"/>
              <w:right w:type="dxa" w:w="120"/>
            </w:tcMar>
          </w:tcPr>
          <w:p>
            <w:r>
              <w:t xml:space="preserve">2</w:t>
            </w:r>
          </w:p>
        </w:tc>
        <w:tc>
          <w:tcPr>
            <w:tcW w:type="dxa" w:w="7020"/>
            <w:tcMar>
              <w:top w:type="dxa" w:w="80"/>
              <w:left w:type="dxa" w:w="120"/>
              <w:bottom w:type="dxa" w:w="80"/>
              <w:right w:type="dxa" w:w="120"/>
            </w:tcMar>
          </w:tcPr>
          <w:p>
            <w:r>
              <w:t xml:space="preserve">Chairs - $328,168</w:t>
            </w:r>
          </w:p>
        </w:tc>
      </w:tr>
      <w:tr>
        <w:tc>
          <w:tcPr>
            <w:tcW w:type="dxa" w:w="2340"/>
            <w:shd w:fill="F2F2F2" w:val="clear"/>
            <w:tcMar>
              <w:top w:type="dxa" w:w="80"/>
              <w:left w:type="dxa" w:w="120"/>
              <w:bottom w:type="dxa" w:w="80"/>
              <w:right w:type="dxa" w:w="120"/>
            </w:tcMar>
          </w:tcPr>
          <w:p>
            <w:r>
              <w:t xml:space="preserve">3</w:t>
            </w:r>
          </w:p>
        </w:tc>
        <w:tc>
          <w:tcPr>
            <w:tcW w:type="dxa" w:w="7020"/>
            <w:shd w:fill="F2F2F2" w:val="clear"/>
            <w:tcMar>
              <w:top w:type="dxa" w:w="80"/>
              <w:left w:type="dxa" w:w="120"/>
              <w:bottom w:type="dxa" w:w="80"/>
              <w:right w:type="dxa" w:w="120"/>
            </w:tcMar>
          </w:tcPr>
          <w:p>
            <w:r>
              <w:t xml:space="preserve">Storage - $223,844</w:t>
            </w:r>
          </w:p>
        </w:tc>
      </w:tr>
      <w:tr>
        <w:tc>
          <w:tcPr>
            <w:tcW w:type="dxa" w:w="2340"/>
            <w:tcMar>
              <w:top w:type="dxa" w:w="80"/>
              <w:left w:type="dxa" w:w="120"/>
              <w:bottom w:type="dxa" w:w="80"/>
              <w:right w:type="dxa" w:w="120"/>
            </w:tcMar>
          </w:tcPr>
          <w:p>
            <w:r>
              <w:t xml:space="preserve">4</w:t>
            </w:r>
          </w:p>
        </w:tc>
        <w:tc>
          <w:tcPr>
            <w:tcW w:type="dxa" w:w="7020"/>
            <w:tcMar>
              <w:top w:type="dxa" w:w="80"/>
              <w:left w:type="dxa" w:w="120"/>
              <w:bottom w:type="dxa" w:w="80"/>
              <w:right w:type="dxa" w:w="120"/>
            </w:tcMar>
          </w:tcPr>
          <w:p>
            <w:r>
              <w:t xml:space="preserve">Tables - $206,966</w:t>
            </w:r>
          </w:p>
        </w:tc>
      </w:tr>
      <w:tr>
        <w:tc>
          <w:tcPr>
            <w:tcW w:type="dxa" w:w="2340"/>
            <w:shd w:fill="F2F2F2" w:val="clear"/>
            <w:tcMar>
              <w:top w:type="dxa" w:w="80"/>
              <w:left w:type="dxa" w:w="120"/>
              <w:bottom w:type="dxa" w:w="80"/>
              <w:right w:type="dxa" w:w="120"/>
            </w:tcMar>
          </w:tcPr>
          <w:p>
            <w:r>
              <w:t xml:space="preserve">5</w:t>
            </w:r>
          </w:p>
        </w:tc>
        <w:tc>
          <w:tcPr>
            <w:tcW w:type="dxa" w:w="7020"/>
            <w:shd w:fill="F2F2F2" w:val="clear"/>
            <w:tcMar>
              <w:top w:type="dxa" w:w="80"/>
              <w:left w:type="dxa" w:w="120"/>
              <w:bottom w:type="dxa" w:w="80"/>
              <w:right w:type="dxa" w:w="120"/>
            </w:tcMar>
          </w:tcPr>
          <w:p>
            <w:r>
              <w:t xml:space="preserve">Binders - $203,413</w:t>
            </w:r>
          </w:p>
        </w:tc>
      </w:tr>
    </w:tbl>
    <w:p>
      <w:pPr>
        <w:spacing w:after="360"/>
      </w:pPr>
    </w:p>
    <w:p>
      <w:r>
        <w:br w:type="page"/>
      </w:r>
    </w:p>
    <w:p>
      <w:pPr>
        <w:pStyle w:val="Heading2"/>
      </w:pPr>
      <w:r>
        <w:t xml:space="preserve">Geographic Performance</w:t>
      </w:r>
    </w:p>
    <w:p>
      <w:pPr>
        <w:spacing w:after="180"/>
      </w:pPr>
      <w:r>
        <w:t xml:space="preserve">California dominates sales performance with $457,688 in revenue, representing nearly 20% of total sales. New York ranks second with $310,876. The top 10 states account for approximately 64% of total sales, indicating significant geographic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shd w:fill="2E75B5" w:val="clear"/>
            <w:tcMar>
              <w:top w:type="dxa" w:w="80"/>
              <w:left w:type="dxa" w:w="120"/>
              <w:bottom w:type="dxa" w:w="80"/>
              <w:right w:type="dxa" w:w="120"/>
            </w:tcMar>
          </w:tcPr>
          <w:p>
            <w:r>
              <w:rPr>
                <w:b/>
                <w:bCs/>
                <w:color w:val="FFFFFF"/>
              </w:rPr>
              <w:t xml:space="preserve">Rank</w:t>
            </w:r>
          </w:p>
        </w:tc>
        <w:tc>
          <w:tcPr>
            <w:tcW w:type="dxa" w:w="7488"/>
            <w:shd w:fill="2E75B5" w:val="clear"/>
            <w:tcMar>
              <w:top w:type="dxa" w:w="80"/>
              <w:left w:type="dxa" w:w="120"/>
              <w:bottom w:type="dxa" w:w="80"/>
              <w:right w:type="dxa" w:w="120"/>
            </w:tcMar>
          </w:tcPr>
          <w:p>
            <w:r>
              <w:rPr>
                <w:b/>
                <w:bCs/>
                <w:color w:val="FFFFFF"/>
              </w:rPr>
              <w:t xml:space="preserve">State (Sales)</w:t>
            </w:r>
          </w:p>
        </w:tc>
      </w:tr>
      <w:tr>
        <w:tc>
          <w:tcPr>
            <w:tcW w:type="dxa" w:w="1872"/>
            <w:shd w:fill="F2F2F2" w:val="clear"/>
            <w:tcMar>
              <w:top w:type="dxa" w:w="80"/>
              <w:left w:type="dxa" w:w="120"/>
              <w:bottom w:type="dxa" w:w="80"/>
              <w:right w:type="dxa" w:w="120"/>
            </w:tcMar>
          </w:tcPr>
          <w:p>
            <w:r>
              <w:t xml:space="preserve">1</w:t>
            </w:r>
          </w:p>
        </w:tc>
        <w:tc>
          <w:tcPr>
            <w:tcW w:type="dxa" w:w="7488"/>
            <w:shd w:fill="F2F2F2" w:val="clear"/>
            <w:tcMar>
              <w:top w:type="dxa" w:w="80"/>
              <w:left w:type="dxa" w:w="120"/>
              <w:bottom w:type="dxa" w:w="80"/>
              <w:right w:type="dxa" w:w="120"/>
            </w:tcMar>
          </w:tcPr>
          <w:p>
            <w:r>
              <w:t xml:space="preserve">California - $457,688</w:t>
            </w:r>
          </w:p>
        </w:tc>
      </w:tr>
      <w:tr>
        <w:tc>
          <w:tcPr>
            <w:tcW w:type="dxa" w:w="1872"/>
            <w:tcMar>
              <w:top w:type="dxa" w:w="80"/>
              <w:left w:type="dxa" w:w="120"/>
              <w:bottom w:type="dxa" w:w="80"/>
              <w:right w:type="dxa" w:w="120"/>
            </w:tcMar>
          </w:tcPr>
          <w:p>
            <w:r>
              <w:t xml:space="preserve">2</w:t>
            </w:r>
          </w:p>
        </w:tc>
        <w:tc>
          <w:tcPr>
            <w:tcW w:type="dxa" w:w="7488"/>
            <w:tcMar>
              <w:top w:type="dxa" w:w="80"/>
              <w:left w:type="dxa" w:w="120"/>
              <w:bottom w:type="dxa" w:w="80"/>
              <w:right w:type="dxa" w:w="120"/>
            </w:tcMar>
          </w:tcPr>
          <w:p>
            <w:r>
              <w:t xml:space="preserve">New York - $310,876</w:t>
            </w:r>
          </w:p>
        </w:tc>
      </w:tr>
      <w:tr>
        <w:tc>
          <w:tcPr>
            <w:tcW w:type="dxa" w:w="1872"/>
            <w:shd w:fill="F2F2F2" w:val="clear"/>
            <w:tcMar>
              <w:top w:type="dxa" w:w="80"/>
              <w:left w:type="dxa" w:w="120"/>
              <w:bottom w:type="dxa" w:w="80"/>
              <w:right w:type="dxa" w:w="120"/>
            </w:tcMar>
          </w:tcPr>
          <w:p>
            <w:r>
              <w:t xml:space="preserve">3</w:t>
            </w:r>
          </w:p>
        </w:tc>
        <w:tc>
          <w:tcPr>
            <w:tcW w:type="dxa" w:w="7488"/>
            <w:shd w:fill="F2F2F2" w:val="clear"/>
            <w:tcMar>
              <w:top w:type="dxa" w:w="80"/>
              <w:left w:type="dxa" w:w="120"/>
              <w:bottom w:type="dxa" w:w="80"/>
              <w:right w:type="dxa" w:w="120"/>
            </w:tcMar>
          </w:tcPr>
          <w:p>
            <w:r>
              <w:t xml:space="preserve">Texas - $170,188</w:t>
            </w:r>
          </w:p>
        </w:tc>
      </w:tr>
      <w:tr>
        <w:tc>
          <w:tcPr>
            <w:tcW w:type="dxa" w:w="1872"/>
            <w:tcMar>
              <w:top w:type="dxa" w:w="80"/>
              <w:left w:type="dxa" w:w="120"/>
              <w:bottom w:type="dxa" w:w="80"/>
              <w:right w:type="dxa" w:w="120"/>
            </w:tcMar>
          </w:tcPr>
          <w:p>
            <w:r>
              <w:t xml:space="preserve">4</w:t>
            </w:r>
          </w:p>
        </w:tc>
        <w:tc>
          <w:tcPr>
            <w:tcW w:type="dxa" w:w="7488"/>
            <w:tcMar>
              <w:top w:type="dxa" w:w="80"/>
              <w:left w:type="dxa" w:w="120"/>
              <w:bottom w:type="dxa" w:w="80"/>
              <w:right w:type="dxa" w:w="120"/>
            </w:tcMar>
          </w:tcPr>
          <w:p>
            <w:r>
              <w:t xml:space="preserve">Washington - $138,641</w:t>
            </w:r>
          </w:p>
        </w:tc>
      </w:tr>
      <w:tr>
        <w:tc>
          <w:tcPr>
            <w:tcW w:type="dxa" w:w="1872"/>
            <w:shd w:fill="F2F2F2" w:val="clear"/>
            <w:tcMar>
              <w:top w:type="dxa" w:w="80"/>
              <w:left w:type="dxa" w:w="120"/>
              <w:bottom w:type="dxa" w:w="80"/>
              <w:right w:type="dxa" w:w="120"/>
            </w:tcMar>
          </w:tcPr>
          <w:p>
            <w:r>
              <w:t xml:space="preserve">5</w:t>
            </w:r>
          </w:p>
        </w:tc>
        <w:tc>
          <w:tcPr>
            <w:tcW w:type="dxa" w:w="7488"/>
            <w:shd w:fill="F2F2F2" w:val="clear"/>
            <w:tcMar>
              <w:top w:type="dxa" w:w="80"/>
              <w:left w:type="dxa" w:w="120"/>
              <w:bottom w:type="dxa" w:w="80"/>
              <w:right w:type="dxa" w:w="120"/>
            </w:tcMar>
          </w:tcPr>
          <w:p>
            <w:r>
              <w:t xml:space="preserve">Pennsylvania - $116,512</w:t>
            </w:r>
          </w:p>
        </w:tc>
      </w:tr>
    </w:tbl>
    <w:p>
      <w:pPr>
        <w:spacing w:after="240"/>
      </w:pPr>
    </w:p>
    <w:p>
      <w:pPr>
        <w:pStyle w:val="Heading2"/>
      </w:pPr>
      <w:r>
        <w:t xml:space="preserve">Customer Analysis</w:t>
      </w:r>
    </w:p>
    <w:p>
      <w:pPr>
        <w:spacing w:after="180"/>
      </w:pPr>
      <w:r>
        <w:t xml:space="preserve">The customer base has grown from 595 customers in 2014 to 693 in 2017, representing a 16.5% increase. The top 5 customers by profitability account for significant value, with Tamara Chand leading at $8,981 in profit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shd w:fill="2E75B5" w:val="clear"/>
            <w:tcMar>
              <w:top w:type="dxa" w:w="80"/>
              <w:left w:type="dxa" w:w="120"/>
              <w:bottom w:type="dxa" w:w="80"/>
              <w:right w:type="dxa" w:w="120"/>
            </w:tcMar>
          </w:tcPr>
          <w:p>
            <w:r>
              <w:rPr>
                <w:b/>
                <w:bCs/>
                <w:color w:val="FFFFFF"/>
              </w:rPr>
              <w:t xml:space="preserve">Rank</w:t>
            </w:r>
          </w:p>
        </w:tc>
        <w:tc>
          <w:tcPr>
            <w:tcW w:type="dxa" w:w="7488"/>
            <w:shd w:fill="2E75B5" w:val="clear"/>
            <w:tcMar>
              <w:top w:type="dxa" w:w="80"/>
              <w:left w:type="dxa" w:w="120"/>
              <w:bottom w:type="dxa" w:w="80"/>
              <w:right w:type="dxa" w:w="120"/>
            </w:tcMar>
          </w:tcPr>
          <w:p>
            <w:r>
              <w:rPr>
                <w:b/>
                <w:bCs/>
                <w:color w:val="FFFFFF"/>
              </w:rPr>
              <w:t xml:space="preserve">Customer (Profit)</w:t>
            </w:r>
          </w:p>
        </w:tc>
      </w:tr>
      <w:tr>
        <w:tc>
          <w:tcPr>
            <w:tcW w:type="dxa" w:w="1872"/>
            <w:shd w:fill="F2F2F2" w:val="clear"/>
            <w:tcMar>
              <w:top w:type="dxa" w:w="80"/>
              <w:left w:type="dxa" w:w="120"/>
              <w:bottom w:type="dxa" w:w="80"/>
              <w:right w:type="dxa" w:w="120"/>
            </w:tcMar>
          </w:tcPr>
          <w:p>
            <w:r>
              <w:t xml:space="preserve">1</w:t>
            </w:r>
          </w:p>
        </w:tc>
        <w:tc>
          <w:tcPr>
            <w:tcW w:type="dxa" w:w="7488"/>
            <w:shd w:fill="F2F2F2" w:val="clear"/>
            <w:tcMar>
              <w:top w:type="dxa" w:w="80"/>
              <w:left w:type="dxa" w:w="120"/>
              <w:bottom w:type="dxa" w:w="80"/>
              <w:right w:type="dxa" w:w="120"/>
            </w:tcMar>
          </w:tcPr>
          <w:p>
            <w:r>
              <w:t xml:space="preserve">Tamara Chand - $8,981</w:t>
            </w:r>
          </w:p>
        </w:tc>
      </w:tr>
      <w:tr>
        <w:tc>
          <w:tcPr>
            <w:tcW w:type="dxa" w:w="1872"/>
            <w:tcMar>
              <w:top w:type="dxa" w:w="80"/>
              <w:left w:type="dxa" w:w="120"/>
              <w:bottom w:type="dxa" w:w="80"/>
              <w:right w:type="dxa" w:w="120"/>
            </w:tcMar>
          </w:tcPr>
          <w:p>
            <w:r>
              <w:t xml:space="preserve">2</w:t>
            </w:r>
          </w:p>
        </w:tc>
        <w:tc>
          <w:tcPr>
            <w:tcW w:type="dxa" w:w="7488"/>
            <w:tcMar>
              <w:top w:type="dxa" w:w="80"/>
              <w:left w:type="dxa" w:w="120"/>
              <w:bottom w:type="dxa" w:w="80"/>
              <w:right w:type="dxa" w:w="120"/>
            </w:tcMar>
          </w:tcPr>
          <w:p>
            <w:r>
              <w:t xml:space="preserve">Raymond Buch - $6,976</w:t>
            </w:r>
          </w:p>
        </w:tc>
      </w:tr>
      <w:tr>
        <w:tc>
          <w:tcPr>
            <w:tcW w:type="dxa" w:w="1872"/>
            <w:shd w:fill="F2F2F2" w:val="clear"/>
            <w:tcMar>
              <w:top w:type="dxa" w:w="80"/>
              <w:left w:type="dxa" w:w="120"/>
              <w:bottom w:type="dxa" w:w="80"/>
              <w:right w:type="dxa" w:w="120"/>
            </w:tcMar>
          </w:tcPr>
          <w:p>
            <w:r>
              <w:t xml:space="preserve">3</w:t>
            </w:r>
          </w:p>
        </w:tc>
        <w:tc>
          <w:tcPr>
            <w:tcW w:type="dxa" w:w="7488"/>
            <w:shd w:fill="F2F2F2" w:val="clear"/>
            <w:tcMar>
              <w:top w:type="dxa" w:w="80"/>
              <w:left w:type="dxa" w:w="120"/>
              <w:bottom w:type="dxa" w:w="80"/>
              <w:right w:type="dxa" w:w="120"/>
            </w:tcMar>
          </w:tcPr>
          <w:p>
            <w:r>
              <w:t xml:space="preserve">Sanjit Chand - $5,757</w:t>
            </w:r>
          </w:p>
        </w:tc>
      </w:tr>
      <w:tr>
        <w:tc>
          <w:tcPr>
            <w:tcW w:type="dxa" w:w="1872"/>
            <w:tcMar>
              <w:top w:type="dxa" w:w="80"/>
              <w:left w:type="dxa" w:w="120"/>
              <w:bottom w:type="dxa" w:w="80"/>
              <w:right w:type="dxa" w:w="120"/>
            </w:tcMar>
          </w:tcPr>
          <w:p>
            <w:r>
              <w:t xml:space="preserve">4</w:t>
            </w:r>
          </w:p>
        </w:tc>
        <w:tc>
          <w:tcPr>
            <w:tcW w:type="dxa" w:w="7488"/>
            <w:tcMar>
              <w:top w:type="dxa" w:w="80"/>
              <w:left w:type="dxa" w:w="120"/>
              <w:bottom w:type="dxa" w:w="80"/>
              <w:right w:type="dxa" w:w="120"/>
            </w:tcMar>
          </w:tcPr>
          <w:p>
            <w:r>
              <w:t xml:space="preserve">Hunter Lopez - $5,622</w:t>
            </w:r>
          </w:p>
        </w:tc>
      </w:tr>
      <w:tr>
        <w:tc>
          <w:tcPr>
            <w:tcW w:type="dxa" w:w="1872"/>
            <w:shd w:fill="F2F2F2" w:val="clear"/>
            <w:tcMar>
              <w:top w:type="dxa" w:w="80"/>
              <w:left w:type="dxa" w:w="120"/>
              <w:bottom w:type="dxa" w:w="80"/>
              <w:right w:type="dxa" w:w="120"/>
            </w:tcMar>
          </w:tcPr>
          <w:p>
            <w:r>
              <w:t xml:space="preserve">5</w:t>
            </w:r>
          </w:p>
        </w:tc>
        <w:tc>
          <w:tcPr>
            <w:tcW w:type="dxa" w:w="7488"/>
            <w:shd w:fill="F2F2F2" w:val="clear"/>
            <w:tcMar>
              <w:top w:type="dxa" w:w="80"/>
              <w:left w:type="dxa" w:w="120"/>
              <w:bottom w:type="dxa" w:w="80"/>
              <w:right w:type="dxa" w:w="120"/>
            </w:tcMar>
          </w:tcPr>
          <w:p>
            <w:r>
              <w:t xml:space="preserve">Adrian Barton - $5,445</w:t>
            </w:r>
          </w:p>
        </w:tc>
      </w:tr>
    </w:tbl>
    <w:p>
      <w:pPr>
        <w:spacing w:after="360"/>
      </w:pPr>
    </w:p>
    <w:p>
      <w:pPr>
        <w:pStyle w:val="Heading2"/>
      </w:pPr>
      <w:r>
        <w:t xml:space="preserve">Sales Dashboard Overview</w:t>
      </w:r>
    </w:p>
    <w:p>
      <w:pPr>
        <w:spacing w:after="240"/>
      </w:pPr>
      <w:r>
        <w:t xml:space="preserve">The comprehensive sales dashboard below visualizes key performance indicators across multiple dimensions, including sales by category, profit trends over time, geographic distribution, top customers, and monthly sales patterns.</w:t>
      </w:r>
    </w:p>
    <w:p>
      <w:pPr>
        <w:spacing w:after="360"/>
        <w:jc w:val="center"/>
      </w:pPr>
      <w:r>
        <w:drawing>
          <wp:inline distT="0" distB="0" distL="0" distR="0">
            <wp:extent cx="6858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858000" cy="3857625"/>
                    </a:xfrm>
                    <a:prstGeom prst="rect">
                      <a:avLst/>
                    </a:prstGeom>
                  </pic:spPr>
                </pic:pic>
              </a:graphicData>
            </a:graphic>
          </wp:inline>
        </w:drawing>
      </w:r>
    </w:p>
    <w:p>
      <w:pPr>
        <w:pStyle w:val="Heading2"/>
      </w:pPr>
      <w:r>
        <w:t xml:space="preserve">Key Insights and Recommendations</w:t>
      </w:r>
    </w:p>
    <w:p>
      <w:pPr>
        <w:spacing w:after="120"/>
      </w:pPr>
      <w:r>
        <w:rPr>
          <w:b/>
          <w:bCs/>
        </w:rPr>
        <w:t xml:space="preserve">Strengths:</w:t>
      </w:r>
    </w:p>
    <w:p>
      <w:pPr>
        <w:spacing w:after="180"/>
      </w:pPr>
      <w:r>
        <w:t xml:space="preserve">Strong year-over-year growth momentum with 51.5% sales increase from 2014 to 2017. Technology and Office Supplies categories maintain healthy profit margins above 17%. Customer base expansion shows positive trajectory with 16.5% growth.</w:t>
      </w:r>
    </w:p>
    <w:p>
      <w:pPr>
        <w:spacing w:after="120"/>
      </w:pPr>
      <w:r>
        <w:rPr>
          <w:b/>
          <w:bCs/>
        </w:rPr>
        <w:t xml:space="preserve">Areas for Improvement:</w:t>
      </w:r>
    </w:p>
    <w:p>
      <w:pPr>
        <w:spacing w:after="180"/>
      </w:pPr>
      <w:r>
        <w:t xml:space="preserve">Furniture category shows concerning profit margin of only 2.5% despite high sales volume, suggesting need for pricing strategy review or cost optimization. Geographic concentration in California and New York presents both opportunity and risk, indicating potential for market expansion in underperforming regions.</w:t>
      </w:r>
    </w:p>
    <w:p>
      <w:pPr>
        <w:spacing w:after="120"/>
      </w:pPr>
      <w:r>
        <w:rPr>
          <w:b/>
          <w:bCs/>
        </w:rPr>
        <w:t xml:space="preserve">Recommendations:</w:t>
      </w:r>
    </w:p>
    <w:p>
      <w:pPr>
        <w:spacing w:after="360"/>
      </w:pPr>
      <w:r>
        <w:t xml:space="preserve">Conduct detailed profitability analysis of Furniture category to identify specific products or processes driving low margins. Develop customer retention programs targeting high-value customers to protect the significant profit contribution from top accounts. Explore expansion opportunities in underrepresented geographic markets, particularly in the southern and midwestern states. Investigate the strong Q4 performance pattern to potentially replicate success factors throughout the year.</w:t>
      </w:r>
    </w:p>
    <w:p>
      <w:pPr>
        <w:pStyle w:val="Heading2"/>
      </w:pPr>
      <w:r>
        <w:t xml:space="preserve">Conclusion</w:t>
      </w:r>
    </w:p>
    <w:p>
      <w:r>
        <w:t xml:space="preserve">The business demonstrates solid fundamentals with consistent growth and improving profitability. The strategic focus should be on optimizing the Furniture category margins, maintaining Technology and Office Supplies performance, and expanding geographic reach while strengthening relationships with key customer accounts. With targeted improvements in identified areas, the business is well-positioned for continued growth and enhanced profitability.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9fd236472c13f274aae546d4b097d3aff38ea5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2026-02-10T16:54:58.345Z</dcterms:created>
  <dcterms:modified xsi:type="dcterms:W3CDTF">2026-02-10T16:54:58.346Z</dcterms:modified>
</cp:coreProperties>
</file>

<file path=docProps/custom.xml><?xml version="1.0" encoding="utf-8"?>
<Properties xmlns="http://schemas.openxmlformats.org/officeDocument/2006/custom-properties" xmlns:vt="http://schemas.openxmlformats.org/officeDocument/2006/docPropsVTypes"/>
</file>