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315"/>
        <w:gridCol w:w="8364"/>
      </w:tblGrid>
      <w:tr w:rsidR="00E4198F" w:rsidRPr="00D44950" w:rsidTr="00391B6B">
        <w:tc>
          <w:tcPr>
            <w:tcW w:w="1838" w:type="dxa"/>
          </w:tcPr>
          <w:p w:rsidR="00E4198F" w:rsidRPr="00D44950" w:rsidRDefault="00CC3FFE" w:rsidP="00CC3FFE">
            <w:pPr>
              <w:rPr>
                <w:rFonts w:ascii="Arial" w:hAnsi="Arial" w:cs="Arial"/>
                <w:b/>
                <w:sz w:val="20"/>
                <w:szCs w:val="20"/>
              </w:rPr>
            </w:pPr>
            <w:r>
              <w:rPr>
                <w:rFonts w:ascii="Arial" w:hAnsi="Arial" w:cs="Arial"/>
                <w:b/>
                <w:sz w:val="20"/>
                <w:szCs w:val="20"/>
                <w:lang w:val="en-US"/>
              </w:rPr>
              <w:t>Component name</w:t>
            </w:r>
            <w:r w:rsidR="00E4198F" w:rsidRPr="00D44950">
              <w:rPr>
                <w:rFonts w:ascii="Arial" w:hAnsi="Arial" w:cs="Arial"/>
                <w:b/>
                <w:sz w:val="20"/>
                <w:szCs w:val="20"/>
              </w:rPr>
              <w:t>:</w:t>
            </w:r>
          </w:p>
        </w:tc>
        <w:tc>
          <w:tcPr>
            <w:tcW w:w="7507" w:type="dxa"/>
          </w:tcPr>
          <w:p w:rsidR="00CC3FFE" w:rsidRPr="008465E0" w:rsidRDefault="008465E0" w:rsidP="00CC3FFE">
            <w:pPr>
              <w:pStyle w:val="HTMLPreformatted"/>
              <w:shd w:val="clear" w:color="auto" w:fill="FFFFFF"/>
              <w:wordWrap w:val="0"/>
              <w:rPr>
                <w:rFonts w:ascii="Arial" w:hAnsi="Arial" w:cs="Arial"/>
                <w:lang w:val="en-US"/>
              </w:rPr>
            </w:pPr>
            <w:r>
              <w:rPr>
                <w:rFonts w:ascii="Arial" w:hAnsi="Arial" w:cs="Arial"/>
                <w:lang w:val="en-US"/>
              </w:rPr>
              <w:t>Color dialog</w:t>
            </w:r>
            <w:bookmarkStart w:id="0" w:name="_GoBack"/>
            <w:bookmarkEnd w:id="0"/>
          </w:p>
          <w:p w:rsidR="00E4198F" w:rsidRPr="00E4198F" w:rsidRDefault="00E4198F" w:rsidP="00391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20"/>
                <w:szCs w:val="20"/>
              </w:rPr>
            </w:pPr>
          </w:p>
        </w:tc>
      </w:tr>
      <w:tr w:rsidR="00E4198F" w:rsidRPr="00D44950" w:rsidTr="00391B6B">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Component repository</w:t>
            </w:r>
            <w:r w:rsidR="00E4198F" w:rsidRPr="00D44950">
              <w:rPr>
                <w:rFonts w:ascii="Arial" w:hAnsi="Arial" w:cs="Arial"/>
                <w:b/>
                <w:sz w:val="20"/>
                <w:szCs w:val="20"/>
              </w:rPr>
              <w:t>:</w:t>
            </w:r>
          </w:p>
        </w:tc>
        <w:tc>
          <w:tcPr>
            <w:tcW w:w="7507" w:type="dxa"/>
          </w:tcPr>
          <w:p w:rsidR="00E4198F" w:rsidRPr="00D44950" w:rsidRDefault="008465E0" w:rsidP="008465E0">
            <w:pPr>
              <w:rPr>
                <w:rFonts w:ascii="Arial" w:hAnsi="Arial" w:cs="Arial"/>
              </w:rPr>
            </w:pPr>
            <w:hyperlink r:id="rId5" w:anchor="!/guide/dev_colorbutton-section-more-colors-option-and-color-dialog" w:history="1">
              <w:r w:rsidRPr="008465E0">
                <w:rPr>
                  <w:rFonts w:ascii="Arial" w:hAnsi="Arial" w:cs="Arial"/>
                  <w:sz w:val="20"/>
                  <w:szCs w:val="20"/>
                </w:rPr>
                <w:t>https://github.com/ckeditor/ckeditor4/tree/master/plugins/colordialog#!/guide/dev_colorbutton-section-more-colors-option-and-color-dialog</w:t>
              </w:r>
            </w:hyperlink>
          </w:p>
        </w:tc>
      </w:tr>
      <w:tr w:rsidR="00E4198F" w:rsidRPr="00D44950" w:rsidTr="00391B6B">
        <w:trPr>
          <w:trHeight w:val="350"/>
        </w:trPr>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License</w:t>
            </w:r>
            <w:r w:rsidR="00E4198F" w:rsidRPr="00D44950">
              <w:rPr>
                <w:rFonts w:ascii="Arial" w:hAnsi="Arial" w:cs="Arial"/>
                <w:b/>
                <w:sz w:val="20"/>
                <w:szCs w:val="20"/>
              </w:rPr>
              <w:t>:</w:t>
            </w:r>
          </w:p>
        </w:tc>
        <w:tc>
          <w:tcPr>
            <w:tcW w:w="7507" w:type="dxa"/>
          </w:tcPr>
          <w:p w:rsidR="00E4198F" w:rsidRPr="00D44950" w:rsidRDefault="00E4198F" w:rsidP="00391B6B">
            <w:pPr>
              <w:rPr>
                <w:rFonts w:ascii="Arial" w:hAnsi="Arial" w:cs="Arial"/>
                <w:sz w:val="20"/>
                <w:szCs w:val="20"/>
              </w:rPr>
            </w:pPr>
            <w:r w:rsidRPr="00D44950">
              <w:rPr>
                <w:rFonts w:ascii="Arial" w:hAnsi="Arial" w:cs="Arial"/>
                <w:sz w:val="20"/>
                <w:szCs w:val="20"/>
                <w:lang w:val="en-US"/>
              </w:rPr>
              <w:t>MPL License</w:t>
            </w:r>
          </w:p>
        </w:tc>
      </w:tr>
      <w:tr w:rsidR="00E4198F" w:rsidRPr="008465E0" w:rsidTr="00391B6B">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License text</w:t>
            </w:r>
            <w:r w:rsidR="00E4198F" w:rsidRPr="00D44950">
              <w:rPr>
                <w:rFonts w:ascii="Arial" w:hAnsi="Arial" w:cs="Arial"/>
                <w:b/>
                <w:sz w:val="20"/>
                <w:szCs w:val="20"/>
              </w:rPr>
              <w:t>:</w:t>
            </w:r>
          </w:p>
        </w:tc>
        <w:tc>
          <w:tcPr>
            <w:tcW w:w="7507" w:type="dxa"/>
          </w:tcPr>
          <w:p w:rsidR="00E4198F" w:rsidRPr="00D44950" w:rsidRDefault="00E4198F" w:rsidP="00391B6B">
            <w:pPr>
              <w:jc w:val="center"/>
              <w:outlineLvl w:val="0"/>
              <w:rPr>
                <w:rFonts w:ascii="Arial" w:eastAsia="Times New Roman" w:hAnsi="Arial" w:cs="Arial"/>
                <w:b/>
                <w:bCs/>
                <w:smallCaps/>
                <w:color w:val="000000"/>
                <w:kern w:val="36"/>
                <w:sz w:val="20"/>
                <w:szCs w:val="20"/>
                <w:lang w:val="en-US" w:eastAsia="ru-RU"/>
              </w:rPr>
            </w:pPr>
            <w:r w:rsidRPr="00D44950">
              <w:rPr>
                <w:rFonts w:ascii="Arial" w:eastAsia="Times New Roman" w:hAnsi="Arial" w:cs="Arial"/>
                <w:b/>
                <w:bCs/>
                <w:smallCaps/>
                <w:color w:val="000000"/>
                <w:kern w:val="36"/>
                <w:sz w:val="20"/>
                <w:szCs w:val="20"/>
                <w:lang w:val="en-US" w:eastAsia="ru-RU"/>
              </w:rPr>
              <w:t>Mozilla Public License</w:t>
            </w:r>
            <w:r w:rsidRPr="00D44950">
              <w:rPr>
                <w:rFonts w:ascii="Arial" w:eastAsia="Times New Roman" w:hAnsi="Arial" w:cs="Arial"/>
                <w:b/>
                <w:bCs/>
                <w:smallCaps/>
                <w:color w:val="000000"/>
                <w:kern w:val="36"/>
                <w:sz w:val="20"/>
                <w:szCs w:val="20"/>
                <w:lang w:val="en-US" w:eastAsia="ru-RU"/>
              </w:rPr>
              <w:br/>
              <w:t>Version 2.0</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 Definitions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 “Contributor”</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each individual or legal entity that creates, contributes to the creation of, or owns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1.2. “Contributor Version”</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the combination of the Contributions of others (if any) used by a Contributor and that particular Contributor’s Contribution.</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1.3. “Contribution”</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Covered Software of a particular Contributor.</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1.4. “Covered Software”</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Source Code Form to which the initial Contributor has attached the notice in Exhibit A, the Executable Form of such Source Code Form, and Modifications of such Source Code Form, in each case including portions thereof.</w:t>
            </w:r>
          </w:p>
          <w:p w:rsidR="00E4198F" w:rsidRPr="00D44950" w:rsidRDefault="00E4198F" w:rsidP="00391B6B">
            <w:pPr>
              <w:jc w:val="both"/>
              <w:rPr>
                <w:rFonts w:ascii="Arial" w:eastAsia="Times New Roman" w:hAnsi="Arial" w:cs="Arial"/>
                <w:b/>
                <w:bCs/>
                <w:color w:val="000000"/>
                <w:sz w:val="20"/>
                <w:szCs w:val="20"/>
                <w:lang w:eastAsia="ru-RU"/>
              </w:rPr>
            </w:pPr>
            <w:r w:rsidRPr="00D44950">
              <w:rPr>
                <w:rFonts w:ascii="Arial" w:eastAsia="Times New Roman" w:hAnsi="Arial" w:cs="Arial"/>
                <w:b/>
                <w:bCs/>
                <w:color w:val="000000"/>
                <w:sz w:val="20"/>
                <w:szCs w:val="20"/>
                <w:lang w:eastAsia="ru-RU"/>
              </w:rPr>
              <w:t>1.5. “Incompatible With Secondary Licenses”</w:t>
            </w:r>
          </w:p>
          <w:p w:rsidR="00E4198F" w:rsidRPr="00D44950" w:rsidRDefault="00E4198F" w:rsidP="00391B6B">
            <w:pPr>
              <w:ind w:left="720"/>
              <w:jc w:val="both"/>
              <w:rPr>
                <w:rFonts w:ascii="Arial" w:eastAsia="Times New Roman" w:hAnsi="Arial" w:cs="Arial"/>
                <w:color w:val="000000"/>
                <w:sz w:val="20"/>
                <w:szCs w:val="20"/>
                <w:lang w:eastAsia="ru-RU"/>
              </w:rPr>
            </w:pPr>
            <w:r w:rsidRPr="00D44950">
              <w:rPr>
                <w:rFonts w:ascii="Arial" w:eastAsia="Times New Roman" w:hAnsi="Arial" w:cs="Arial"/>
                <w:color w:val="000000"/>
                <w:sz w:val="20"/>
                <w:szCs w:val="20"/>
                <w:lang w:eastAsia="ru-RU"/>
              </w:rPr>
              <w:t>means</w:t>
            </w:r>
          </w:p>
          <w:p w:rsidR="00E4198F" w:rsidRPr="00D44950" w:rsidRDefault="00E4198F" w:rsidP="00E4198F">
            <w:pPr>
              <w:numPr>
                <w:ilvl w:val="0"/>
                <w:numId w:val="1"/>
              </w:numPr>
              <w:ind w:left="144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that the initial Contributor has attached the notice described in Exhibit B to the Covered Software; or</w:t>
            </w:r>
          </w:p>
          <w:p w:rsidR="00E4198F" w:rsidRPr="00D44950" w:rsidRDefault="00E4198F" w:rsidP="00E4198F">
            <w:pPr>
              <w:numPr>
                <w:ilvl w:val="0"/>
                <w:numId w:val="1"/>
              </w:numPr>
              <w:ind w:left="144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that the Covered Software was made available under the terms of version 1.1 or earlier of the License, but not also under the terms of a Secondary License.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1.6. “Executable Form”</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any form of the work other than Source Code Form.</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1.7. “Larger Work”</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 work that combines Covered Software with other material, in a separate file or files, that is not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1.8. “License”</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this document.</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1.9. “Licensable”</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having the right to grant, to the maximum extent possible, whether at the time of the initial grant or subsequently, any and all of the rights conveyed by this License.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1.10. “Modifications”</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any of the following:</w:t>
            </w:r>
          </w:p>
          <w:p w:rsidR="00E4198F" w:rsidRPr="00D44950" w:rsidRDefault="00E4198F" w:rsidP="00E4198F">
            <w:pPr>
              <w:numPr>
                <w:ilvl w:val="0"/>
                <w:numId w:val="2"/>
              </w:numPr>
              <w:ind w:left="144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any file in Source Code Form that results from an addition to, deletion from, or modification of the contents of Covered Software; or</w:t>
            </w:r>
          </w:p>
          <w:p w:rsidR="00E4198F" w:rsidRPr="00D44950" w:rsidRDefault="00E4198F" w:rsidP="00E4198F">
            <w:pPr>
              <w:numPr>
                <w:ilvl w:val="0"/>
                <w:numId w:val="2"/>
              </w:numPr>
              <w:ind w:left="144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any new file in Source Code Form that contains any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1.11. “Patent Claims” of a Contributor</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1.12. “Secondary License”</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either the GNU General Public License, Version 2.0, the GNU Lesser General Public License, Version 2.1, the GNU Affero General Public License, Version 3.0, or any later versions of those licenses.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1.13. “Source Code Form”</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the form of the work preferred for making modifications.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1.14. “You” (or “Your”)</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means an individual or a legal entity exercising rights under this License. For legal entities, “You” includes any entity that controls, is controlled by, or is under common </w:t>
            </w:r>
            <w:r w:rsidRPr="00D44950">
              <w:rPr>
                <w:rFonts w:ascii="Arial" w:eastAsia="Times New Roman" w:hAnsi="Arial" w:cs="Arial"/>
                <w:color w:val="000000"/>
                <w:sz w:val="20"/>
                <w:szCs w:val="20"/>
                <w:lang w:val="en-US" w:eastAsia="ru-RU"/>
              </w:rPr>
              <w:lastRenderedPageBreak/>
              <w:t>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 License Grants and Conditions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2.1. Grants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Each Contributor hereby grants You a world-wide, royalty-free, non-exclusive license:</w:t>
            </w:r>
          </w:p>
          <w:p w:rsidR="00E4198F" w:rsidRPr="00D44950" w:rsidRDefault="00E4198F" w:rsidP="00E4198F">
            <w:pPr>
              <w:numPr>
                <w:ilvl w:val="0"/>
                <w:numId w:val="3"/>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rsidR="00E4198F" w:rsidRPr="00D44950" w:rsidRDefault="00E4198F" w:rsidP="00E4198F">
            <w:pPr>
              <w:numPr>
                <w:ilvl w:val="0"/>
                <w:numId w:val="3"/>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under Patent Claims of such Contributor to make, use, sell, offer for sale, have made, import, and otherwise transfer either its Contributions or its Contributor Version.</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2.2. Effective Date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The licenses granted in Section 2.1 with respect to any Contribution become effective for each Contribution on the date the Contributor first distributes such Contribution.</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2.3. Limitations on Grant Scope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for any code that a Contributor has removed from Covered Software; 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for infringements caused by: (i) Your and any other third party’s modifications of Covered Software, or (ii) the combination of its Contributions with other software (except as part of its Contributor Version); 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under Patent Claims infringed by Covered Software in the absence of its Contributions.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License does not grant any rights in the trademarks, service marks, or logos of any Contributor (except as may be necessary to comply with the notice requirements in Section 3.4).</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2.4. Subsequent Licenses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No Contributor makes additional grants as a result of Your choice to distribute the Covered Software under a subsequent version of this License (see Section 10.2) or under the terms of a Secondary License (if permitted under the terms of Section 3.3).</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2.5. Representation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Each Contributor represents that the Contributor believes its Contributions are its original creation(s) or it has sufficient rights to grant the rights to its Contributions conveyed by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2.6. Fair Use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License is not intended to limit any rights You have under applicable copyright doctrines of fair use, fair dealing, or other equivalents.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2.7. Conditions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Sections 3.1, 3.2, 3.3, and 3.4 are conditions of the licenses granted in Section 2.1.</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 Responsibilities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3.1. Distribution of Source Form</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You may not attempt to alter or restrict the recipients’ rights in the Source Code Form.</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3.2. Distribution of Executable Form</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You distribute Covered Software in Executable Form then:</w:t>
            </w:r>
          </w:p>
          <w:p w:rsidR="00E4198F" w:rsidRPr="00D44950" w:rsidRDefault="00E4198F" w:rsidP="00E4198F">
            <w:pPr>
              <w:numPr>
                <w:ilvl w:val="0"/>
                <w:numId w:val="5"/>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rsidR="00E4198F" w:rsidRPr="00D44950" w:rsidRDefault="00E4198F" w:rsidP="00E4198F">
            <w:pPr>
              <w:numPr>
                <w:ilvl w:val="0"/>
                <w:numId w:val="5"/>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You may distribute such Executable Form under the terms of this License, or sublicense it under different terms, provided that the license for the Executable Form </w:t>
            </w:r>
            <w:r w:rsidRPr="00D44950">
              <w:rPr>
                <w:rFonts w:ascii="Arial" w:eastAsia="Times New Roman" w:hAnsi="Arial" w:cs="Arial"/>
                <w:color w:val="000000"/>
                <w:sz w:val="20"/>
                <w:szCs w:val="20"/>
                <w:lang w:val="en-US" w:eastAsia="ru-RU"/>
              </w:rPr>
              <w:lastRenderedPageBreak/>
              <w:t>does not attempt to limit or alter the recipients’ rights in the Source Code Form under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3.3. Distribution of a Larger Work</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create and distribute a Larger Work under terms of Your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3.4. Notices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3.5. Application of Additional Terms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4. Inability to Comply Due to Statute or Regulation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statute or regulation, such description must be sufficiently detailed for a recipient of ordinary skill to be able to understand it.</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5. Termination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5.1. 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5.2. 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5.3. In the event of termination under Sections 5.1 or 5.2 above, all end user license agreements (excluding distributors and resellers) which have been validly granted by You or Your distributors under this License prior to termination shall survive termination.</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6. Disclaimer of Warranty</w:t>
            </w:r>
          </w:p>
          <w:p w:rsidR="00E4198F" w:rsidRPr="00BF09BD" w:rsidRDefault="00E4198F" w:rsidP="00391B6B">
            <w:pPr>
              <w:jc w:val="both"/>
              <w:rPr>
                <w:rFonts w:ascii="Arial" w:hAnsi="Arial" w:cs="Arial"/>
                <w:sz w:val="20"/>
                <w:szCs w:val="20"/>
                <w:lang w:val="en-US"/>
              </w:rPr>
            </w:pPr>
            <w:r w:rsidRPr="00BF09BD">
              <w:rPr>
                <w:rFonts w:ascii="Arial" w:hAnsi="Arial" w:cs="Arial"/>
                <w:sz w:val="20"/>
                <w:szCs w:val="20"/>
                <w:lang w:val="en-US"/>
              </w:rPr>
              <w:t xml:space="preserve">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w:t>
            </w:r>
            <w:r w:rsidRPr="00BF09BD">
              <w:rPr>
                <w:rFonts w:ascii="Arial" w:hAnsi="Arial" w:cs="Arial"/>
                <w:sz w:val="20"/>
                <w:szCs w:val="20"/>
                <w:lang w:val="en-US"/>
              </w:rPr>
              <w:lastRenderedPageBreak/>
              <w:t>constitutes an essential part of this License. No use of any Covered Software is authorized under this License except under this disclaimer.</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7. Limitation of Liability</w:t>
            </w:r>
          </w:p>
          <w:p w:rsidR="00E4198F" w:rsidRPr="00F84CF1" w:rsidRDefault="00E4198F" w:rsidP="00391B6B">
            <w:pPr>
              <w:jc w:val="both"/>
              <w:rPr>
                <w:rFonts w:ascii="Arial" w:eastAsia="Times New Roman" w:hAnsi="Arial" w:cs="Arial"/>
                <w:color w:val="000000"/>
                <w:sz w:val="20"/>
                <w:szCs w:val="20"/>
                <w:lang w:val="en-US" w:eastAsia="ru-RU"/>
              </w:rPr>
            </w:pPr>
            <w:r w:rsidRPr="00F84CF1">
              <w:rPr>
                <w:rFonts w:ascii="Arial" w:eastAsia="Times New Roman" w:hAnsi="Arial" w:cs="Arial"/>
                <w:color w:val="000000"/>
                <w:sz w:val="20"/>
                <w:szCs w:val="20"/>
                <w:lang w:val="en-US" w:eastAsia="ru-RU"/>
              </w:rPr>
              <w:t>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8. Litigation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9. Miscellaneous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 Versions of the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10.1. New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Mozilla Foundation is the license steward. Except as provided in Section 10.3, no one other than the license steward has the right to modify or publish new versions of this License. Each version will be given a distinguishing version number.</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10.2. Effect of New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distribute the Covered Software under the terms of the version of the License under which You originally received the Covered Software, or under the terms of any subsequent version published by the license steward.</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10.3. Modified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you create software not governed by this License, and you want to create a new license for such software, you may create and use a modified version of this License if you rename the license and remove any references to the name of the license steward (except to note that such modified license differs from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10.4. Distributing Source Code Form that is Incompatible With Secondary Licenses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You choose to distribute Source Code Form that is Incompatible With Secondary Licenses under the terms of this version of the License, the notice described in Exhibit B of this License must be attached.</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Exhibit A - Source Code Form License Notice</w:t>
            </w:r>
          </w:p>
          <w:p w:rsidR="00E4198F" w:rsidRPr="00D44950" w:rsidRDefault="00E4198F" w:rsidP="00391B6B">
            <w:pPr>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Source Code Form is subject to the terms of the Mozilla Public License, v. 2.0. If a copy of the MPL was not distributed with this file, You can obtain one at https://mozilla.org/MPL/2.0/.</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it is not possible or desirable to put the notice in a particular file, then You may include the notice in a location (such as a LICENSE file in a relevant directory) where a recipient would be likely to look for such a notice.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add additional accurate notices of copyright ownership.</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Exhibit B - “Incompatible With Secondary Licenses” Notice</w:t>
            </w:r>
          </w:p>
          <w:p w:rsidR="00E4198F" w:rsidRPr="00BF09BD" w:rsidRDefault="00E4198F" w:rsidP="00391B6B">
            <w:pPr>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Source Code Form is “Incompatible With Secondary Licenses”, as defined by the Mozilla Public License, v. 2.0.</w:t>
            </w:r>
          </w:p>
        </w:tc>
      </w:tr>
    </w:tbl>
    <w:p w:rsidR="00C21CF4" w:rsidRPr="00E4198F" w:rsidRDefault="00C21CF4">
      <w:pPr>
        <w:rPr>
          <w:lang w:val="en-US"/>
        </w:rPr>
      </w:pPr>
    </w:p>
    <w:sectPr w:rsidR="00C21CF4" w:rsidRPr="00E4198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47E04"/>
    <w:multiLevelType w:val="multilevel"/>
    <w:tmpl w:val="6C1281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60504A3"/>
    <w:multiLevelType w:val="multilevel"/>
    <w:tmpl w:val="0D68B4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2344A3F"/>
    <w:multiLevelType w:val="multilevel"/>
    <w:tmpl w:val="33A8FA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DC23042"/>
    <w:multiLevelType w:val="multilevel"/>
    <w:tmpl w:val="22D6EB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E201B98"/>
    <w:multiLevelType w:val="multilevel"/>
    <w:tmpl w:val="925691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63D"/>
    <w:rsid w:val="0036663D"/>
    <w:rsid w:val="008465E0"/>
    <w:rsid w:val="00C21CF4"/>
    <w:rsid w:val="00CC3FFE"/>
    <w:rsid w:val="00E41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47BBE"/>
  <w15:chartTrackingRefBased/>
  <w15:docId w15:val="{094631DB-0BB4-4524-A617-C39F5FA9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98F"/>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198F"/>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4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E4198F"/>
    <w:rPr>
      <w:rFonts w:ascii="Courier New" w:eastAsia="Times New Roman" w:hAnsi="Courier New" w:cs="Courier New"/>
      <w:sz w:val="20"/>
      <w:szCs w:val="20"/>
      <w:lang w:val="ru-RU" w:eastAsia="ru-RU"/>
    </w:rPr>
  </w:style>
  <w:style w:type="character" w:styleId="CommentReference">
    <w:name w:val="annotation reference"/>
    <w:basedOn w:val="DefaultParagraphFont"/>
    <w:uiPriority w:val="99"/>
    <w:semiHidden/>
    <w:unhideWhenUsed/>
    <w:rsid w:val="00E4198F"/>
    <w:rPr>
      <w:sz w:val="16"/>
      <w:szCs w:val="16"/>
    </w:rPr>
  </w:style>
  <w:style w:type="paragraph" w:styleId="CommentText">
    <w:name w:val="annotation text"/>
    <w:basedOn w:val="Normal"/>
    <w:link w:val="CommentTextChar"/>
    <w:uiPriority w:val="99"/>
    <w:semiHidden/>
    <w:unhideWhenUsed/>
    <w:rsid w:val="00E4198F"/>
    <w:pPr>
      <w:spacing w:line="240" w:lineRule="auto"/>
    </w:pPr>
    <w:rPr>
      <w:sz w:val="20"/>
      <w:szCs w:val="20"/>
    </w:rPr>
  </w:style>
  <w:style w:type="character" w:customStyle="1" w:styleId="CommentTextChar">
    <w:name w:val="Comment Text Char"/>
    <w:basedOn w:val="DefaultParagraphFont"/>
    <w:link w:val="CommentText"/>
    <w:uiPriority w:val="99"/>
    <w:semiHidden/>
    <w:rsid w:val="00E4198F"/>
    <w:rPr>
      <w:sz w:val="20"/>
      <w:szCs w:val="20"/>
      <w:lang w:val="ru-RU"/>
    </w:rPr>
  </w:style>
  <w:style w:type="paragraph" w:styleId="BalloonText">
    <w:name w:val="Balloon Text"/>
    <w:basedOn w:val="Normal"/>
    <w:link w:val="BalloonTextChar"/>
    <w:uiPriority w:val="99"/>
    <w:semiHidden/>
    <w:unhideWhenUsed/>
    <w:rsid w:val="00E419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98F"/>
    <w:rPr>
      <w:rFonts w:ascii="Segoe UI" w:hAnsi="Segoe UI" w:cs="Segoe UI"/>
      <w:sz w:val="18"/>
      <w:szCs w:val="18"/>
      <w:lang w:val="ru-RU"/>
    </w:rPr>
  </w:style>
  <w:style w:type="character" w:styleId="Hyperlink">
    <w:name w:val="Hyperlink"/>
    <w:basedOn w:val="DefaultParagraphFont"/>
    <w:uiPriority w:val="99"/>
    <w:semiHidden/>
    <w:unhideWhenUsed/>
    <w:rsid w:val="008465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93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keditor/ckeditor4/tree/master/plugins/colordialo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2252</Words>
  <Characters>12840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 Shkvarchenko</dc:creator>
  <cp:keywords/>
  <dc:description/>
  <cp:lastModifiedBy>Aleksey Shkvarchenko</cp:lastModifiedBy>
  <cp:revision>3</cp:revision>
  <dcterms:created xsi:type="dcterms:W3CDTF">2020-02-01T14:30:00Z</dcterms:created>
  <dcterms:modified xsi:type="dcterms:W3CDTF">2020-02-01T15:42:00Z</dcterms:modified>
</cp:coreProperties>
</file>