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CBC" w:rsidRPr="00AF0CBC" w:rsidRDefault="00AF0CBC" w:rsidP="00AF0CBC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  <w:u w:val="single"/>
        </w:rPr>
        <w:t>MRI OF BRAIN </w:t>
      </w:r>
      <w:proofErr w:type="gramStart"/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  <w:u w:val="single"/>
        </w:rPr>
        <w:t>( PLAIN</w:t>
      </w:r>
      <w:proofErr w:type="gramEnd"/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  <w:u w:val="single"/>
        </w:rPr>
        <w:t> STUDY )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Clinical history </w:t>
      </w:r>
      <w:proofErr w:type="gramStart"/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–  Lacunar</w:t>
      </w:r>
      <w:proofErr w:type="gramEnd"/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 stroke left middle cerebral artery.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  <w:u w:val="single"/>
        </w:rPr>
        <w:t>Technique:</w:t>
      </w:r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 Axial T2 weighted, T1 weighted, coronal FLAIR and sagittal T1 weighted sequences of brain were done. DW sequences of brain was done and correlated with corresponding ADC maps. 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  <w:u w:val="single"/>
        </w:rPr>
        <w:t>Findings: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Subacute infarction is seen in left </w:t>
      </w:r>
      <w:proofErr w:type="spellStart"/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hemipons</w:t>
      </w:r>
      <w:proofErr w:type="spellEnd"/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</w:pPr>
      <w:proofErr w:type="gramStart"/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Old  infarcts</w:t>
      </w:r>
      <w:proofErr w:type="gramEnd"/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 with gliosis are seen in bilateral  corona radiata and centrum semiovale.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There is thinning of body of corpus callosum. There is empty sella syndrome.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Perivascular spaces are seen prominently in basal ganglia and thalami bilaterally.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Petechial foci of hemoglobin degradation products are seen in bilateral cerebral parenchyma </w:t>
      </w:r>
      <w:proofErr w:type="gramStart"/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( R</w:t>
      </w:r>
      <w:proofErr w:type="gramEnd"/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 &gt; L).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There is generalized prominence of basal cisterns, cerebral sulci and ventricular system.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Cerebellar hemispheres are normal.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Fourth ventricle is normal.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Midbrain and medulla are normal.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Both cerebellopontine angles are normal.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Both the internal auditory </w:t>
      </w:r>
      <w:proofErr w:type="spellStart"/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meati</w:t>
      </w:r>
      <w:proofErr w:type="spellEnd"/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 are normal.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Sella and </w:t>
      </w:r>
      <w:proofErr w:type="spellStart"/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parasellar</w:t>
      </w:r>
      <w:proofErr w:type="spellEnd"/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 regions are normal.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Pineal gland recess is normal.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No midline </w:t>
      </w:r>
      <w:proofErr w:type="gramStart"/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shift</w:t>
      </w:r>
      <w:proofErr w:type="gramEnd"/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Orbits and their contents are normal.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Paranasal sinuses are clear.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b/>
          <w:bCs/>
          <w:color w:val="000000"/>
          <w:sz w:val="24"/>
          <w:szCs w:val="24"/>
          <w:u w:val="single"/>
        </w:rPr>
        <w:t>MR Angiogram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Right posterior cerebral artery shows foetal origin from right internal carotid artery.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Visualized segments of left internal carotid artery show evidence of normal flow.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The M1, M2 segments of both middle cerebral arteries are normal.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Both anterior cerebral arteries show evidence of normal flow.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The basilar artery and left posterior cerebral artery show normal flow.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color w:val="000000"/>
          <w:sz w:val="24"/>
          <w:szCs w:val="24"/>
        </w:rPr>
        <w:t>There is no evidence of any AVM.</w:t>
      </w:r>
    </w:p>
    <w:p w:rsidR="00AF0CBC" w:rsidRPr="00AF0CBC" w:rsidRDefault="00AF0CBC" w:rsidP="00AF0CBC">
      <w:pPr>
        <w:spacing w:after="0" w:line="240" w:lineRule="auto"/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  <w:u w:val="single"/>
        </w:rPr>
        <w:t>IMPRESSION:</w:t>
      </w:r>
    </w:p>
    <w:p w:rsidR="00AF0CBC" w:rsidRPr="00AF0CBC" w:rsidRDefault="00AF0CBC" w:rsidP="00AF0CBC">
      <w:pPr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Segoe UI"/>
          <w:b/>
          <w:bCs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Segoe UI"/>
          <w:b/>
          <w:bCs/>
          <w:color w:val="000000"/>
          <w:sz w:val="24"/>
          <w:szCs w:val="24"/>
        </w:rPr>
        <w:t>Subacute infarction is seen in left </w:t>
      </w:r>
      <w:proofErr w:type="spellStart"/>
      <w:r w:rsidRPr="00AF0CBC">
        <w:rPr>
          <w:rFonts w:ascii="Arial Narrow" w:eastAsia="Times New Roman" w:hAnsi="Arial Narrow" w:cs="Segoe UI"/>
          <w:b/>
          <w:bCs/>
          <w:color w:val="000000"/>
          <w:sz w:val="24"/>
          <w:szCs w:val="24"/>
        </w:rPr>
        <w:t>hemipons</w:t>
      </w:r>
      <w:proofErr w:type="spellEnd"/>
      <w:r w:rsidRPr="00AF0CBC">
        <w:rPr>
          <w:rFonts w:ascii="Arial Narrow" w:eastAsia="Times New Roman" w:hAnsi="Arial Narrow" w:cs="Segoe UI"/>
          <w:b/>
          <w:bCs/>
          <w:color w:val="000000"/>
          <w:sz w:val="24"/>
          <w:szCs w:val="24"/>
        </w:rPr>
        <w:t>.</w:t>
      </w:r>
    </w:p>
    <w:p w:rsidR="00AF0CBC" w:rsidRPr="00AF0CBC" w:rsidRDefault="00AF0CBC" w:rsidP="00AF0CBC">
      <w:pPr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Segoe UI"/>
          <w:b/>
          <w:bCs/>
          <w:color w:val="000000"/>
          <w:sz w:val="24"/>
          <w:szCs w:val="24"/>
        </w:rPr>
      </w:pPr>
      <w:r w:rsidRPr="00AF0CBC">
        <w:rPr>
          <w:rFonts w:ascii="Arial Narrow" w:eastAsia="Times New Roman" w:hAnsi="Arial Narrow" w:cs="Segoe UI"/>
          <w:b/>
          <w:bCs/>
          <w:color w:val="000000"/>
          <w:sz w:val="24"/>
          <w:szCs w:val="24"/>
        </w:rPr>
        <w:t>Small vessel </w:t>
      </w:r>
      <w:proofErr w:type="spellStart"/>
      <w:r w:rsidRPr="00AF0CBC">
        <w:rPr>
          <w:rFonts w:ascii="Arial Narrow" w:eastAsia="Times New Roman" w:hAnsi="Arial Narrow" w:cs="Segoe UI"/>
          <w:b/>
          <w:bCs/>
          <w:color w:val="000000"/>
          <w:sz w:val="24"/>
          <w:szCs w:val="24"/>
        </w:rPr>
        <w:t>ischaemic</w:t>
      </w:r>
      <w:proofErr w:type="spellEnd"/>
      <w:r w:rsidRPr="00AF0CBC">
        <w:rPr>
          <w:rFonts w:ascii="Arial Narrow" w:eastAsia="Times New Roman" w:hAnsi="Arial Narrow" w:cs="Segoe UI"/>
          <w:b/>
          <w:bCs/>
          <w:color w:val="000000"/>
          <w:sz w:val="24"/>
          <w:szCs w:val="24"/>
        </w:rPr>
        <w:t> disease.</w:t>
      </w:r>
    </w:p>
    <w:p w:rsidR="00AF0CBC" w:rsidRPr="00AF0CBC" w:rsidRDefault="00AF0CBC" w:rsidP="00AF0CB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AF0CBC">
        <w:rPr>
          <w:rFonts w:ascii="Arial" w:eastAsia="Times New Roman" w:hAnsi="Arial" w:cs="Arial"/>
          <w:b/>
          <w:bCs/>
          <w:color w:val="000000"/>
        </w:rPr>
        <w:t xml:space="preserve">DR </w:t>
      </w:r>
      <w:proofErr w:type="spellStart"/>
      <w:proofErr w:type="gramStart"/>
      <w:r w:rsidRPr="00AF0CBC">
        <w:rPr>
          <w:rFonts w:ascii="Arial" w:eastAsia="Times New Roman" w:hAnsi="Arial" w:cs="Arial"/>
          <w:b/>
          <w:bCs/>
          <w:color w:val="000000"/>
        </w:rPr>
        <w:t>G.Vatun</w:t>
      </w:r>
      <w:proofErr w:type="spellEnd"/>
      <w:proofErr w:type="gramEnd"/>
    </w:p>
    <w:p w:rsidR="00AF0CBC" w:rsidRPr="00AF0CBC" w:rsidRDefault="00AF0CBC" w:rsidP="00AF0CBC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F0CBC">
        <w:rPr>
          <w:rFonts w:ascii="Segoe UI" w:eastAsia="Times New Roman" w:hAnsi="Segoe UI" w:cs="Segoe UI"/>
          <w:color w:val="000000"/>
          <w:sz w:val="18"/>
          <w:szCs w:val="18"/>
        </w:rPr>
        <w:t>RADIOLOGISTS</w:t>
      </w:r>
    </w:p>
    <w:p w:rsidR="00874840" w:rsidRDefault="00874840"/>
    <w:p w:rsidR="00052348" w:rsidRDefault="00052348"/>
    <w:p w:rsidR="00052348" w:rsidRDefault="00052348">
      <w:r>
        <w:rPr>
          <w:noProof/>
        </w:rPr>
        <w:drawing>
          <wp:inline distT="0" distB="0" distL="0" distR="0">
            <wp:extent cx="3896269" cy="43630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C42E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48" w:rsidRDefault="00052348"/>
    <w:p w:rsidR="00052348" w:rsidRDefault="00052348">
      <w:r>
        <w:rPr>
          <w:noProof/>
        </w:rPr>
        <w:drawing>
          <wp:inline distT="0" distB="0" distL="0" distR="0">
            <wp:extent cx="3886742" cy="4001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CA15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F273E"/>
    <w:multiLevelType w:val="multilevel"/>
    <w:tmpl w:val="605E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BC"/>
    <w:rsid w:val="00052348"/>
    <w:rsid w:val="00874840"/>
    <w:rsid w:val="008C0E47"/>
    <w:rsid w:val="00AA406E"/>
    <w:rsid w:val="00A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C3D3C-1B00-442E-A7F8-60B251A0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9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Abhinav (GE Healthcare)</dc:creator>
  <cp:keywords/>
  <dc:description/>
  <cp:lastModifiedBy>Mishra, Abhinav (GE Healthcare)</cp:lastModifiedBy>
  <cp:revision>2</cp:revision>
  <dcterms:created xsi:type="dcterms:W3CDTF">2019-05-02T08:40:00Z</dcterms:created>
  <dcterms:modified xsi:type="dcterms:W3CDTF">2019-05-02T08:54:00Z</dcterms:modified>
</cp:coreProperties>
</file>