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8966" w14:textId="314737FD" w:rsidR="00220BCA" w:rsidRDefault="00220BCA" w:rsidP="00220BCA">
      <w:pPr>
        <w:pStyle w:val="NormalWeb"/>
        <w:jc w:val="center"/>
        <w:rPr>
          <w:rFonts w:ascii="Amasis MT Pro" w:hAnsi="Amasis MT Pro" w:cs="Aldhabi"/>
          <w:b/>
          <w:bCs/>
          <w:sz w:val="32"/>
          <w:szCs w:val="32"/>
        </w:rPr>
      </w:pPr>
      <w:r w:rsidRPr="00220BCA">
        <w:rPr>
          <w:rFonts w:ascii="Amasis MT Pro" w:hAnsi="Amasis MT Pro" w:cs="Aldhabi"/>
          <w:b/>
          <w:bCs/>
          <w:sz w:val="32"/>
          <w:szCs w:val="32"/>
        </w:rPr>
        <w:t>ENABLE ARCHIVE LOG MODE</w:t>
      </w:r>
    </w:p>
    <w:p w14:paraId="26184A7B" w14:textId="107B138B" w:rsidR="00220BCA" w:rsidRPr="00220BCA" w:rsidRDefault="00220BCA" w:rsidP="00220BCA">
      <w:pPr>
        <w:pStyle w:val="NormalWeb"/>
        <w:rPr>
          <w:rFonts w:ascii="Amasis MT Pro" w:hAnsi="Amasis MT Pro" w:cs="Aldhabi"/>
          <w:b/>
          <w:bCs/>
          <w:sz w:val="32"/>
          <w:szCs w:val="32"/>
        </w:rPr>
      </w:pPr>
      <w:r>
        <w:rPr>
          <w:rFonts w:ascii="Amasis MT Pro" w:hAnsi="Amasis MT Pro" w:cs="Aldhabi"/>
          <w:b/>
          <w:bCs/>
          <w:sz w:val="32"/>
          <w:szCs w:val="32"/>
        </w:rPr>
        <w:t>-----------------------------------------------------------------------------</w:t>
      </w:r>
    </w:p>
    <w:p w14:paraId="43CBDE87" w14:textId="77777777" w:rsidR="00220BCA" w:rsidRPr="00FA57C8" w:rsidRDefault="00220BCA" w:rsidP="00220BCA">
      <w:pPr>
        <w:pStyle w:val="NormalWeb"/>
        <w:rPr>
          <w:b/>
          <w:bCs/>
          <w:sz w:val="28"/>
          <w:szCs w:val="28"/>
        </w:rPr>
      </w:pPr>
      <w:r w:rsidRPr="00FA57C8">
        <w:rPr>
          <w:b/>
          <w:bCs/>
          <w:sz w:val="28"/>
          <w:szCs w:val="28"/>
        </w:rPr>
        <w:t xml:space="preserve">To enable Archive Log mode in Oracle database, you can use the following </w:t>
      </w:r>
      <w:proofErr w:type="gramStart"/>
      <w:r w:rsidRPr="00FA57C8">
        <w:rPr>
          <w:b/>
          <w:bCs/>
          <w:sz w:val="28"/>
          <w:szCs w:val="28"/>
        </w:rPr>
        <w:t>steps:</w:t>
      </w:r>
      <w:r>
        <w:rPr>
          <w:b/>
          <w:bCs/>
          <w:sz w:val="28"/>
          <w:szCs w:val="28"/>
        </w:rPr>
        <w:t>-</w:t>
      </w:r>
      <w:proofErr w:type="gramEnd"/>
    </w:p>
    <w:p w14:paraId="7F24BE07" w14:textId="77777777" w:rsidR="00220BCA" w:rsidRDefault="00220BCA" w:rsidP="00220BCA">
      <w:pPr>
        <w:pStyle w:val="NormalWeb"/>
      </w:pPr>
      <w:r>
        <w:t> </w:t>
      </w:r>
    </w:p>
    <w:p w14:paraId="3F9AFC58" w14:textId="77777777" w:rsidR="00220BCA" w:rsidRDefault="00220BCA" w:rsidP="00220BCA">
      <w:pPr>
        <w:pStyle w:val="NormalWeb"/>
      </w:pPr>
      <w:r>
        <w:t>1. Connect to the Oracle database using SQL*Plus or any other SQL client with appropriate privileges. Shutdown the database in both nodes.</w:t>
      </w:r>
    </w:p>
    <w:p w14:paraId="37CF81BA" w14:textId="77777777" w:rsidR="00220BCA" w:rsidRDefault="00220BCA" w:rsidP="00220BCA">
      <w:pPr>
        <w:pStyle w:val="NormalWeb"/>
        <w:rPr>
          <w:rFonts w:ascii="Segoe UI" w:hAnsi="Segoe UI" w:cs="Segoe UI"/>
          <w:sz w:val="21"/>
          <w:szCs w:val="21"/>
        </w:rPr>
      </w:pPr>
      <w:r>
        <w:rPr>
          <w:rFonts w:ascii="Segoe UI" w:hAnsi="Segoe UI" w:cs="Segoe UI"/>
          <w:sz w:val="21"/>
          <w:szCs w:val="21"/>
        </w:rPr>
        <w:t xml:space="preserve"> **Identify Current Archive Log </w:t>
      </w:r>
      <w:proofErr w:type="gramStart"/>
      <w:r>
        <w:rPr>
          <w:rFonts w:ascii="Segoe UI" w:hAnsi="Segoe UI" w:cs="Segoe UI"/>
          <w:sz w:val="21"/>
          <w:szCs w:val="21"/>
        </w:rPr>
        <w:t>Destination:*</w:t>
      </w:r>
      <w:proofErr w:type="gramEnd"/>
      <w:r>
        <w:rPr>
          <w:rFonts w:ascii="Segoe UI" w:hAnsi="Segoe UI" w:cs="Segoe UI"/>
          <w:sz w:val="21"/>
          <w:szCs w:val="21"/>
        </w:rPr>
        <w:t>*</w:t>
      </w:r>
    </w:p>
    <w:p w14:paraId="2EB09A88" w14:textId="77777777" w:rsidR="00220BCA" w:rsidRDefault="00220BCA" w:rsidP="00220BCA">
      <w:pPr>
        <w:pStyle w:val="NormalWeb"/>
        <w:numPr>
          <w:ilvl w:val="0"/>
          <w:numId w:val="1"/>
        </w:numPr>
      </w:pPr>
      <w:r>
        <w:t>SQL &gt;</w:t>
      </w:r>
      <w:r>
        <w:tab/>
      </w:r>
      <w:r>
        <w:tab/>
        <w:t xml:space="preserve">ARCHIVE LOG </w:t>
      </w:r>
      <w:proofErr w:type="gramStart"/>
      <w:r>
        <w:t>LIST;</w:t>
      </w:r>
      <w:proofErr w:type="gramEnd"/>
    </w:p>
    <w:p w14:paraId="53FDEA4D" w14:textId="77777777" w:rsidR="00220BCA" w:rsidRDefault="00220BCA" w:rsidP="00220BCA">
      <w:pPr>
        <w:pStyle w:val="NormalWeb"/>
      </w:pPr>
      <w:r>
        <w:rPr>
          <w:noProof/>
        </w:rPr>
        <w:drawing>
          <wp:inline distT="0" distB="0" distL="0" distR="0" wp14:anchorId="51E5D8A4" wp14:editId="7FA59BE7">
            <wp:extent cx="5759450" cy="1551305"/>
            <wp:effectExtent l="0" t="0" r="0" b="0"/>
            <wp:docPr id="426099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99484" name="Picture 1" descr="A screen shot of a computer&#10;&#10;Description automatically generated"/>
                    <pic:cNvPicPr/>
                  </pic:nvPicPr>
                  <pic:blipFill>
                    <a:blip r:embed="rId5"/>
                    <a:stretch>
                      <a:fillRect/>
                    </a:stretch>
                  </pic:blipFill>
                  <pic:spPr>
                    <a:xfrm>
                      <a:off x="0" y="0"/>
                      <a:ext cx="5759450" cy="1551305"/>
                    </a:xfrm>
                    <a:prstGeom prst="rect">
                      <a:avLst/>
                    </a:prstGeom>
                  </pic:spPr>
                </pic:pic>
              </a:graphicData>
            </a:graphic>
          </wp:inline>
        </w:drawing>
      </w:r>
    </w:p>
    <w:p w14:paraId="4F126ECD" w14:textId="77777777" w:rsidR="00220BCA" w:rsidRDefault="00220BCA" w:rsidP="00220BCA">
      <w:pPr>
        <w:pStyle w:val="NormalWeb"/>
      </w:pPr>
      <w:r>
        <w:t>2. Ensure that the database is in mount state. You can achieve this by running the following SQL command:</w:t>
      </w:r>
    </w:p>
    <w:p w14:paraId="154F4DBA" w14:textId="30294AB5" w:rsidR="00342343" w:rsidRDefault="00342343" w:rsidP="00342343">
      <w:pPr>
        <w:pStyle w:val="NormalWeb"/>
        <w:numPr>
          <w:ilvl w:val="0"/>
          <w:numId w:val="2"/>
        </w:numPr>
      </w:pPr>
      <w:r>
        <w:t>SQL &gt;</w:t>
      </w:r>
      <w:r>
        <w:tab/>
      </w:r>
      <w:r>
        <w:tab/>
        <w:t>SHUT IMMEDIATE;</w:t>
      </w:r>
      <w:r>
        <w:br/>
      </w:r>
    </w:p>
    <w:p w14:paraId="11319EB8" w14:textId="2793AE21" w:rsidR="00220BCA" w:rsidRDefault="00220BCA" w:rsidP="00220BCA">
      <w:pPr>
        <w:pStyle w:val="NormalWeb"/>
        <w:numPr>
          <w:ilvl w:val="0"/>
          <w:numId w:val="2"/>
        </w:numPr>
      </w:pPr>
      <w:r>
        <w:t>SQL &gt;</w:t>
      </w:r>
      <w:r>
        <w:tab/>
      </w:r>
      <w:r>
        <w:tab/>
        <w:t xml:space="preserve">STARTUP </w:t>
      </w:r>
      <w:proofErr w:type="gramStart"/>
      <w:r>
        <w:t>MOUNT;</w:t>
      </w:r>
      <w:proofErr w:type="gramEnd"/>
    </w:p>
    <w:p w14:paraId="37A2B011" w14:textId="77777777" w:rsidR="00220BCA" w:rsidRDefault="00220BCA" w:rsidP="00220BCA">
      <w:pPr>
        <w:pStyle w:val="NormalWeb"/>
      </w:pPr>
      <w:r>
        <w:t>3. Enable Archive Log mode by executing the following SQL command:</w:t>
      </w:r>
    </w:p>
    <w:p w14:paraId="774950FE" w14:textId="77777777" w:rsidR="00220BCA" w:rsidRDefault="00220BCA" w:rsidP="00220BCA">
      <w:pPr>
        <w:pStyle w:val="NormalWeb"/>
        <w:numPr>
          <w:ilvl w:val="0"/>
          <w:numId w:val="2"/>
        </w:numPr>
      </w:pPr>
      <w:r>
        <w:t>SQL &gt;</w:t>
      </w:r>
      <w:r>
        <w:tab/>
      </w:r>
      <w:r>
        <w:tab/>
        <w:t xml:space="preserve">ALTER DATABASE </w:t>
      </w:r>
      <w:proofErr w:type="gramStart"/>
      <w:r>
        <w:t>ARCHIVELOG;</w:t>
      </w:r>
      <w:proofErr w:type="gramEnd"/>
    </w:p>
    <w:p w14:paraId="52B511CA" w14:textId="77777777" w:rsidR="00220BCA" w:rsidRDefault="00220BCA" w:rsidP="00220BCA">
      <w:pPr>
        <w:pStyle w:val="NormalWeb"/>
      </w:pPr>
      <w:r>
        <w:t> </w:t>
      </w:r>
    </w:p>
    <w:p w14:paraId="0778536B" w14:textId="77777777" w:rsidR="00220BCA" w:rsidRDefault="00220BCA" w:rsidP="00220BCA">
      <w:pPr>
        <w:pStyle w:val="NormalWeb"/>
      </w:pPr>
      <w:r>
        <w:t>4. Open the database to make the changes effective:</w:t>
      </w:r>
    </w:p>
    <w:p w14:paraId="2E24EBF7" w14:textId="77777777" w:rsidR="00220BCA" w:rsidRDefault="00220BCA" w:rsidP="00220BCA">
      <w:pPr>
        <w:pStyle w:val="NormalWeb"/>
        <w:numPr>
          <w:ilvl w:val="0"/>
          <w:numId w:val="2"/>
        </w:numPr>
      </w:pPr>
      <w:r>
        <w:t>SQL&gt;</w:t>
      </w:r>
      <w:r>
        <w:tab/>
      </w:r>
      <w:r>
        <w:tab/>
        <w:t xml:space="preserve">ALTER DATABASE </w:t>
      </w:r>
      <w:proofErr w:type="gramStart"/>
      <w:r>
        <w:t>OPEN;</w:t>
      </w:r>
      <w:proofErr w:type="gramEnd"/>
    </w:p>
    <w:p w14:paraId="20F95F4D" w14:textId="6F8F4BFC" w:rsidR="00342343" w:rsidRDefault="00342343" w:rsidP="00342343">
      <w:pPr>
        <w:pStyle w:val="NormalWeb"/>
      </w:pPr>
      <w:r w:rsidRPr="00342343">
        <w:drawing>
          <wp:inline distT="0" distB="0" distL="0" distR="0" wp14:anchorId="6762E30E" wp14:editId="343B29F5">
            <wp:extent cx="5010407" cy="1073205"/>
            <wp:effectExtent l="0" t="0" r="0" b="0"/>
            <wp:docPr id="18272253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5364" name="Picture 1" descr="A black screen with white text&#10;&#10;Description automatically generated"/>
                    <pic:cNvPicPr/>
                  </pic:nvPicPr>
                  <pic:blipFill>
                    <a:blip r:embed="rId6"/>
                    <a:stretch>
                      <a:fillRect/>
                    </a:stretch>
                  </pic:blipFill>
                  <pic:spPr>
                    <a:xfrm>
                      <a:off x="0" y="0"/>
                      <a:ext cx="5010407" cy="1073205"/>
                    </a:xfrm>
                    <a:prstGeom prst="rect">
                      <a:avLst/>
                    </a:prstGeom>
                  </pic:spPr>
                </pic:pic>
              </a:graphicData>
            </a:graphic>
          </wp:inline>
        </w:drawing>
      </w:r>
    </w:p>
    <w:p w14:paraId="597D3021" w14:textId="77777777" w:rsidR="00220BCA" w:rsidRDefault="00220BCA" w:rsidP="00220BCA">
      <w:pPr>
        <w:pStyle w:val="NormalWeb"/>
        <w:numPr>
          <w:ilvl w:val="0"/>
          <w:numId w:val="2"/>
        </w:numPr>
      </w:pPr>
      <w:r>
        <w:lastRenderedPageBreak/>
        <w:t>SQL &gt;</w:t>
      </w:r>
      <w:r>
        <w:tab/>
      </w:r>
      <w:r>
        <w:tab/>
        <w:t xml:space="preserve">ARCHIVE LOG </w:t>
      </w:r>
      <w:proofErr w:type="gramStart"/>
      <w:r>
        <w:t>LIST;</w:t>
      </w:r>
      <w:proofErr w:type="gramEnd"/>
    </w:p>
    <w:p w14:paraId="2F524F41" w14:textId="31C99B95" w:rsidR="00342343" w:rsidRDefault="00342343" w:rsidP="00342343">
      <w:pPr>
        <w:pStyle w:val="NormalWeb"/>
        <w:ind w:firstLine="360"/>
      </w:pPr>
      <w:r>
        <w:rPr>
          <w:noProof/>
        </w:rPr>
        <w:drawing>
          <wp:inline distT="0" distB="0" distL="0" distR="0" wp14:anchorId="5C14B2F5" wp14:editId="1E6275DA">
            <wp:extent cx="5556250" cy="1905000"/>
            <wp:effectExtent l="0" t="0" r="6350" b="0"/>
            <wp:docPr id="816654028"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54028" name="Picture 1" descr="A screen shot of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250" cy="1905000"/>
                    </a:xfrm>
                    <a:prstGeom prst="rect">
                      <a:avLst/>
                    </a:prstGeom>
                    <a:noFill/>
                    <a:ln>
                      <a:noFill/>
                    </a:ln>
                  </pic:spPr>
                </pic:pic>
              </a:graphicData>
            </a:graphic>
          </wp:inline>
        </w:drawing>
      </w:r>
    </w:p>
    <w:p w14:paraId="32AC542E" w14:textId="77777777" w:rsidR="00220BCA" w:rsidRDefault="00220BCA" w:rsidP="00220BCA">
      <w:pPr>
        <w:pStyle w:val="NormalWeb"/>
      </w:pPr>
    </w:p>
    <w:p w14:paraId="18263BA9" w14:textId="77777777" w:rsidR="00220BCA" w:rsidRDefault="00220BCA" w:rsidP="00220BCA">
      <w:pPr>
        <w:pStyle w:val="NormalWeb"/>
      </w:pPr>
      <w:r>
        <w:t>After these steps, your Oracle database should be in Archive Log mode. Archiving of redo log files will begin, and you can find the archived redo log files in the designated archive destination specified in your database configuration.</w:t>
      </w:r>
    </w:p>
    <w:p w14:paraId="0DCB78CC" w14:textId="77777777" w:rsidR="00220BCA" w:rsidRPr="00B148FA" w:rsidRDefault="00220BCA" w:rsidP="00220BCA">
      <w:pPr>
        <w:pStyle w:val="NormalWeb"/>
        <w:rPr>
          <w:rFonts w:ascii="Segoe UI" w:hAnsi="Segoe UI" w:cs="Segoe UI"/>
          <w:sz w:val="21"/>
          <w:szCs w:val="21"/>
        </w:rPr>
      </w:pPr>
    </w:p>
    <w:p w14:paraId="6FECD6B3" w14:textId="77777777" w:rsidR="00803D59" w:rsidRDefault="00803D59"/>
    <w:sectPr w:rsidR="00803D59" w:rsidSect="00220BC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77FF4"/>
    <w:multiLevelType w:val="hybridMultilevel"/>
    <w:tmpl w:val="D80C0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E142B"/>
    <w:multiLevelType w:val="hybridMultilevel"/>
    <w:tmpl w:val="8CC4B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606570">
    <w:abstractNumId w:val="1"/>
  </w:num>
  <w:num w:numId="2" w16cid:durableId="20122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CA"/>
    <w:rsid w:val="0009219C"/>
    <w:rsid w:val="00220BCA"/>
    <w:rsid w:val="00342343"/>
    <w:rsid w:val="0077385E"/>
    <w:rsid w:val="00803D59"/>
    <w:rsid w:val="008C667C"/>
    <w:rsid w:val="008F4EDE"/>
    <w:rsid w:val="009658EA"/>
    <w:rsid w:val="00BF5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42C7"/>
  <w15:chartTrackingRefBased/>
  <w15:docId w15:val="{45F83E72-FD02-4607-BE1B-A97931A5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BCA"/>
    <w:rPr>
      <w:rFonts w:eastAsiaTheme="majorEastAsia" w:cstheme="majorBidi"/>
      <w:color w:val="272727" w:themeColor="text1" w:themeTint="D8"/>
    </w:rPr>
  </w:style>
  <w:style w:type="paragraph" w:styleId="Title">
    <w:name w:val="Title"/>
    <w:basedOn w:val="Normal"/>
    <w:next w:val="Normal"/>
    <w:link w:val="TitleChar"/>
    <w:uiPriority w:val="10"/>
    <w:qFormat/>
    <w:rsid w:val="00220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BCA"/>
    <w:pPr>
      <w:spacing w:before="160"/>
      <w:jc w:val="center"/>
    </w:pPr>
    <w:rPr>
      <w:i/>
      <w:iCs/>
      <w:color w:val="404040" w:themeColor="text1" w:themeTint="BF"/>
    </w:rPr>
  </w:style>
  <w:style w:type="character" w:customStyle="1" w:styleId="QuoteChar">
    <w:name w:val="Quote Char"/>
    <w:basedOn w:val="DefaultParagraphFont"/>
    <w:link w:val="Quote"/>
    <w:uiPriority w:val="29"/>
    <w:rsid w:val="00220BCA"/>
    <w:rPr>
      <w:i/>
      <w:iCs/>
      <w:color w:val="404040" w:themeColor="text1" w:themeTint="BF"/>
    </w:rPr>
  </w:style>
  <w:style w:type="paragraph" w:styleId="ListParagraph">
    <w:name w:val="List Paragraph"/>
    <w:basedOn w:val="Normal"/>
    <w:uiPriority w:val="34"/>
    <w:qFormat/>
    <w:rsid w:val="00220BCA"/>
    <w:pPr>
      <w:ind w:left="720"/>
      <w:contextualSpacing/>
    </w:pPr>
  </w:style>
  <w:style w:type="character" w:styleId="IntenseEmphasis">
    <w:name w:val="Intense Emphasis"/>
    <w:basedOn w:val="DefaultParagraphFont"/>
    <w:uiPriority w:val="21"/>
    <w:qFormat/>
    <w:rsid w:val="00220BCA"/>
    <w:rPr>
      <w:i/>
      <w:iCs/>
      <w:color w:val="0F4761" w:themeColor="accent1" w:themeShade="BF"/>
    </w:rPr>
  </w:style>
  <w:style w:type="paragraph" w:styleId="IntenseQuote">
    <w:name w:val="Intense Quote"/>
    <w:basedOn w:val="Normal"/>
    <w:next w:val="Normal"/>
    <w:link w:val="IntenseQuoteChar"/>
    <w:uiPriority w:val="30"/>
    <w:qFormat/>
    <w:rsid w:val="00220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BCA"/>
    <w:rPr>
      <w:i/>
      <w:iCs/>
      <w:color w:val="0F4761" w:themeColor="accent1" w:themeShade="BF"/>
    </w:rPr>
  </w:style>
  <w:style w:type="character" w:styleId="IntenseReference">
    <w:name w:val="Intense Reference"/>
    <w:basedOn w:val="DefaultParagraphFont"/>
    <w:uiPriority w:val="32"/>
    <w:qFormat/>
    <w:rsid w:val="00220BCA"/>
    <w:rPr>
      <w:b/>
      <w:bCs/>
      <w:smallCaps/>
      <w:color w:val="0F4761" w:themeColor="accent1" w:themeShade="BF"/>
      <w:spacing w:val="5"/>
    </w:rPr>
  </w:style>
  <w:style w:type="paragraph" w:styleId="NormalWeb">
    <w:name w:val="Normal (Web)"/>
    <w:basedOn w:val="Normal"/>
    <w:uiPriority w:val="99"/>
    <w:unhideWhenUsed/>
    <w:rsid w:val="00220B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Pendem</dc:creator>
  <cp:keywords/>
  <dc:description/>
  <cp:lastModifiedBy>Shiva Kumar Pendem</cp:lastModifiedBy>
  <cp:revision>2</cp:revision>
  <dcterms:created xsi:type="dcterms:W3CDTF">2024-08-21T09:23:00Z</dcterms:created>
  <dcterms:modified xsi:type="dcterms:W3CDTF">2024-08-21T09:29:00Z</dcterms:modified>
</cp:coreProperties>
</file>