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`tbl_workspace_users_bom_info`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`BOMName` varchar(60)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`BOMDescription` varchar(150) DEFAULT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`BOMFileName` varchar(60)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`PartsCount` int(11)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`MatchCount` int(11) NOT NULL DEFAULT '0',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`SimilarMatchCount` int(11) NOT NULL DEFAULT '0',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`UploadedBy` int(11)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`UploadedDate` timestamp NOT NULL DEFAULT CURRENT_TIMESTAMP,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`Status` tinyint(1) NOT NULL DEFAULT '1',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`SiteName` int(4) DEFAULT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`SiteBu` int(11) DEFAULT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`ProjectName` varchar(125) DEFAULT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`BomNumber` int(11) DEFAULT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`Revision` varchar(15) DEFAULT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KEY `Index_User` (`UploadedBy`)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 ENGINE=InnoDB AUTO_INCREMENT=176 DEFAULT CHARSET=utf8;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`tbl_workspace_users_bom_parts`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`UsersBoMInfoID` int(11)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`ImpThermoNumber` varchar(45) CHARACTER SET latin1 DEFAULT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`ImpThermoDescription` varchar(150) CHARACTER SET latin1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`ImpPartNumber` varchar(60) CHARACTER SET latin1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`ImpManufacturerName` varchar(60) CHARACTER SET latin1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`ManufacturerID` int(11) DEFAULT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`MatchType` varchar(45) NOT NULL DEFAULT 'Not Found',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`ExceptionStatus` varchar(45) DEFAULT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`Status` tinyint(1) NOT NULL DEFAULT '1',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`CriticalComponent` int(11) DEFAULT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`Cost` decimal(6,2)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`MinOrderQty` int(5)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`EOL` date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`Dia` decimal(6,2)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`InternalVol` decimal(6,2) DEFAULT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`MaximumRatedPressure` decimal(6,2) DEFAULT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`Overalllength` decimal(6,2) DEFAULT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`StandardInletSize` decimal(6,2) DEFAULT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`StandardOutletSize` decimal(6,2) DEFAULT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`Reach` tinyint(1)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`MDS` tinyint(1)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`PartNumber` varchar(60) CHARACTER SET latin1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`PartStatus` int(5)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`ParentID` varchar(45) DEFAULT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`RoHS` varchar(60) DEFAULT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KEY `Index_UserBOMInfoID` (`UsersBoMInfoID`)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 ENGINE=InnoDB AUTO_INCREMENT=4268 DEFAULT CHARSET=utf8;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