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E8A39"/>
          <w:sz w:val="56"/>
          <w:szCs w:val="56"/>
        </w:rPr>
        <w:t xml:space="preserve">Pamoja+</w:t>
      </w:r>
    </w:p>
    <w:p>
      <w:pPr>
        <w:spacing w:after="80"/>
      </w:pPr>
      <w:r>
        <w:rPr>
          <w:rFonts w:ascii="Arial" w:cs="Arial" w:eastAsia="Arial" w:hAnsi="Arial"/>
          <w:b/>
          <w:bCs/>
          <w:color w:val="0F1B14"/>
          <w:sz w:val="40"/>
          <w:szCs w:val="40"/>
        </w:rPr>
        <w:t xml:space="preserve">Legal Considerations</w:t>
      </w:r>
    </w:p>
    <w:p>
      <w:pPr>
        <w:spacing w:after="200"/>
      </w:pPr>
      <w:r>
        <w:rPr>
          <w:rFonts w:ascii="Arial" w:cs="Arial" w:eastAsia="Arial" w:hAnsi="Arial"/>
          <w:color w:val="3A4A40"/>
          <w:sz w:val="24"/>
          <w:szCs w:val="24"/>
        </w:rPr>
        <w:t xml:space="preserve">Tanzania-specific compliance guide for a community-powered digital marketplace</w:t>
      </w:r>
    </w:p>
    <w:p>
      <w:pPr>
        <w:spacing w:after="600"/>
      </w:pPr>
      <w:r>
        <w:rPr>
          <w:rFonts w:ascii="Arial" w:cs="Arial" w:eastAsia="Arial" w:hAnsi="Arial"/>
          <w:i/>
          <w:iCs/>
          <w:color w:val="3A4A40"/>
          <w:sz w:val="22"/>
          <w:szCs w:val="22"/>
        </w:rPr>
        <w:t xml:space="preserve">This guide summarizes the practical legal areas Pamoja+ should consider before and during operation in Tanzania. It must be reviewed by a qualified Tanzanian lawyer and tax advisor before implementation.</w:t>
      </w:r>
    </w:p>
    <w:p>
      <w:pPr>
        <w:spacing w:after="400"/>
      </w:pPr>
      <w:r>
        <w:rPr>
          <w:rFonts w:ascii="Arial" w:cs="Arial" w:eastAsia="Arial" w:hAnsi="Arial"/>
          <w:b/>
          <w:bCs/>
          <w:color w:val="1E8A39"/>
          <w:sz w:val="20"/>
          <w:szCs w:val="20"/>
        </w:rPr>
        <w:t xml:space="preserve">Version 2 — Clean rewrite with audit corrections applied</w:t>
      </w:r>
    </w:p>
    <w:p>
      <w:pPr>
        <w:jc w:val="center"/>
      </w:pPr>
      <w:r>
        <w:rPr>
          <w:rFonts w:ascii="Arial" w:cs="Arial" w:eastAsia="Arial" w:hAnsi="Arial"/>
          <w:b/>
          <w:bCs/>
          <w:color w:val="2BB24C"/>
          <w:sz w:val="24"/>
          <w:szCs w:val="24"/>
        </w:rPr>
        <w:t xml:space="preserve">Grow Together. Shop Smarter.</w:t>
      </w:r>
    </w:p>
    <w:p>
      <w:r>
        <w:br w:type="page"/>
      </w:r>
    </w:p>
    <w:p>
      <w:pPr>
        <w:pStyle w:val="Heading1"/>
        <w:spacing w:after="200" w:before="360"/>
      </w:pPr>
      <w:r>
        <w:rPr>
          <w:rFonts w:ascii="Arial" w:cs="Arial" w:eastAsia="Arial" w:hAnsi="Arial"/>
          <w:b/>
          <w:bCs/>
          <w:color w:val="1E8A39"/>
          <w:sz w:val="36"/>
          <w:szCs w:val="36"/>
        </w:rPr>
        <w:t xml:space="preserve">1. Executive Legal Position</w:t>
      </w:r>
    </w:p>
    <w:p>
      <w:pPr>
        <w:spacing w:after="80" w:before="80"/>
      </w:pPr>
      <w:r>
        <w:rPr>
          <w:rFonts w:ascii="Arial" w:cs="Arial" w:eastAsia="Arial" w:hAnsi="Arial"/>
        </w:rPr>
        <w:t xml:space="preserve">Pamoja+ should begin as a verified listing, promotional, and referral marketplace rather than a full payment-holding marketplace. This keeps early legal, tax, payment, refund, and consumer liability lower while the platform builds seller quality, buyer trust, and operational discipline.</w:t>
      </w:r>
    </w:p>
    <w:p>
      <w:pPr>
        <w:spacing w:after="80" w:before="80"/>
      </w:pPr>
      <w:r>
        <w:rPr>
          <w:rFonts w:ascii="Arial" w:cs="Arial" w:eastAsia="Arial" w:hAnsi="Arial"/>
        </w:rPr>
        <w:t xml:space="preserve">The platform can later move toward full checkout and commission-based transactions once it has stronger seller verification, payment gateway agreements, dispute procedures, refund rules, tax treatment, and customer support capacity.</w:t>
      </w:r>
    </w:p>
    <w:p>
      <w:pPr>
        <w:spacing w:after="80" w:before="80"/>
      </w:pPr>
      <w:r>
        <w:rPr>
          <w:rFonts w:ascii="Arial" w:cs="Arial" w:eastAsia="Arial" w:hAnsi="Arial"/>
          <w:b/>
          <w:bCs/>
        </w:rPr>
        <w:t xml:space="preserve">Recommended starting legal model: </w:t>
      </w:r>
      <w:r>
        <w:rPr>
          <w:rFonts w:ascii="Arial" w:cs="Arial" w:eastAsia="Arial" w:hAnsi="Arial"/>
        </w:rPr>
        <w:t xml:space="preserve">Sellers sell directly. Customers contact verified sellers through Pamoja+. Pamoja+ earns from visibility, seller subscriptions, paid promotions, brand campaigns, and clearly documented service fees.</w:t>
      </w:r>
    </w:p>
    <w:p>
      <w:pPr>
        <w:pStyle w:val="Heading1"/>
        <w:spacing w:after="200" w:before="360"/>
      </w:pPr>
      <w:r>
        <w:rPr>
          <w:rFonts w:ascii="Arial" w:cs="Arial" w:eastAsia="Arial" w:hAnsi="Arial"/>
          <w:b/>
          <w:bCs/>
          <w:color w:val="1E8A39"/>
          <w:sz w:val="36"/>
          <w:szCs w:val="36"/>
        </w:rPr>
        <w:t xml:space="preserve">2. Business Registration and Legal Structure</w:t>
      </w:r>
    </w:p>
    <w:p>
      <w:pPr>
        <w:spacing w:after="80" w:before="80"/>
      </w:pPr>
      <w:r>
        <w:rPr>
          <w:rFonts w:ascii="Arial" w:cs="Arial" w:eastAsia="Arial" w:hAnsi="Arial"/>
        </w:rPr>
        <w:t xml:space="preserve">Pamoja+ should operate through a properly registered Tanzanian legal entity. A private limited company is the most suitable structure because the platform deals with sellers, shoppers, payments, data, employees, ambassadors, partners, and future investors.</w:t>
      </w:r>
    </w:p>
    <w:p>
      <w:pPr>
        <w:pStyle w:val="Heading2"/>
        <w:spacing w:after="140" w:before="280"/>
      </w:pPr>
      <w:r>
        <w:rPr>
          <w:rFonts w:ascii="Arial" w:cs="Arial" w:eastAsia="Arial" w:hAnsi="Arial"/>
          <w:b/>
          <w:bCs/>
          <w:color w:val="0F1B14"/>
          <w:sz w:val="28"/>
          <w:szCs w:val="28"/>
        </w:rPr>
        <w:t xml:space="preserve">Required actions</w:t>
      </w:r>
    </w:p>
    <w:p>
      <w:pPr>
        <w:pStyle w:val="ListParagraph"/>
        <w:numPr>
          <w:ilvl w:val="0"/>
          <w:numId w:val="2"/>
        </w:numPr>
        <w:spacing w:after="40" w:before="40"/>
      </w:pPr>
      <w:r>
        <w:rPr>
          <w:rFonts w:ascii="Arial" w:cs="Arial" w:eastAsia="Arial" w:hAnsi="Arial"/>
        </w:rPr>
        <w:t xml:space="preserve">Register the company through BRELA.</w:t>
      </w:r>
    </w:p>
    <w:p>
      <w:pPr>
        <w:pStyle w:val="ListParagraph"/>
        <w:numPr>
          <w:ilvl w:val="0"/>
          <w:numId w:val="2"/>
        </w:numPr>
        <w:spacing w:after="40" w:before="40"/>
      </w:pPr>
      <w:r>
        <w:rPr>
          <w:rFonts w:ascii="Arial" w:cs="Arial" w:eastAsia="Arial" w:hAnsi="Arial"/>
        </w:rPr>
        <w:t xml:space="preserve">Obtain a Certificate of Incorporation.</w:t>
      </w:r>
    </w:p>
    <w:p>
      <w:pPr>
        <w:pStyle w:val="ListParagraph"/>
        <w:numPr>
          <w:ilvl w:val="0"/>
          <w:numId w:val="2"/>
        </w:numPr>
        <w:spacing w:after="40" w:before="40"/>
      </w:pPr>
      <w:r>
        <w:rPr>
          <w:rFonts w:ascii="Arial" w:cs="Arial" w:eastAsia="Arial" w:hAnsi="Arial"/>
        </w:rPr>
        <w:t xml:space="preserve">Register for a Taxpayer Identification Number (TIN) with TRA.</w:t>
      </w:r>
    </w:p>
    <w:p>
      <w:pPr>
        <w:pStyle w:val="ListParagraph"/>
        <w:numPr>
          <w:ilvl w:val="0"/>
          <w:numId w:val="2"/>
        </w:numPr>
        <w:spacing w:after="40" w:before="40"/>
      </w:pPr>
      <w:r>
        <w:rPr>
          <w:rFonts w:ascii="Arial" w:cs="Arial" w:eastAsia="Arial" w:hAnsi="Arial"/>
        </w:rPr>
        <w:t xml:space="preserve">Open a business bank account and official mobile money / payment channels.</w:t>
      </w:r>
    </w:p>
    <w:p>
      <w:pPr>
        <w:pStyle w:val="ListParagraph"/>
        <w:numPr>
          <w:ilvl w:val="0"/>
          <w:numId w:val="2"/>
        </w:numPr>
        <w:spacing w:after="40" w:before="40"/>
      </w:pPr>
      <w:r>
        <w:rPr>
          <w:rFonts w:ascii="Arial" w:cs="Arial" w:eastAsia="Arial" w:hAnsi="Arial"/>
        </w:rPr>
        <w:t xml:space="preserve">Obtain the relevant business licence before commercial operations.</w:t>
      </w:r>
    </w:p>
    <w:p>
      <w:pPr>
        <w:pStyle w:val="ListParagraph"/>
        <w:numPr>
          <w:ilvl w:val="0"/>
          <w:numId w:val="2"/>
        </w:numPr>
        <w:spacing w:after="40" w:before="40"/>
      </w:pPr>
      <w:r>
        <w:rPr>
          <w:rFonts w:ascii="Arial" w:cs="Arial" w:eastAsia="Arial" w:hAnsi="Arial"/>
        </w:rPr>
        <w:t xml:space="preserve">File trademark protection for the Pamoja+ name, logo, and tagline through BRELA. Consider ARIPO regional filing in Phase 2 for cross-border expansion.</w:t>
      </w:r>
    </w:p>
    <w:p>
      <w:pPr>
        <w:pStyle w:val="Heading1"/>
        <w:spacing w:after="200" w:before="360"/>
      </w:pPr>
      <w:r>
        <w:rPr>
          <w:rFonts w:ascii="Arial" w:cs="Arial" w:eastAsia="Arial" w:hAnsi="Arial"/>
          <w:b/>
          <w:bCs/>
          <w:color w:val="1E8A39"/>
          <w:sz w:val="36"/>
          <w:szCs w:val="36"/>
        </w:rPr>
        <w:t xml:space="preserve">3. Business Licence</w:t>
      </w:r>
    </w:p>
    <w:p>
      <w:pPr>
        <w:spacing w:after="80" w:before="80"/>
      </w:pPr>
      <w:r>
        <w:rPr>
          <w:rFonts w:ascii="Arial" w:cs="Arial" w:eastAsia="Arial" w:hAnsi="Arial"/>
        </w:rPr>
        <w:t xml:space="preserve">Confirm the correct licence category for the operating model. The licence may depend on whether the company is treated as an online marketplace, advertising and promotional service, digital platform, e-commerce support business, or business listing service.</w:t>
      </w:r>
    </w:p>
    <w:p>
      <w:pPr>
        <w:pStyle w:val="ListParagraph"/>
        <w:numPr>
          <w:ilvl w:val="0"/>
          <w:numId w:val="3"/>
        </w:numPr>
        <w:spacing w:after="40" w:before="40"/>
      </w:pPr>
      <w:r>
        <w:rPr>
          <w:rFonts w:ascii="Arial" w:cs="Arial" w:eastAsia="Arial" w:hAnsi="Arial"/>
        </w:rPr>
        <w:t xml:space="preserve">Confirm issuing authority (BRELA or the relevant Local Government Authority).</w:t>
      </w:r>
    </w:p>
    <w:p>
      <w:pPr>
        <w:pStyle w:val="ListParagraph"/>
        <w:numPr>
          <w:ilvl w:val="0"/>
          <w:numId w:val="3"/>
        </w:numPr>
        <w:spacing w:after="40" w:before="40"/>
      </w:pPr>
      <w:r>
        <w:rPr>
          <w:rFonts w:ascii="Arial" w:cs="Arial" w:eastAsia="Arial" w:hAnsi="Arial"/>
        </w:rPr>
        <w:t xml:space="preserve">Confirm local municipal requirements for the operating city.</w:t>
      </w:r>
    </w:p>
    <w:p>
      <w:pPr>
        <w:pStyle w:val="ListParagraph"/>
        <w:numPr>
          <w:ilvl w:val="0"/>
          <w:numId w:val="3"/>
        </w:numPr>
        <w:spacing w:after="40" w:before="40"/>
      </w:pPr>
      <w:r>
        <w:rPr>
          <w:rFonts w:ascii="Arial" w:cs="Arial" w:eastAsia="Arial" w:hAnsi="Arial"/>
        </w:rPr>
        <w:t xml:space="preserve">Keep the business licence renewed and available for partner due diligence.</w:t>
      </w:r>
    </w:p>
    <w:p>
      <w:pPr>
        <w:pStyle w:val="ListParagraph"/>
        <w:numPr>
          <w:ilvl w:val="0"/>
          <w:numId w:val="3"/>
        </w:numPr>
        <w:spacing w:after="40" w:before="40"/>
      </w:pPr>
      <w:r>
        <w:rPr>
          <w:rFonts w:ascii="Arial" w:cs="Arial" w:eastAsia="Arial" w:hAnsi="Arial"/>
        </w:rPr>
        <w:t xml:space="preserve">Update the licence position when adding delivery, payment holding, or regulated product categories.</w:t>
      </w:r>
    </w:p>
    <w:p>
      <w:pPr>
        <w:pStyle w:val="Heading1"/>
        <w:spacing w:after="200" w:before="360"/>
      </w:pPr>
      <w:r>
        <w:rPr>
          <w:rFonts w:ascii="Arial" w:cs="Arial" w:eastAsia="Arial" w:hAnsi="Arial"/>
          <w:b/>
          <w:bCs/>
          <w:color w:val="1E8A39"/>
          <w:sz w:val="36"/>
          <w:szCs w:val="36"/>
        </w:rPr>
        <w:t xml:space="preserve">4. Tax and TRA Compliance</w:t>
      </w:r>
    </w:p>
    <w:p>
      <w:pPr>
        <w:spacing w:after="80" w:before="80"/>
      </w:pPr>
      <w:r>
        <w:rPr>
          <w:rFonts w:ascii="Arial" w:cs="Arial" w:eastAsia="Arial" w:hAnsi="Arial"/>
        </w:rPr>
        <w:t xml:space="preserve">Pamoja+ must maintain clean financial records from day one. Every revenue stream is tracked separately so tax treatment, invoices, and management reporting remain clear.</w:t>
      </w:r>
    </w:p>
    <w:p>
      <w:pPr>
        <w:pStyle w:val="Heading2"/>
        <w:spacing w:after="140" w:before="280"/>
      </w:pPr>
      <w:r>
        <w:rPr>
          <w:rFonts w:ascii="Arial" w:cs="Arial" w:eastAsia="Arial" w:hAnsi="Arial"/>
          <w:b/>
          <w:bCs/>
          <w:color w:val="0F1B14"/>
          <w:sz w:val="28"/>
          <w:szCs w:val="28"/>
        </w:rPr>
        <w:t xml:space="preserve">Revenue streams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Revenue Source</w:t>
            </w:r>
          </w:p>
        </w:tc>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Description</w:t>
            </w:r>
          </w:p>
        </w:tc>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Control Needed</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Seller subscriptions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Monthly or annual listing plans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Invoice and renewal tracking</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Featured listings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Homepage / category visibility</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Promotion agreement and receipt</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Social media promotions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Paid posts and campaign support</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Content approval and proof of delivery</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Brand story packages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Storytelling and campaign package</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Scope of work and acceptance record</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Commission</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Percentage on orders processed through Pamoja+</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Order and settlement records</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Delivery margin</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If delivery is later coordinated by Pamoja+</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Delivery partner records and receipts</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Membership fees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Optional future shopper club</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Customer terms and billing records</w:t>
            </w:r>
          </w:p>
        </w:tc>
      </w:tr>
    </w:tbl>
    <w:p>
      <w:pPr>
        <w:pStyle w:val="Heading2"/>
        <w:spacing w:after="140" w:before="280"/>
      </w:pPr>
      <w:r>
        <w:rPr>
          <w:rFonts w:ascii="Arial" w:cs="Arial" w:eastAsia="Arial" w:hAnsi="Arial"/>
          <w:b/>
          <w:bCs/>
          <w:color w:val="0F1B14"/>
          <w:sz w:val="28"/>
          <w:szCs w:val="28"/>
        </w:rPr>
        <w:t xml:space="preserve">Tax areas to assess</w:t>
      </w:r>
    </w:p>
    <w:p>
      <w:pPr>
        <w:pStyle w:val="ListParagraph"/>
        <w:numPr>
          <w:ilvl w:val="0"/>
          <w:numId w:val="3"/>
        </w:numPr>
        <w:spacing w:after="40" w:before="40"/>
      </w:pPr>
      <w:r>
        <w:rPr>
          <w:rFonts w:ascii="Arial" w:cs="Arial" w:eastAsia="Arial" w:hAnsi="Arial"/>
        </w:rPr>
        <w:t xml:space="preserve">Corporate income tax — 30% for resident companies.</w:t>
      </w:r>
    </w:p>
    <w:p>
      <w:pPr>
        <w:pStyle w:val="ListParagraph"/>
        <w:numPr>
          <w:ilvl w:val="0"/>
          <w:numId w:val="3"/>
        </w:numPr>
        <w:spacing w:after="40" w:before="40"/>
      </w:pPr>
      <w:r>
        <w:rPr>
          <w:rFonts w:ascii="Arial" w:cs="Arial" w:eastAsia="Arial" w:hAnsi="Arial"/>
        </w:rPr>
        <w:t xml:space="preserve">VAT — 18%. Mandatory registration once annual taxable turnover exceeds TZS 200,000,000.</w:t>
      </w:r>
    </w:p>
    <w:p>
      <w:pPr>
        <w:pStyle w:val="ListParagraph"/>
        <w:numPr>
          <w:ilvl w:val="0"/>
          <w:numId w:val="3"/>
        </w:numPr>
        <w:spacing w:after="40" w:before="40"/>
      </w:pPr>
      <w:r>
        <w:rPr>
          <w:rFonts w:ascii="Arial" w:cs="Arial" w:eastAsia="Arial" w:hAnsi="Arial"/>
        </w:rPr>
        <w:t xml:space="preserve">Upon VAT registration, Pamoja+ must obtain and operate an EFD (Electronic Fiscal Device) or VFD (Virtual Fiscal Device) for compliant invoicing.</w:t>
      </w:r>
    </w:p>
    <w:p>
      <w:pPr>
        <w:pStyle w:val="ListParagraph"/>
        <w:numPr>
          <w:ilvl w:val="0"/>
          <w:numId w:val="3"/>
        </w:numPr>
        <w:spacing w:after="40" w:before="40"/>
      </w:pPr>
      <w:r>
        <w:rPr>
          <w:rFonts w:ascii="Arial" w:cs="Arial" w:eastAsia="Arial" w:hAnsi="Arial"/>
        </w:rPr>
        <w:t xml:space="preserve">Withholding tax — 5% on service fees to residents where applicable, including ambassador rewards above threshold.</w:t>
      </w:r>
    </w:p>
    <w:p>
      <w:pPr>
        <w:pStyle w:val="ListParagraph"/>
        <w:numPr>
          <w:ilvl w:val="0"/>
          <w:numId w:val="3"/>
        </w:numPr>
        <w:spacing w:after="40" w:before="40"/>
      </w:pPr>
      <w:r>
        <w:rPr>
          <w:rFonts w:ascii="Arial" w:cs="Arial" w:eastAsia="Arial" w:hAnsi="Arial"/>
        </w:rPr>
        <w:t xml:space="preserve">PAYE — progressive 0–30% for employees.</w:t>
      </w:r>
    </w:p>
    <w:p>
      <w:pPr>
        <w:pStyle w:val="ListParagraph"/>
        <w:numPr>
          <w:ilvl w:val="0"/>
          <w:numId w:val="3"/>
        </w:numPr>
        <w:spacing w:after="40" w:before="40"/>
      </w:pPr>
      <w:r>
        <w:rPr>
          <w:rFonts w:ascii="Arial" w:cs="Arial" w:eastAsia="Arial" w:hAnsi="Arial"/>
        </w:rPr>
        <w:t xml:space="preserve">NSSF — 20% combined (10% employer + 10% employee). As a private sector employer, Pamoja+ registers with NSSF, not PSSSF.</w:t>
      </w:r>
    </w:p>
    <w:p>
      <w:pPr>
        <w:pStyle w:val="ListParagraph"/>
        <w:numPr>
          <w:ilvl w:val="0"/>
          <w:numId w:val="3"/>
        </w:numPr>
        <w:spacing w:after="40" w:before="40"/>
      </w:pPr>
      <w:r>
        <w:rPr>
          <w:rFonts w:ascii="Arial" w:cs="Arial" w:eastAsia="Arial" w:hAnsi="Arial"/>
        </w:rPr>
        <w:t xml:space="preserve">WCF — approximately 0.5% of gross emoluments, payable by the employer.</w:t>
      </w:r>
    </w:p>
    <w:p>
      <w:pPr>
        <w:pStyle w:val="ListParagraph"/>
        <w:numPr>
          <w:ilvl w:val="0"/>
          <w:numId w:val="3"/>
        </w:numPr>
        <w:spacing w:after="40" w:before="40"/>
      </w:pPr>
      <w:r>
        <w:rPr>
          <w:rFonts w:ascii="Arial" w:cs="Arial" w:eastAsia="Arial" w:hAnsi="Arial"/>
        </w:rPr>
        <w:t xml:space="preserve">SDL — 3.5% of gross emoluments, payable once Pamoja+ has 10 or more employees.</w:t>
      </w:r>
    </w:p>
    <w:p>
      <w:pPr>
        <w:pStyle w:val="ListParagraph"/>
        <w:numPr>
          <w:ilvl w:val="0"/>
          <w:numId w:val="3"/>
        </w:numPr>
        <w:spacing w:after="40" w:before="40"/>
      </w:pPr>
      <w:r>
        <w:rPr>
          <w:rFonts w:ascii="Arial" w:cs="Arial" w:eastAsia="Arial" w:hAnsi="Arial"/>
        </w:rPr>
        <w:t xml:space="preserve">Local Service Levy — up to 0.3% of turnover, council-dependent. Confirm exact rate with the relevant Local Government Authority.</w:t>
      </w:r>
    </w:p>
    <w:p>
      <w:pPr>
        <w:pStyle w:val="Heading1"/>
        <w:spacing w:after="200" w:before="360"/>
      </w:pPr>
      <w:r>
        <w:rPr>
          <w:rFonts w:ascii="Arial" w:cs="Arial" w:eastAsia="Arial" w:hAnsi="Arial"/>
          <w:b/>
          <w:bCs/>
          <w:color w:val="1E8A39"/>
          <w:sz w:val="36"/>
          <w:szCs w:val="36"/>
        </w:rPr>
        <w:t xml:space="preserve">5. Marketplace Role and Liability</w:t>
      </w:r>
    </w:p>
    <w:p>
      <w:pPr>
        <w:spacing w:after="80" w:before="80"/>
      </w:pPr>
      <w:r>
        <w:rPr>
          <w:rFonts w:ascii="Arial" w:cs="Arial" w:eastAsia="Arial" w:hAnsi="Arial"/>
        </w:rPr>
        <w:t xml:space="preserve">Legal exposure depends on how involved the platform is in each sale. The early model reduces operational and legal risk while still creating commercial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Model</w:t>
            </w:r>
          </w:p>
        </w:tc>
        <w:tc>
          <w:tcPr>
            <w:tcW w:type="dxa" w:w="234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How It Works</w:t>
            </w:r>
          </w:p>
        </w:tc>
        <w:tc>
          <w:tcPr>
            <w:tcW w:type="dxa" w:w="234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Risk</w:t>
            </w:r>
          </w:p>
        </w:tc>
        <w:tc>
          <w:tcPr>
            <w:tcW w:type="dxa" w:w="234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Recommendation</w:t>
            </w:r>
          </w:p>
        </w:tc>
      </w:tr>
      <w:tr>
        <w:tc>
          <w:tcPr>
            <w:tcW w:type="dxa" w:w="234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Listing and referral</w:t>
            </w:r>
          </w:p>
        </w:tc>
        <w:tc>
          <w:tcPr>
            <w:tcW w:type="dxa" w:w="234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Pamoja+ lists sellers; customers contact sellers directly.</w:t>
            </w:r>
          </w:p>
        </w:tc>
        <w:tc>
          <w:tcPr>
            <w:tcW w:type="dxa" w:w="234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Lower</w:t>
            </w:r>
          </w:p>
        </w:tc>
        <w:tc>
          <w:tcPr>
            <w:tcW w:type="dxa" w:w="234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Best for launch</w:t>
            </w:r>
          </w:p>
        </w:tc>
      </w:tr>
      <w:tr>
        <w:tc>
          <w:tcPr>
            <w:tcW w:type="dxa" w:w="234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Managed checkout</w:t>
            </w:r>
          </w:p>
        </w:tc>
        <w:tc>
          <w:tcPr>
            <w:tcW w:type="dxa" w:w="234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Customer orders and pays through Pamoja+.</w:t>
            </w:r>
          </w:p>
        </w:tc>
        <w:tc>
          <w:tcPr>
            <w:tcW w:type="dxa" w:w="234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Medium–High</w:t>
            </w:r>
          </w:p>
        </w:tc>
        <w:tc>
          <w:tcPr>
            <w:tcW w:type="dxa" w:w="234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Introduce after controls are ready</w:t>
            </w:r>
          </w:p>
        </w:tc>
      </w:tr>
      <w:tr>
        <w:tc>
          <w:tcPr>
            <w:tcW w:type="dxa" w:w="234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Full marketplace with delivery</w:t>
            </w:r>
          </w:p>
        </w:tc>
        <w:tc>
          <w:tcPr>
            <w:tcW w:type="dxa" w:w="234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Pamoja+ manages payment, order flow, delivery, and complaints.</w:t>
            </w:r>
          </w:p>
        </w:tc>
        <w:tc>
          <w:tcPr>
            <w:tcW w:type="dxa" w:w="234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High</w:t>
            </w:r>
          </w:p>
        </w:tc>
        <w:tc>
          <w:tcPr>
            <w:tcW w:type="dxa" w:w="234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Use only after operational maturity</w:t>
            </w:r>
          </w:p>
        </w:tc>
      </w:tr>
    </w:tbl>
    <w:p>
      <w:pPr>
        <w:pStyle w:val="Heading1"/>
        <w:spacing w:after="200" w:before="360"/>
      </w:pPr>
      <w:r>
        <w:rPr>
          <w:rFonts w:ascii="Arial" w:cs="Arial" w:eastAsia="Arial" w:hAnsi="Arial"/>
          <w:b/>
          <w:bCs/>
          <w:color w:val="1E8A39"/>
          <w:sz w:val="36"/>
          <w:szCs w:val="36"/>
        </w:rPr>
        <w:t xml:space="preserve">6. Consumer Protection</w:t>
      </w:r>
    </w:p>
    <w:p>
      <w:pPr>
        <w:spacing w:after="80" w:before="80"/>
      </w:pPr>
      <w:r>
        <w:rPr>
          <w:rFonts w:ascii="Arial" w:cs="Arial" w:eastAsia="Arial" w:hAnsi="Arial"/>
        </w:rPr>
        <w:t xml:space="preserve">Pamoja+ must avoid misleading consumers. The Fair Competition Commission (FCC) is the consumer protection regulator; the Fair Competition Tribunal (FCT) handles appeals.</w:t>
      </w:r>
    </w:p>
    <w:p>
      <w:pPr>
        <w:pStyle w:val="Heading2"/>
        <w:spacing w:after="140" w:before="280"/>
      </w:pPr>
      <w:r>
        <w:rPr>
          <w:rFonts w:ascii="Arial" w:cs="Arial" w:eastAsia="Arial" w:hAnsi="Arial"/>
          <w:b/>
          <w:bCs/>
          <w:color w:val="0F1B14"/>
          <w:sz w:val="28"/>
          <w:szCs w:val="28"/>
        </w:rPr>
        <w:t xml:space="preserve">High-risk consumer issues</w:t>
      </w:r>
    </w:p>
    <w:p>
      <w:pPr>
        <w:pStyle w:val="ListParagraph"/>
        <w:numPr>
          <w:ilvl w:val="0"/>
          <w:numId w:val="3"/>
        </w:numPr>
        <w:spacing w:after="40" w:before="40"/>
      </w:pPr>
      <w:r>
        <w:rPr>
          <w:rFonts w:ascii="Arial" w:cs="Arial" w:eastAsia="Arial" w:hAnsi="Arial"/>
        </w:rPr>
        <w:t xml:space="preserve">Fake discounts or inflated "before" prices.</w:t>
      </w:r>
    </w:p>
    <w:p>
      <w:pPr>
        <w:pStyle w:val="ListParagraph"/>
        <w:numPr>
          <w:ilvl w:val="0"/>
          <w:numId w:val="3"/>
        </w:numPr>
        <w:spacing w:after="40" w:before="40"/>
      </w:pPr>
      <w:r>
        <w:rPr>
          <w:rFonts w:ascii="Arial" w:cs="Arial" w:eastAsia="Arial" w:hAnsi="Arial"/>
        </w:rPr>
        <w:t xml:space="preserve">Promoting unavailable products or expired deals.</w:t>
      </w:r>
    </w:p>
    <w:p>
      <w:pPr>
        <w:pStyle w:val="ListParagraph"/>
        <w:numPr>
          <w:ilvl w:val="0"/>
          <w:numId w:val="3"/>
        </w:numPr>
        <w:spacing w:after="40" w:before="40"/>
      </w:pPr>
      <w:r>
        <w:rPr>
          <w:rFonts w:ascii="Arial" w:cs="Arial" w:eastAsia="Arial" w:hAnsi="Arial"/>
        </w:rPr>
        <w:t xml:space="preserve">Misleading product descriptions.</w:t>
      </w:r>
    </w:p>
    <w:p>
      <w:pPr>
        <w:pStyle w:val="ListParagraph"/>
        <w:numPr>
          <w:ilvl w:val="0"/>
          <w:numId w:val="3"/>
        </w:numPr>
        <w:spacing w:after="40" w:before="40"/>
      </w:pPr>
      <w:r>
        <w:rPr>
          <w:rFonts w:ascii="Arial" w:cs="Arial" w:eastAsia="Arial" w:hAnsi="Arial"/>
        </w:rPr>
        <w:t xml:space="preserve">Hidden delivery charges or unclear conditions.</w:t>
      </w:r>
    </w:p>
    <w:p>
      <w:pPr>
        <w:pStyle w:val="ListParagraph"/>
        <w:numPr>
          <w:ilvl w:val="0"/>
          <w:numId w:val="3"/>
        </w:numPr>
        <w:spacing w:after="40" w:before="40"/>
      </w:pPr>
      <w:r>
        <w:rPr>
          <w:rFonts w:ascii="Arial" w:cs="Arial" w:eastAsia="Arial" w:hAnsi="Arial"/>
        </w:rPr>
        <w:t xml:space="preserve">Fake reviews or unverified testimonials.</w:t>
      </w:r>
    </w:p>
    <w:p>
      <w:pPr>
        <w:pStyle w:val="ListParagraph"/>
        <w:numPr>
          <w:ilvl w:val="0"/>
          <w:numId w:val="3"/>
        </w:numPr>
        <w:spacing w:after="40" w:before="40"/>
      </w:pPr>
      <w:r>
        <w:rPr>
          <w:rFonts w:ascii="Arial" w:cs="Arial" w:eastAsia="Arial" w:hAnsi="Arial"/>
        </w:rPr>
        <w:t xml:space="preserve">Misleading health, beauty, or wellness claims (TMDA-regulated).</w:t>
      </w:r>
    </w:p>
    <w:p>
      <w:pPr>
        <w:pStyle w:val="ListParagraph"/>
        <w:numPr>
          <w:ilvl w:val="0"/>
          <w:numId w:val="3"/>
        </w:numPr>
        <w:spacing w:after="40" w:before="40"/>
      </w:pPr>
      <w:r>
        <w:rPr>
          <w:rFonts w:ascii="Arial" w:cs="Arial" w:eastAsia="Arial" w:hAnsi="Arial"/>
        </w:rPr>
        <w:t xml:space="preserve">Sellers failing to respond after promotion.</w:t>
      </w:r>
    </w:p>
    <w:p>
      <w:pPr>
        <w:pStyle w:val="Heading1"/>
        <w:spacing w:after="200" w:before="360"/>
      </w:pPr>
      <w:r>
        <w:rPr>
          <w:rFonts w:ascii="Arial" w:cs="Arial" w:eastAsia="Arial" w:hAnsi="Arial"/>
          <w:b/>
          <w:bCs/>
          <w:color w:val="1E8A39"/>
          <w:sz w:val="36"/>
          <w:szCs w:val="36"/>
        </w:rPr>
        <w:t xml:space="preserve">7. Terms and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Document</w:t>
            </w:r>
          </w:p>
        </w:tc>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Applies To</w:t>
            </w:r>
          </w:p>
        </w:tc>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Purpose</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User Terms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Shoppers and visitors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Platform use, limitations, complaints, user responsibilities.</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Seller Terms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Listed businesses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Listing accuracy, payment obligations, prohibited products, seller conduct.</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Paid Promotion Terms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Brands buying visibility</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Deliverables, dates, fees, approvals, refund limits.</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Ambassador Agreement</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Referral / community promoters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Non-employee status, rewards, conduct, referral tracking, WHT clause.</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Delivery Partner Terms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Future logistics partners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Delivery responsibility, proof of delivery, failed delivery, payment.</w:t>
            </w:r>
          </w:p>
        </w:tc>
      </w:tr>
    </w:tbl>
    <w:p>
      <w:pPr>
        <w:pStyle w:val="Heading1"/>
        <w:spacing w:after="200" w:before="360"/>
      </w:pPr>
      <w:r>
        <w:rPr>
          <w:rFonts w:ascii="Arial" w:cs="Arial" w:eastAsia="Arial" w:hAnsi="Arial"/>
          <w:b/>
          <w:bCs/>
          <w:color w:val="1E8A39"/>
          <w:sz w:val="36"/>
          <w:szCs w:val="36"/>
        </w:rPr>
        <w:t xml:space="preserve">8. Privacy and Data Protection (PDPC)</w:t>
      </w:r>
    </w:p>
    <w:p>
      <w:pPr>
        <w:spacing w:after="80" w:before="80"/>
      </w:pPr>
      <w:r>
        <w:rPr>
          <w:rFonts w:ascii="Arial" w:cs="Arial" w:eastAsia="Arial" w:hAnsi="Arial"/>
        </w:rPr>
        <w:t xml:space="preserve">Tanzania's Personal Data Protection Act 2022 and Regulations 2023 require data controllers and processors to register with the Personal Data Protection Commission (PDPC). For a marketplace handling buyer, seller, employee, and ambassador data, this registration is required, not optional.</w:t>
      </w:r>
    </w:p>
    <w:p>
      <w:pPr>
        <w:pStyle w:val="Heading2"/>
        <w:spacing w:after="140" w:before="280"/>
      </w:pPr>
      <w:r>
        <w:rPr>
          <w:rFonts w:ascii="Arial" w:cs="Arial" w:eastAsia="Arial" w:hAnsi="Arial"/>
          <w:b/>
          <w:bCs/>
          <w:color w:val="0F1B14"/>
          <w:sz w:val="28"/>
          <w:szCs w:val="28"/>
        </w:rPr>
        <w:t xml:space="preserve">Documents and controls required</w:t>
      </w:r>
    </w:p>
    <w:p>
      <w:pPr>
        <w:pStyle w:val="ListParagraph"/>
        <w:numPr>
          <w:ilvl w:val="0"/>
          <w:numId w:val="3"/>
        </w:numPr>
        <w:spacing w:after="40" w:before="40"/>
      </w:pPr>
      <w:r>
        <w:rPr>
          <w:rFonts w:ascii="Arial" w:cs="Arial" w:eastAsia="Arial" w:hAnsi="Arial"/>
        </w:rPr>
        <w:t xml:space="preserve">Privacy Policy (live before public launch).</w:t>
      </w:r>
    </w:p>
    <w:p>
      <w:pPr>
        <w:pStyle w:val="ListParagraph"/>
        <w:numPr>
          <w:ilvl w:val="0"/>
          <w:numId w:val="3"/>
        </w:numPr>
        <w:spacing w:after="40" w:before="40"/>
      </w:pPr>
      <w:r>
        <w:rPr>
          <w:rFonts w:ascii="Arial" w:cs="Arial" w:eastAsia="Arial" w:hAnsi="Arial"/>
        </w:rPr>
        <w:t xml:space="preserve">Cookie Policy if using cookies, analytics, or retargeting.</w:t>
      </w:r>
    </w:p>
    <w:p>
      <w:pPr>
        <w:pStyle w:val="ListParagraph"/>
        <w:numPr>
          <w:ilvl w:val="0"/>
          <w:numId w:val="3"/>
        </w:numPr>
        <w:spacing w:after="40" w:before="40"/>
      </w:pPr>
      <w:r>
        <w:rPr>
          <w:rFonts w:ascii="Arial" w:cs="Arial" w:eastAsia="Arial" w:hAnsi="Arial"/>
        </w:rPr>
        <w:t xml:space="preserve">Data Protection Policy.</w:t>
      </w:r>
    </w:p>
    <w:p>
      <w:pPr>
        <w:pStyle w:val="ListParagraph"/>
        <w:numPr>
          <w:ilvl w:val="0"/>
          <w:numId w:val="3"/>
        </w:numPr>
        <w:spacing w:after="40" w:before="40"/>
      </w:pPr>
      <w:r>
        <w:rPr>
          <w:rFonts w:ascii="Arial" w:cs="Arial" w:eastAsia="Arial" w:hAnsi="Arial"/>
        </w:rPr>
        <w:t xml:space="preserve">Consent wording for sellers, shoppers, and ambassadors.</w:t>
      </w:r>
    </w:p>
    <w:p>
      <w:pPr>
        <w:pStyle w:val="ListParagraph"/>
        <w:numPr>
          <w:ilvl w:val="0"/>
          <w:numId w:val="3"/>
        </w:numPr>
        <w:spacing w:after="40" w:before="40"/>
      </w:pPr>
      <w:r>
        <w:rPr>
          <w:rFonts w:ascii="Arial" w:cs="Arial" w:eastAsia="Arial" w:hAnsi="Arial"/>
        </w:rPr>
        <w:t xml:space="preserve">Data retention and deletion policy.</w:t>
      </w:r>
    </w:p>
    <w:p>
      <w:pPr>
        <w:pStyle w:val="ListParagraph"/>
        <w:numPr>
          <w:ilvl w:val="0"/>
          <w:numId w:val="3"/>
        </w:numPr>
        <w:spacing w:after="40" w:before="40"/>
      </w:pPr>
      <w:r>
        <w:rPr>
          <w:rFonts w:ascii="Arial" w:cs="Arial" w:eastAsia="Arial" w:hAnsi="Arial"/>
        </w:rPr>
        <w:t xml:space="preserve">Staff confidentiality agreements.</w:t>
      </w:r>
    </w:p>
    <w:p>
      <w:pPr>
        <w:pStyle w:val="ListParagraph"/>
        <w:numPr>
          <w:ilvl w:val="0"/>
          <w:numId w:val="3"/>
        </w:numPr>
        <w:spacing w:after="40" w:before="40"/>
      </w:pPr>
      <w:r>
        <w:rPr>
          <w:rFonts w:ascii="Arial" w:cs="Arial" w:eastAsia="Arial" w:hAnsi="Arial"/>
        </w:rPr>
        <w:t xml:space="preserve">Data breach response procedure.</w:t>
      </w:r>
    </w:p>
    <w:p>
      <w:pPr>
        <w:pStyle w:val="ListParagraph"/>
        <w:numPr>
          <w:ilvl w:val="0"/>
          <w:numId w:val="3"/>
        </w:numPr>
        <w:spacing w:after="40" w:before="40"/>
      </w:pPr>
      <w:r>
        <w:rPr>
          <w:rFonts w:ascii="Arial" w:cs="Arial" w:eastAsia="Arial" w:hAnsi="Arial"/>
        </w:rPr>
        <w:t xml:space="preserve">PDPC data-controller registration before public launch.</w:t>
      </w:r>
    </w:p>
    <w:p>
      <w:pPr>
        <w:pStyle w:val="Heading1"/>
        <w:spacing w:after="200" w:before="360"/>
      </w:pPr>
      <w:r>
        <w:rPr>
          <w:rFonts w:ascii="Arial" w:cs="Arial" w:eastAsia="Arial" w:hAnsi="Arial"/>
          <w:b/>
          <w:bCs/>
          <w:color w:val="1E8A39"/>
          <w:sz w:val="36"/>
          <w:szCs w:val="36"/>
        </w:rPr>
        <w:t xml:space="preserve">9. Payments and Mobile Money</w:t>
      </w:r>
    </w:p>
    <w:p>
      <w:pPr>
        <w:spacing w:after="80" w:before="80"/>
      </w:pPr>
      <w:r>
        <w:rPr>
          <w:rFonts w:ascii="Arial" w:cs="Arial" w:eastAsia="Arial" w:hAnsi="Arial"/>
        </w:rPr>
        <w:t xml:space="preserve">Pamoja+ uses licensed mobile money providers, banks, or payment aggregators. The platform does not act as a bank, wallet provider, or money custodian during Phase 1.</w:t>
      </w:r>
    </w:p>
    <w:p>
      <w:pPr>
        <w:pStyle w:val="Heading2"/>
        <w:spacing w:after="140" w:before="280"/>
      </w:pPr>
      <w:r>
        <w:rPr>
          <w:rFonts w:ascii="Arial" w:cs="Arial" w:eastAsia="Arial" w:hAnsi="Arial"/>
          <w:b/>
          <w:bCs/>
          <w:color w:val="0F1B14"/>
          <w:sz w:val="28"/>
          <w:szCs w:val="28"/>
        </w:rPr>
        <w:t xml:space="preserve">Mobile money providers</w:t>
      </w:r>
    </w:p>
    <w:p>
      <w:pPr>
        <w:pStyle w:val="ListParagraph"/>
        <w:numPr>
          <w:ilvl w:val="0"/>
          <w:numId w:val="3"/>
        </w:numPr>
        <w:spacing w:after="40" w:before="40"/>
      </w:pPr>
      <w:r>
        <w:rPr>
          <w:rFonts w:ascii="Arial" w:cs="Arial" w:eastAsia="Arial" w:hAnsi="Arial"/>
        </w:rPr>
        <w:t xml:space="preserve">M-Pesa (Vodacom Tanzania).</w:t>
      </w:r>
    </w:p>
    <w:p>
      <w:pPr>
        <w:pStyle w:val="ListParagraph"/>
        <w:numPr>
          <w:ilvl w:val="0"/>
          <w:numId w:val="3"/>
        </w:numPr>
        <w:spacing w:after="40" w:before="40"/>
      </w:pPr>
      <w:r>
        <w:rPr>
          <w:rFonts w:ascii="Arial" w:cs="Arial" w:eastAsia="Arial" w:hAnsi="Arial"/>
        </w:rPr>
        <w:t xml:space="preserve">Mixx by Yas (Yas Tanzania, formerly Tigo Pesa, rebranded 2024).</w:t>
      </w:r>
    </w:p>
    <w:p>
      <w:pPr>
        <w:pStyle w:val="ListParagraph"/>
        <w:numPr>
          <w:ilvl w:val="0"/>
          <w:numId w:val="3"/>
        </w:numPr>
        <w:spacing w:after="40" w:before="40"/>
      </w:pPr>
      <w:r>
        <w:rPr>
          <w:rFonts w:ascii="Arial" w:cs="Arial" w:eastAsia="Arial" w:hAnsi="Arial"/>
        </w:rPr>
        <w:t xml:space="preserve">Airtel Money (Airtel Tanzania).</w:t>
      </w:r>
    </w:p>
    <w:p>
      <w:pPr>
        <w:pStyle w:val="ListParagraph"/>
        <w:numPr>
          <w:ilvl w:val="0"/>
          <w:numId w:val="3"/>
        </w:numPr>
        <w:spacing w:after="40" w:before="40"/>
      </w:pPr>
      <w:r>
        <w:rPr>
          <w:rFonts w:ascii="Arial" w:cs="Arial" w:eastAsia="Arial" w:hAnsi="Arial"/>
        </w:rPr>
        <w:t xml:space="preserve">Halopesa (Halotel).</w:t>
      </w:r>
    </w:p>
    <w:p>
      <w:pPr>
        <w:pStyle w:val="ListParagraph"/>
        <w:numPr>
          <w:ilvl w:val="0"/>
          <w:numId w:val="3"/>
        </w:numPr>
        <w:spacing w:after="40" w:before="40"/>
      </w:pPr>
      <w:r>
        <w:rPr>
          <w:rFonts w:ascii="Arial" w:cs="Arial" w:eastAsia="Arial" w:hAnsi="Arial"/>
        </w:rPr>
        <w:t xml:space="preserve">AzamPesa (Azam Group).</w:t>
      </w:r>
    </w:p>
    <w:p>
      <w:pPr>
        <w:pStyle w:val="ListParagraph"/>
        <w:numPr>
          <w:ilvl w:val="0"/>
          <w:numId w:val="3"/>
        </w:numPr>
        <w:spacing w:after="40" w:before="40"/>
      </w:pPr>
      <w:r>
        <w:rPr>
          <w:rFonts w:ascii="Arial" w:cs="Arial" w:eastAsia="Arial" w:hAnsi="Arial"/>
        </w:rPr>
        <w:t xml:space="preserve">T-Pesa (TTCL).</w:t>
      </w:r>
    </w:p>
    <w:p>
      <w:pPr>
        <w:pStyle w:val="Heading2"/>
        <w:spacing w:after="140" w:before="280"/>
      </w:pPr>
      <w:r>
        <w:rPr>
          <w:rFonts w:ascii="Arial" w:cs="Arial" w:eastAsia="Arial" w:hAnsi="Arial"/>
          <w:b/>
          <w:bCs/>
          <w:color w:val="0F1B14"/>
          <w:sz w:val="28"/>
          <w:szCs w:val="28"/>
        </w:rPr>
        <w:t xml:space="preserve">Payment aggregators to shortlist</w:t>
      </w:r>
    </w:p>
    <w:p>
      <w:pPr>
        <w:pStyle w:val="ListParagraph"/>
        <w:numPr>
          <w:ilvl w:val="0"/>
          <w:numId w:val="3"/>
        </w:numPr>
        <w:spacing w:after="40" w:before="40"/>
      </w:pPr>
      <w:r>
        <w:rPr>
          <w:rFonts w:ascii="Arial" w:cs="Arial" w:eastAsia="Arial" w:hAnsi="Arial"/>
        </w:rPr>
        <w:t xml:space="preserve">Selcom — broadest MMO coverage, single API.</w:t>
      </w:r>
    </w:p>
    <w:p>
      <w:pPr>
        <w:pStyle w:val="ListParagraph"/>
        <w:numPr>
          <w:ilvl w:val="0"/>
          <w:numId w:val="3"/>
        </w:numPr>
        <w:spacing w:after="40" w:before="40"/>
      </w:pPr>
      <w:r>
        <w:rPr>
          <w:rFonts w:ascii="Arial" w:cs="Arial" w:eastAsia="Arial" w:hAnsi="Arial"/>
        </w:rPr>
        <w:t xml:space="preserve">Clickpesa — TZ-native, developer-friendly.</w:t>
      </w:r>
    </w:p>
    <w:p>
      <w:pPr>
        <w:pStyle w:val="ListParagraph"/>
        <w:numPr>
          <w:ilvl w:val="0"/>
          <w:numId w:val="3"/>
        </w:numPr>
        <w:spacing w:after="40" w:before="40"/>
      </w:pPr>
      <w:r>
        <w:rPr>
          <w:rFonts w:ascii="Arial" w:cs="Arial" w:eastAsia="Arial" w:hAnsi="Arial"/>
        </w:rPr>
        <w:t xml:space="preserve">Pesapal — pan-East-Africa, strong card support.</w:t>
      </w:r>
    </w:p>
    <w:p>
      <w:pPr>
        <w:pStyle w:val="ListParagraph"/>
        <w:numPr>
          <w:ilvl w:val="0"/>
          <w:numId w:val="3"/>
        </w:numPr>
        <w:spacing w:after="40" w:before="40"/>
      </w:pPr>
      <w:r>
        <w:rPr>
          <w:rFonts w:ascii="Arial" w:cs="Arial" w:eastAsia="Arial" w:hAnsi="Arial"/>
        </w:rPr>
        <w:t xml:space="preserve">Flutterwave — diaspora and international cards.</w:t>
      </w:r>
    </w:p>
    <w:p>
      <w:pPr>
        <w:pStyle w:val="ListParagraph"/>
        <w:numPr>
          <w:ilvl w:val="0"/>
          <w:numId w:val="3"/>
        </w:numPr>
        <w:spacing w:after="40" w:before="40"/>
      </w:pPr>
      <w:r>
        <w:rPr>
          <w:rFonts w:ascii="Arial" w:cs="Arial" w:eastAsia="Arial" w:hAnsi="Arial"/>
        </w:rPr>
        <w:t xml:space="preserve">DPO Pay — long-established, card-focused.</w:t>
      </w:r>
    </w:p>
    <w:p>
      <w:pPr>
        <w:pStyle w:val="Heading1"/>
        <w:spacing w:after="200" w:before="360"/>
      </w:pPr>
      <w:r>
        <w:rPr>
          <w:rFonts w:ascii="Arial" w:cs="Arial" w:eastAsia="Arial" w:hAnsi="Arial"/>
          <w:b/>
          <w:bCs/>
          <w:color w:val="1E8A39"/>
          <w:sz w:val="36"/>
          <w:szCs w:val="36"/>
        </w:rPr>
        <w:t xml:space="preserve">10. Refund, Cancellation, and Dispute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Issue</w:t>
            </w:r>
          </w:p>
        </w:tc>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Phase 1 Handling</w:t>
            </w:r>
          </w:p>
        </w:tc>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Escalation</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Wrong price or expired deal</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Pamoja+ corrects/removes listing; contacts seller.</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Repeated errors may lead to suspension.</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Seller not responding</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Pamoja+ follows up with seller.</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Seller response status downgraded.</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Customer paid seller directly</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Seller handles refund directly.</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Pamoja+ may mediate and record complaint.</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Payment through Pamoja+</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Pamoja+ follows written refund and settlement rules.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Requires order and payment proof.</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Product quality complaint</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Seller is primarily responsible.</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Pamoja+ reviews seller reliability.</w:t>
            </w:r>
          </w:p>
        </w:tc>
      </w:tr>
    </w:tbl>
    <w:p>
      <w:pPr>
        <w:pStyle w:val="Heading1"/>
        <w:spacing w:after="200" w:before="360"/>
      </w:pPr>
      <w:r>
        <w:rPr>
          <w:rFonts w:ascii="Arial" w:cs="Arial" w:eastAsia="Arial" w:hAnsi="Arial"/>
          <w:b/>
          <w:bCs/>
          <w:color w:val="1E8A39"/>
          <w:sz w:val="36"/>
          <w:szCs w:val="36"/>
        </w:rPr>
        <w:t xml:space="preserve">11. Seller Verification</w:t>
      </w:r>
    </w:p>
    <w:p>
      <w:pPr>
        <w:pStyle w:val="Heading2"/>
        <w:spacing w:after="140" w:before="280"/>
      </w:pPr>
      <w:r>
        <w:rPr>
          <w:rFonts w:ascii="Arial" w:cs="Arial" w:eastAsia="Arial" w:hAnsi="Arial"/>
          <w:b/>
          <w:bCs/>
          <w:color w:val="0F1B14"/>
          <w:sz w:val="28"/>
          <w:szCs w:val="28"/>
        </w:rPr>
        <w:t xml:space="preserve">Minimum verification</w:t>
      </w:r>
    </w:p>
    <w:p>
      <w:pPr>
        <w:pStyle w:val="ListParagraph"/>
        <w:numPr>
          <w:ilvl w:val="0"/>
          <w:numId w:val="3"/>
        </w:numPr>
        <w:spacing w:after="40" w:before="40"/>
      </w:pPr>
      <w:r>
        <w:rPr>
          <w:rFonts w:ascii="Arial" w:cs="Arial" w:eastAsia="Arial" w:hAnsi="Arial"/>
        </w:rPr>
        <w:t xml:space="preserve">Business name and owner/contact person.</w:t>
      </w:r>
    </w:p>
    <w:p>
      <w:pPr>
        <w:pStyle w:val="ListParagraph"/>
        <w:numPr>
          <w:ilvl w:val="0"/>
          <w:numId w:val="3"/>
        </w:numPr>
        <w:spacing w:after="40" w:before="40"/>
      </w:pPr>
      <w:r>
        <w:rPr>
          <w:rFonts w:ascii="Arial" w:cs="Arial" w:eastAsia="Arial" w:hAnsi="Arial"/>
        </w:rPr>
        <w:t xml:space="preserve">Phone number and WhatsApp number.</w:t>
      </w:r>
    </w:p>
    <w:p>
      <w:pPr>
        <w:pStyle w:val="ListParagraph"/>
        <w:numPr>
          <w:ilvl w:val="0"/>
          <w:numId w:val="3"/>
        </w:numPr>
        <w:spacing w:after="40" w:before="40"/>
      </w:pPr>
      <w:r>
        <w:rPr>
          <w:rFonts w:ascii="Arial" w:cs="Arial" w:eastAsia="Arial" w:hAnsi="Arial"/>
        </w:rPr>
        <w:t xml:space="preserve">Physical location or service area.</w:t>
      </w:r>
    </w:p>
    <w:p>
      <w:pPr>
        <w:pStyle w:val="ListParagraph"/>
        <w:numPr>
          <w:ilvl w:val="0"/>
          <w:numId w:val="3"/>
        </w:numPr>
        <w:spacing w:after="40" w:before="40"/>
      </w:pPr>
      <w:r>
        <w:rPr>
          <w:rFonts w:ascii="Arial" w:cs="Arial" w:eastAsia="Arial" w:hAnsi="Arial"/>
        </w:rPr>
        <w:t xml:space="preserve">Business category and product / service description.</w:t>
      </w:r>
    </w:p>
    <w:p>
      <w:pPr>
        <w:pStyle w:val="ListParagraph"/>
        <w:numPr>
          <w:ilvl w:val="0"/>
          <w:numId w:val="3"/>
        </w:numPr>
        <w:spacing w:after="40" w:before="40"/>
      </w:pPr>
      <w:r>
        <w:rPr>
          <w:rFonts w:ascii="Arial" w:cs="Arial" w:eastAsia="Arial" w:hAnsi="Arial"/>
        </w:rPr>
        <w:t xml:space="preserve">Social media link or website if available.</w:t>
      </w:r>
    </w:p>
    <w:p>
      <w:pPr>
        <w:pStyle w:val="ListParagraph"/>
        <w:numPr>
          <w:ilvl w:val="0"/>
          <w:numId w:val="3"/>
        </w:numPr>
        <w:spacing w:after="40" w:before="40"/>
      </w:pPr>
      <w:r>
        <w:rPr>
          <w:rFonts w:ascii="Arial" w:cs="Arial" w:eastAsia="Arial" w:hAnsi="Arial"/>
        </w:rPr>
        <w:t xml:space="preserve">Business licence or registration where applicable.</w:t>
      </w:r>
    </w:p>
    <w:p>
      <w:pPr>
        <w:pStyle w:val="ListParagraph"/>
        <w:numPr>
          <w:ilvl w:val="0"/>
          <w:numId w:val="3"/>
        </w:numPr>
        <w:spacing w:after="40" w:before="40"/>
      </w:pPr>
      <w:r>
        <w:rPr>
          <w:rFonts w:ascii="Arial" w:cs="Arial" w:eastAsia="Arial" w:hAnsi="Arial"/>
        </w:rPr>
        <w:t xml:space="preserve">ID/contact proof for informal sellers where needed.</w:t>
      </w:r>
    </w:p>
    <w:p>
      <w:pPr>
        <w:pStyle w:val="ListParagraph"/>
        <w:numPr>
          <w:ilvl w:val="0"/>
          <w:numId w:val="3"/>
        </w:numPr>
        <w:spacing w:after="40" w:before="40"/>
      </w:pPr>
      <w:r>
        <w:rPr>
          <w:rFonts w:ascii="Arial" w:cs="Arial" w:eastAsia="Arial" w:hAnsi="Arial"/>
        </w:rPr>
        <w:t xml:space="preserve">Agreement to Pamoja+ seller terms and prohibited products policy.</w:t>
      </w:r>
    </w:p>
    <w:p>
      <w:pPr>
        <w:pStyle w:val="Heading2"/>
        <w:spacing w:after="140" w:before="280"/>
      </w:pPr>
      <w:r>
        <w:rPr>
          <w:rFonts w:ascii="Arial" w:cs="Arial" w:eastAsia="Arial" w:hAnsi="Arial"/>
          <w:b/>
          <w:bCs/>
          <w:color w:val="0F1B14"/>
          <w:sz w:val="28"/>
          <w:szCs w:val="28"/>
        </w:rPr>
        <w:t xml:space="preserve">Higher-risk categories — extra checks</w:t>
      </w:r>
    </w:p>
    <w:p>
      <w:pPr>
        <w:pStyle w:val="ListParagraph"/>
        <w:numPr>
          <w:ilvl w:val="0"/>
          <w:numId w:val="3"/>
        </w:numPr>
        <w:spacing w:after="40" w:before="40"/>
      </w:pPr>
      <w:r>
        <w:rPr>
          <w:rFonts w:ascii="Arial" w:cs="Arial" w:eastAsia="Arial" w:hAnsi="Arial"/>
        </w:rPr>
        <w:t xml:space="preserve">Food and beverages (TBS-aware).</w:t>
      </w:r>
    </w:p>
    <w:p>
      <w:pPr>
        <w:pStyle w:val="ListParagraph"/>
        <w:numPr>
          <w:ilvl w:val="0"/>
          <w:numId w:val="3"/>
        </w:numPr>
        <w:spacing w:after="40" w:before="40"/>
      </w:pPr>
      <w:r>
        <w:rPr>
          <w:rFonts w:ascii="Arial" w:cs="Arial" w:eastAsia="Arial" w:hAnsi="Arial"/>
        </w:rPr>
        <w:t xml:space="preserve">Cosmetics and beauty products (TMDA-regulated).</w:t>
      </w:r>
    </w:p>
    <w:p>
      <w:pPr>
        <w:pStyle w:val="ListParagraph"/>
        <w:numPr>
          <w:ilvl w:val="0"/>
          <w:numId w:val="3"/>
        </w:numPr>
        <w:spacing w:after="40" w:before="40"/>
      </w:pPr>
      <w:r>
        <w:rPr>
          <w:rFonts w:ascii="Arial" w:cs="Arial" w:eastAsia="Arial" w:hAnsi="Arial"/>
        </w:rPr>
        <w:t xml:space="preserve">Health and wellness products (TMDA-regulated).</w:t>
      </w:r>
    </w:p>
    <w:p>
      <w:pPr>
        <w:pStyle w:val="ListParagraph"/>
        <w:numPr>
          <w:ilvl w:val="0"/>
          <w:numId w:val="3"/>
        </w:numPr>
        <w:spacing w:after="40" w:before="40"/>
      </w:pPr>
      <w:r>
        <w:rPr>
          <w:rFonts w:ascii="Arial" w:cs="Arial" w:eastAsia="Arial" w:hAnsi="Arial"/>
        </w:rPr>
        <w:t xml:space="preserve">Supplements and therapeutic products (TMDA-regulated).</w:t>
      </w:r>
    </w:p>
    <w:p>
      <w:pPr>
        <w:pStyle w:val="ListParagraph"/>
        <w:numPr>
          <w:ilvl w:val="0"/>
          <w:numId w:val="3"/>
        </w:numPr>
        <w:spacing w:after="40" w:before="40"/>
      </w:pPr>
      <w:r>
        <w:rPr>
          <w:rFonts w:ascii="Arial" w:cs="Arial" w:eastAsia="Arial" w:hAnsi="Arial"/>
        </w:rPr>
        <w:t xml:space="preserve">Children's products.</w:t>
      </w:r>
    </w:p>
    <w:p>
      <w:pPr>
        <w:pStyle w:val="ListParagraph"/>
        <w:numPr>
          <w:ilvl w:val="0"/>
          <w:numId w:val="3"/>
        </w:numPr>
        <w:spacing w:after="40" w:before="40"/>
      </w:pPr>
      <w:r>
        <w:rPr>
          <w:rFonts w:ascii="Arial" w:cs="Arial" w:eastAsia="Arial" w:hAnsi="Arial"/>
        </w:rPr>
        <w:t xml:space="preserve">Imported goods (TBS clearance where required).</w:t>
      </w:r>
    </w:p>
    <w:p>
      <w:pPr>
        <w:pStyle w:val="ListParagraph"/>
        <w:numPr>
          <w:ilvl w:val="0"/>
          <w:numId w:val="3"/>
        </w:numPr>
        <w:spacing w:after="40" w:before="40"/>
      </w:pPr>
      <w:r>
        <w:rPr>
          <w:rFonts w:ascii="Arial" w:cs="Arial" w:eastAsia="Arial" w:hAnsi="Arial"/>
        </w:rPr>
        <w:t xml:space="preserve">Electronics and high-value products.</w:t>
      </w:r>
    </w:p>
    <w:p>
      <w:pPr>
        <w:pStyle w:val="Heading1"/>
        <w:spacing w:after="200" w:before="360"/>
      </w:pPr>
      <w:r>
        <w:rPr>
          <w:rFonts w:ascii="Arial" w:cs="Arial" w:eastAsia="Arial" w:hAnsi="Arial"/>
          <w:b/>
          <w:bCs/>
          <w:color w:val="1E8A39"/>
          <w:sz w:val="36"/>
          <w:szCs w:val="36"/>
        </w:rPr>
        <w:t xml:space="preserve">12. Product-Specific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Category</w:t>
            </w:r>
          </w:p>
        </w:tc>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Regulator / Concern</w:t>
            </w:r>
          </w:p>
        </w:tc>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Position</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Food and beverages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TBS — packaging, hygiene, expiry, labelling</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Clear seller identity and product details required</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Cosmetics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TMDA — safety, labelling, registration</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Avoid suspicious or unlabelled products</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Health and wellness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TMDA — therapeutic claims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Educational and general wellness only</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Medicines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TMDA — prescription products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Do not advertise without full compliance</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Supplements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TMDA — claims, safety, registration</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Stronger verification before listing</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Alcohol / restricted goods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Licensing, age restrictions</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Do not launch early without legal review</w:t>
            </w:r>
          </w:p>
        </w:tc>
      </w:tr>
    </w:tbl>
    <w:p>
      <w:pPr>
        <w:spacing w:after="80" w:before="80"/>
      </w:pPr>
      <w:r>
        <w:rPr>
          <w:rFonts w:ascii="Arial" w:cs="Arial" w:eastAsia="Arial" w:hAnsi="Arial"/>
          <w:b/>
          <w:bCs/>
        </w:rPr>
        <w:t xml:space="preserve">Launch position: </w:t>
      </w:r>
      <w:r>
        <w:rPr>
          <w:rFonts w:ascii="Arial" w:cs="Arial" w:eastAsia="Arial" w:hAnsi="Arial"/>
        </w:rPr>
        <w:t xml:space="preserve">Avoid pharmaceutical, medical, aggressive weight-loss, and cure-based wellness claims in Phase 1. Wellness content stays educational and general.</w:t>
      </w:r>
    </w:p>
    <w:p>
      <w:pPr>
        <w:pStyle w:val="Heading1"/>
        <w:spacing w:after="200" w:before="360"/>
      </w:pPr>
      <w:r>
        <w:rPr>
          <w:rFonts w:ascii="Arial" w:cs="Arial" w:eastAsia="Arial" w:hAnsi="Arial"/>
          <w:b/>
          <w:bCs/>
          <w:color w:val="1E8A39"/>
          <w:sz w:val="36"/>
          <w:szCs w:val="36"/>
        </w:rPr>
        <w:t xml:space="preserve">13. Advertising and Promotional Claims</w:t>
      </w:r>
    </w:p>
    <w:p>
      <w:pPr>
        <w:pStyle w:val="ListParagraph"/>
        <w:numPr>
          <w:ilvl w:val="0"/>
          <w:numId w:val="3"/>
        </w:numPr>
        <w:spacing w:after="40" w:before="40"/>
      </w:pPr>
      <w:r>
        <w:rPr>
          <w:rFonts w:ascii="Arial" w:cs="Arial" w:eastAsia="Arial" w:hAnsi="Arial"/>
        </w:rPr>
        <w:t xml:space="preserve">Discounts must be real and verifiable.</w:t>
      </w:r>
    </w:p>
    <w:p>
      <w:pPr>
        <w:pStyle w:val="ListParagraph"/>
        <w:numPr>
          <w:ilvl w:val="0"/>
          <w:numId w:val="3"/>
        </w:numPr>
        <w:spacing w:after="40" w:before="40"/>
      </w:pPr>
      <w:r>
        <w:rPr>
          <w:rFonts w:ascii="Arial" w:cs="Arial" w:eastAsia="Arial" w:hAnsi="Arial"/>
        </w:rPr>
        <w:t xml:space="preserve">Before/after prices must not be invented.</w:t>
      </w:r>
    </w:p>
    <w:p>
      <w:pPr>
        <w:pStyle w:val="ListParagraph"/>
        <w:numPr>
          <w:ilvl w:val="0"/>
          <w:numId w:val="3"/>
        </w:numPr>
        <w:spacing w:after="40" w:before="40"/>
      </w:pPr>
      <w:r>
        <w:rPr>
          <w:rFonts w:ascii="Arial" w:cs="Arial" w:eastAsia="Arial" w:hAnsi="Arial"/>
        </w:rPr>
        <w:t xml:space="preserve">Limited-time offers must have actual expiry dates.</w:t>
      </w:r>
    </w:p>
    <w:p>
      <w:pPr>
        <w:pStyle w:val="ListParagraph"/>
        <w:numPr>
          <w:ilvl w:val="0"/>
          <w:numId w:val="3"/>
        </w:numPr>
        <w:spacing w:after="40" w:before="40"/>
      </w:pPr>
      <w:r>
        <w:rPr>
          <w:rFonts w:ascii="Arial" w:cs="Arial" w:eastAsia="Arial" w:hAnsi="Arial"/>
        </w:rPr>
        <w:t xml:space="preserve">Testimonials must be genuine and consent-based.</w:t>
      </w:r>
    </w:p>
    <w:p>
      <w:pPr>
        <w:pStyle w:val="ListParagraph"/>
        <w:numPr>
          <w:ilvl w:val="0"/>
          <w:numId w:val="3"/>
        </w:numPr>
        <w:spacing w:after="40" w:before="40"/>
      </w:pPr>
      <w:r>
        <w:rPr>
          <w:rFonts w:ascii="Arial" w:cs="Arial" w:eastAsia="Arial" w:hAnsi="Arial"/>
        </w:rPr>
        <w:t xml:space="preserve">Sponsored or paid features must be internally recorded.</w:t>
      </w:r>
    </w:p>
    <w:p>
      <w:pPr>
        <w:pStyle w:val="ListParagraph"/>
        <w:numPr>
          <w:ilvl w:val="0"/>
          <w:numId w:val="3"/>
        </w:numPr>
        <w:spacing w:after="40" w:before="40"/>
      </w:pPr>
      <w:r>
        <w:rPr>
          <w:rFonts w:ascii="Arial" w:cs="Arial" w:eastAsia="Arial" w:hAnsi="Arial"/>
        </w:rPr>
        <w:t xml:space="preserve">Health and beauty claims must be cautious and non-medical unless TMDA-approved.</w:t>
      </w:r>
    </w:p>
    <w:p>
      <w:pPr>
        <w:pStyle w:val="ListParagraph"/>
        <w:numPr>
          <w:ilvl w:val="0"/>
          <w:numId w:val="3"/>
        </w:numPr>
        <w:spacing w:after="40" w:before="40"/>
      </w:pPr>
      <w:r>
        <w:rPr>
          <w:rFonts w:ascii="Arial" w:cs="Arial" w:eastAsia="Arial" w:hAnsi="Arial"/>
        </w:rPr>
        <w:t xml:space="preserve">Influencer or ambassador content must not mislead customers.</w:t>
      </w:r>
    </w:p>
    <w:p>
      <w:pPr>
        <w:spacing w:after="80" w:before="80"/>
      </w:pPr>
      <w:r>
        <w:rPr>
          <w:rFonts w:ascii="Arial" w:cs="Arial" w:eastAsia="Arial" w:hAnsi="Arial"/>
          <w:b/>
          <w:bCs/>
        </w:rPr>
        <w:t xml:space="preserve">Note: </w:t>
      </w:r>
      <w:r>
        <w:rPr>
          <w:rFonts w:ascii="Arial" w:cs="Arial" w:eastAsia="Arial" w:hAnsi="Arial"/>
        </w:rPr>
        <w:t xml:space="preserve">Counsel to confirm whether Pamoja+ requires a TCRA Content Service Licence as paid promotion and influencer volume grows.</w:t>
      </w:r>
    </w:p>
    <w:p>
      <w:pPr>
        <w:pStyle w:val="Heading1"/>
        <w:spacing w:after="200" w:before="360"/>
      </w:pPr>
      <w:r>
        <w:rPr>
          <w:rFonts w:ascii="Arial" w:cs="Arial" w:eastAsia="Arial" w:hAnsi="Arial"/>
          <w:b/>
          <w:bCs/>
          <w:color w:val="1E8A39"/>
          <w:sz w:val="36"/>
          <w:szCs w:val="36"/>
        </w:rPr>
        <w:t xml:space="preserve">14. Intellectual Property</w:t>
      </w:r>
    </w:p>
    <w:p>
      <w:pPr>
        <w:pStyle w:val="ListParagraph"/>
        <w:numPr>
          <w:ilvl w:val="0"/>
          <w:numId w:val="3"/>
        </w:numPr>
        <w:spacing w:after="40" w:before="40"/>
      </w:pPr>
      <w:r>
        <w:rPr>
          <w:rFonts w:ascii="Arial" w:cs="Arial" w:eastAsia="Arial" w:hAnsi="Arial"/>
        </w:rPr>
        <w:t xml:space="preserve">Apply for trade/service mark protection through BRELA for the Pamoja+ name, logo, and tagline.</w:t>
      </w:r>
    </w:p>
    <w:p>
      <w:pPr>
        <w:pStyle w:val="ListParagraph"/>
        <w:numPr>
          <w:ilvl w:val="0"/>
          <w:numId w:val="3"/>
        </w:numPr>
        <w:spacing w:after="40" w:before="40"/>
      </w:pPr>
      <w:r>
        <w:rPr>
          <w:rFonts w:ascii="Arial" w:cs="Arial" w:eastAsia="Arial" w:hAnsi="Arial"/>
        </w:rPr>
        <w:t xml:space="preserve">Phase 2: consider ARIPO regional trade mark filing for cross-border expansion.</w:t>
      </w:r>
    </w:p>
    <w:p>
      <w:pPr>
        <w:pStyle w:val="ListParagraph"/>
        <w:numPr>
          <w:ilvl w:val="0"/>
          <w:numId w:val="3"/>
        </w:numPr>
        <w:spacing w:after="40" w:before="40"/>
      </w:pPr>
      <w:r>
        <w:rPr>
          <w:rFonts w:ascii="Arial" w:cs="Arial" w:eastAsia="Arial" w:hAnsi="Arial"/>
        </w:rPr>
        <w:t xml:space="preserve">Use written agreements with designers, photographers, developers, and content creators that transfer ownership of paid work to Pamoja+.</w:t>
      </w:r>
    </w:p>
    <w:p>
      <w:pPr>
        <w:pStyle w:val="ListParagraph"/>
        <w:numPr>
          <w:ilvl w:val="0"/>
          <w:numId w:val="3"/>
        </w:numPr>
        <w:spacing w:after="40" w:before="40"/>
      </w:pPr>
      <w:r>
        <w:rPr>
          <w:rFonts w:ascii="Arial" w:cs="Arial" w:eastAsia="Arial" w:hAnsi="Arial"/>
        </w:rPr>
        <w:t xml:space="preserve">Require sellers to confirm they own or have permission to use uploaded images.</w:t>
      </w:r>
    </w:p>
    <w:p>
      <w:pPr>
        <w:pStyle w:val="ListParagraph"/>
        <w:numPr>
          <w:ilvl w:val="0"/>
          <w:numId w:val="3"/>
        </w:numPr>
        <w:spacing w:after="40" w:before="40"/>
      </w:pPr>
      <w:r>
        <w:rPr>
          <w:rFonts w:ascii="Arial" w:cs="Arial" w:eastAsia="Arial" w:hAnsi="Arial"/>
        </w:rPr>
        <w:t xml:space="preserve">Reject counterfeit, copied, or unauthorized branded products.</w:t>
      </w:r>
    </w:p>
    <w:p>
      <w:pPr>
        <w:pStyle w:val="Heading1"/>
        <w:spacing w:after="200" w:before="360"/>
      </w:pPr>
      <w:r>
        <w:rPr>
          <w:rFonts w:ascii="Arial" w:cs="Arial" w:eastAsia="Arial" w:hAnsi="Arial"/>
          <w:b/>
          <w:bCs/>
          <w:color w:val="1E8A39"/>
          <w:sz w:val="36"/>
          <w:szCs w:val="36"/>
        </w:rPr>
        <w:t xml:space="preserve">15. Employment, Contractors, Ambassadors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Worker Type</w:t>
            </w:r>
          </w:p>
        </w:tc>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Document</w:t>
            </w:r>
          </w:p>
        </w:tc>
        <w:tc>
          <w:tcPr>
            <w:tcW w:type="dxa" w:w="312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Key Legal Point</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Employee</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Employment contract</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PAYE, NSSF, WCF, SDL (10+ employees), leave, labour obligations.</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Freelancer / contractor</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Independent contractor agreement</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Scope, fees, deadlines, confidentiality, IP ownership.</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Ambassador</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Ambassador / referral agreement</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Non-employee status, rewards, conduct, referral tracking, WHT clause where applicable.</w:t>
            </w:r>
          </w:p>
        </w:tc>
      </w:tr>
      <w:tr>
        <w:tc>
          <w:tcPr>
            <w:tcW w:type="dxa" w:w="312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Intern / volunteer</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Internship / volunteer letter</w:t>
            </w:r>
          </w:p>
        </w:tc>
        <w:tc>
          <w:tcPr>
            <w:tcW w:type="dxa" w:w="312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Clear labour expectations and payment terms.</w:t>
            </w:r>
          </w:p>
        </w:tc>
      </w:tr>
    </w:tbl>
    <w:p>
      <w:pPr>
        <w:pStyle w:val="Heading1"/>
        <w:spacing w:after="200" w:before="360"/>
      </w:pPr>
      <w:r>
        <w:rPr>
          <w:rFonts w:ascii="Arial" w:cs="Arial" w:eastAsia="Arial" w:hAnsi="Arial"/>
          <w:b/>
          <w:bCs/>
          <w:color w:val="1E8A39"/>
          <w:sz w:val="36"/>
          <w:szCs w:val="36"/>
        </w:rPr>
        <w:t xml:space="preserve">16. Website and App Legal Pages</w:t>
      </w:r>
    </w:p>
    <w:p>
      <w:pPr>
        <w:pStyle w:val="ListParagraph"/>
        <w:numPr>
          <w:ilvl w:val="0"/>
          <w:numId w:val="3"/>
        </w:numPr>
        <w:spacing w:after="40" w:before="40"/>
      </w:pPr>
      <w:r>
        <w:rPr>
          <w:rFonts w:ascii="Arial" w:cs="Arial" w:eastAsia="Arial" w:hAnsi="Arial"/>
        </w:rPr>
        <w:t xml:space="preserve">Terms and Conditions.</w:t>
      </w:r>
    </w:p>
    <w:p>
      <w:pPr>
        <w:pStyle w:val="ListParagraph"/>
        <w:numPr>
          <w:ilvl w:val="0"/>
          <w:numId w:val="3"/>
        </w:numPr>
        <w:spacing w:after="40" w:before="40"/>
      </w:pPr>
      <w:r>
        <w:rPr>
          <w:rFonts w:ascii="Arial" w:cs="Arial" w:eastAsia="Arial" w:hAnsi="Arial"/>
        </w:rPr>
        <w:t xml:space="preserve">Privacy Policy.</w:t>
      </w:r>
    </w:p>
    <w:p>
      <w:pPr>
        <w:pStyle w:val="ListParagraph"/>
        <w:numPr>
          <w:ilvl w:val="0"/>
          <w:numId w:val="3"/>
        </w:numPr>
        <w:spacing w:after="40" w:before="40"/>
      </w:pPr>
      <w:r>
        <w:rPr>
          <w:rFonts w:ascii="Arial" w:cs="Arial" w:eastAsia="Arial" w:hAnsi="Arial"/>
        </w:rPr>
        <w:t xml:space="preserve">Seller Terms.</w:t>
      </w:r>
    </w:p>
    <w:p>
      <w:pPr>
        <w:pStyle w:val="ListParagraph"/>
        <w:numPr>
          <w:ilvl w:val="0"/>
          <w:numId w:val="3"/>
        </w:numPr>
        <w:spacing w:after="40" w:before="40"/>
      </w:pPr>
      <w:r>
        <w:rPr>
          <w:rFonts w:ascii="Arial" w:cs="Arial" w:eastAsia="Arial" w:hAnsi="Arial"/>
        </w:rPr>
        <w:t xml:space="preserve">Refund and Dispute Policy.</w:t>
      </w:r>
    </w:p>
    <w:p>
      <w:pPr>
        <w:pStyle w:val="ListParagraph"/>
        <w:numPr>
          <w:ilvl w:val="0"/>
          <w:numId w:val="3"/>
        </w:numPr>
        <w:spacing w:after="40" w:before="40"/>
      </w:pPr>
      <w:r>
        <w:rPr>
          <w:rFonts w:ascii="Arial" w:cs="Arial" w:eastAsia="Arial" w:hAnsi="Arial"/>
        </w:rPr>
        <w:t xml:space="preserve">Community Guidelines.</w:t>
      </w:r>
    </w:p>
    <w:p>
      <w:pPr>
        <w:pStyle w:val="ListParagraph"/>
        <w:numPr>
          <w:ilvl w:val="0"/>
          <w:numId w:val="3"/>
        </w:numPr>
        <w:spacing w:after="40" w:before="40"/>
      </w:pPr>
      <w:r>
        <w:rPr>
          <w:rFonts w:ascii="Arial" w:cs="Arial" w:eastAsia="Arial" w:hAnsi="Arial"/>
        </w:rPr>
        <w:t xml:space="preserve">Cookie Policy.</w:t>
      </w:r>
    </w:p>
    <w:p>
      <w:pPr>
        <w:pStyle w:val="ListParagraph"/>
        <w:numPr>
          <w:ilvl w:val="0"/>
          <w:numId w:val="3"/>
        </w:numPr>
        <w:spacing w:after="40" w:before="40"/>
      </w:pPr>
      <w:r>
        <w:rPr>
          <w:rFonts w:ascii="Arial" w:cs="Arial" w:eastAsia="Arial" w:hAnsi="Arial"/>
        </w:rPr>
        <w:t xml:space="preserve">Advertising Policy.</w:t>
      </w:r>
    </w:p>
    <w:p>
      <w:pPr>
        <w:pStyle w:val="ListParagraph"/>
        <w:numPr>
          <w:ilvl w:val="0"/>
          <w:numId w:val="3"/>
        </w:numPr>
        <w:spacing w:after="40" w:before="40"/>
      </w:pPr>
      <w:r>
        <w:rPr>
          <w:rFonts w:ascii="Arial" w:cs="Arial" w:eastAsia="Arial" w:hAnsi="Arial"/>
        </w:rPr>
        <w:t xml:space="preserve">Prohibited Products Policy.</w:t>
      </w:r>
    </w:p>
    <w:p>
      <w:pPr>
        <w:pStyle w:val="ListParagraph"/>
        <w:numPr>
          <w:ilvl w:val="0"/>
          <w:numId w:val="3"/>
        </w:numPr>
        <w:spacing w:after="40" w:before="40"/>
      </w:pPr>
      <w:r>
        <w:rPr>
          <w:rFonts w:ascii="Arial" w:cs="Arial" w:eastAsia="Arial" w:hAnsi="Arial"/>
        </w:rPr>
        <w:t xml:space="preserve">Contact and Complaint Page.</w:t>
      </w:r>
    </w:p>
    <w:p>
      <w:pPr>
        <w:pStyle w:val="Heading1"/>
        <w:spacing w:after="200" w:before="360"/>
      </w:pPr>
      <w:r>
        <w:rPr>
          <w:rFonts w:ascii="Arial" w:cs="Arial" w:eastAsia="Arial" w:hAnsi="Arial"/>
          <w:b/>
          <w:bCs/>
          <w:color w:val="1E8A39"/>
          <w:sz w:val="36"/>
          <w:szCs w:val="36"/>
        </w:rPr>
        <w:t xml:space="preserve">17. Prohibited Products</w:t>
      </w:r>
    </w:p>
    <w:p>
      <w:pPr>
        <w:pStyle w:val="ListParagraph"/>
        <w:numPr>
          <w:ilvl w:val="0"/>
          <w:numId w:val="3"/>
        </w:numPr>
        <w:spacing w:after="40" w:before="40"/>
      </w:pPr>
      <w:r>
        <w:rPr>
          <w:rFonts w:ascii="Arial" w:cs="Arial" w:eastAsia="Arial" w:hAnsi="Arial"/>
        </w:rPr>
        <w:t xml:space="preserve">Illegal goods or services.</w:t>
      </w:r>
    </w:p>
    <w:p>
      <w:pPr>
        <w:pStyle w:val="ListParagraph"/>
        <w:numPr>
          <w:ilvl w:val="0"/>
          <w:numId w:val="3"/>
        </w:numPr>
        <w:spacing w:after="40" w:before="40"/>
      </w:pPr>
      <w:r>
        <w:rPr>
          <w:rFonts w:ascii="Arial" w:cs="Arial" w:eastAsia="Arial" w:hAnsi="Arial"/>
        </w:rPr>
        <w:t xml:space="preserve">Counterfeit, stolen, or unauthorized branded goods.</w:t>
      </w:r>
    </w:p>
    <w:p>
      <w:pPr>
        <w:pStyle w:val="ListParagraph"/>
        <w:numPr>
          <w:ilvl w:val="0"/>
          <w:numId w:val="3"/>
        </w:numPr>
        <w:spacing w:after="40" w:before="40"/>
      </w:pPr>
      <w:r>
        <w:rPr>
          <w:rFonts w:ascii="Arial" w:cs="Arial" w:eastAsia="Arial" w:hAnsi="Arial"/>
        </w:rPr>
        <w:t xml:space="preserve">Prescription medicines without TMDA authority.</w:t>
      </w:r>
    </w:p>
    <w:p>
      <w:pPr>
        <w:pStyle w:val="ListParagraph"/>
        <w:numPr>
          <w:ilvl w:val="0"/>
          <w:numId w:val="3"/>
        </w:numPr>
        <w:spacing w:after="40" w:before="40"/>
      </w:pPr>
      <w:r>
        <w:rPr>
          <w:rFonts w:ascii="Arial" w:cs="Arial" w:eastAsia="Arial" w:hAnsi="Arial"/>
        </w:rPr>
        <w:t xml:space="preserve">Dangerous health products or cure-based claims.</w:t>
      </w:r>
    </w:p>
    <w:p>
      <w:pPr>
        <w:pStyle w:val="ListParagraph"/>
        <w:numPr>
          <w:ilvl w:val="0"/>
          <w:numId w:val="3"/>
        </w:numPr>
        <w:spacing w:after="40" w:before="40"/>
      </w:pPr>
      <w:r>
        <w:rPr>
          <w:rFonts w:ascii="Arial" w:cs="Arial" w:eastAsia="Arial" w:hAnsi="Arial"/>
        </w:rPr>
        <w:t xml:space="preserve">Weapons, drugs, narcotics, or controlled substances.</w:t>
      </w:r>
    </w:p>
    <w:p>
      <w:pPr>
        <w:pStyle w:val="ListParagraph"/>
        <w:numPr>
          <w:ilvl w:val="0"/>
          <w:numId w:val="3"/>
        </w:numPr>
        <w:spacing w:after="40" w:before="40"/>
      </w:pPr>
      <w:r>
        <w:rPr>
          <w:rFonts w:ascii="Arial" w:cs="Arial" w:eastAsia="Arial" w:hAnsi="Arial"/>
        </w:rPr>
        <w:t xml:space="preserve">Adult content or exploitative services.</w:t>
      </w:r>
    </w:p>
    <w:p>
      <w:pPr>
        <w:pStyle w:val="ListParagraph"/>
        <w:numPr>
          <w:ilvl w:val="0"/>
          <w:numId w:val="3"/>
        </w:numPr>
        <w:spacing w:after="40" w:before="40"/>
      </w:pPr>
      <w:r>
        <w:rPr>
          <w:rFonts w:ascii="Arial" w:cs="Arial" w:eastAsia="Arial" w:hAnsi="Arial"/>
        </w:rPr>
        <w:t xml:space="preserve">Fake documents or academic fraud services.</w:t>
      </w:r>
    </w:p>
    <w:p>
      <w:pPr>
        <w:pStyle w:val="ListParagraph"/>
        <w:numPr>
          <w:ilvl w:val="0"/>
          <w:numId w:val="3"/>
        </w:numPr>
        <w:spacing w:after="40" w:before="40"/>
      </w:pPr>
      <w:r>
        <w:rPr>
          <w:rFonts w:ascii="Arial" w:cs="Arial" w:eastAsia="Arial" w:hAnsi="Arial"/>
        </w:rPr>
        <w:t xml:space="preserve">Misleading financial schemes or unlicensed investment products.</w:t>
      </w:r>
    </w:p>
    <w:p>
      <w:pPr>
        <w:pStyle w:val="ListParagraph"/>
        <w:numPr>
          <w:ilvl w:val="0"/>
          <w:numId w:val="3"/>
        </w:numPr>
        <w:spacing w:after="40" w:before="40"/>
      </w:pPr>
      <w:r>
        <w:rPr>
          <w:rFonts w:ascii="Arial" w:cs="Arial" w:eastAsia="Arial" w:hAnsi="Arial"/>
        </w:rPr>
        <w:t xml:space="preserve">Gambling services without proper licensing.</w:t>
      </w:r>
    </w:p>
    <w:p>
      <w:pPr>
        <w:pStyle w:val="ListParagraph"/>
        <w:numPr>
          <w:ilvl w:val="0"/>
          <w:numId w:val="3"/>
        </w:numPr>
        <w:spacing w:after="40" w:before="40"/>
      </w:pPr>
      <w:r>
        <w:rPr>
          <w:rFonts w:ascii="Arial" w:cs="Arial" w:eastAsia="Arial" w:hAnsi="Arial"/>
        </w:rPr>
        <w:t xml:space="preserve">Expired food, cosmetics, or health products.</w:t>
      </w:r>
    </w:p>
    <w:p>
      <w:pPr>
        <w:pStyle w:val="ListParagraph"/>
        <w:numPr>
          <w:ilvl w:val="0"/>
          <w:numId w:val="3"/>
        </w:numPr>
        <w:spacing w:after="40" w:before="40"/>
      </w:pPr>
      <w:r>
        <w:rPr>
          <w:rFonts w:ascii="Arial" w:cs="Arial" w:eastAsia="Arial" w:hAnsi="Arial"/>
        </w:rPr>
        <w:t xml:space="preserve">Unlabelled regulated products.</w:t>
      </w:r>
    </w:p>
    <w:p>
      <w:pPr>
        <w:pStyle w:val="ListParagraph"/>
        <w:numPr>
          <w:ilvl w:val="0"/>
          <w:numId w:val="3"/>
        </w:numPr>
        <w:spacing w:after="40" w:before="40"/>
      </w:pPr>
      <w:r>
        <w:rPr>
          <w:rFonts w:ascii="Arial" w:cs="Arial" w:eastAsia="Arial" w:hAnsi="Arial"/>
        </w:rPr>
        <w:t xml:space="preserve">Any product or service violating Tanzanian law.</w:t>
      </w:r>
    </w:p>
    <w:p>
      <w:pPr>
        <w:pStyle w:val="Heading1"/>
        <w:spacing w:after="200" w:before="360"/>
      </w:pPr>
      <w:r>
        <w:rPr>
          <w:rFonts w:ascii="Arial" w:cs="Arial" w:eastAsia="Arial" w:hAnsi="Arial"/>
          <w:b/>
          <w:bCs/>
          <w:color w:val="1E8A39"/>
          <w:sz w:val="36"/>
          <w:szCs w:val="36"/>
        </w:rPr>
        <w:t xml:space="preserve">18. Legal Setup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Phase</w:t>
            </w:r>
          </w:p>
        </w:tc>
        <w:tc>
          <w:tcPr>
            <w:tcW w:type="dxa" w:w="4680"/>
            <w:tcBorders>
              <w:top w:val="single" w:color="E4E9E2" w:sz="4"/>
              <w:left w:val="single" w:color="E4E9E2" w:sz="4"/>
              <w:bottom w:val="single" w:color="E4E9E2" w:sz="4"/>
              <w:right w:val="single" w:color="E4E9E2" w:sz="4"/>
            </w:tcBorders>
            <w:shd w:fill="0F1B14" w:val="clear"/>
            <w:tcMar>
              <w:top w:type="dxa" w:w="100"/>
              <w:left w:type="dxa" w:w="140"/>
              <w:bottom w:type="dxa" w:w="100"/>
              <w:right w:type="dxa" w:w="140"/>
            </w:tcMar>
          </w:tcPr>
          <w:p>
            <w:pPr>
              <w:spacing w:after="80" w:before="80"/>
            </w:pPr>
            <w:r>
              <w:rPr>
                <w:rFonts w:ascii="Arial" w:cs="Arial" w:eastAsia="Arial" w:hAnsi="Arial"/>
                <w:b/>
                <w:bCs/>
                <w:color w:val="FFFFFF"/>
              </w:rPr>
              <w:t xml:space="preserve">Legal Priorities</w:t>
            </w:r>
          </w:p>
        </w:tc>
      </w:tr>
      <w:tr>
        <w:tc>
          <w:tcPr>
            <w:tcW w:type="dxa" w:w="468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Before Launch</w:t>
            </w:r>
          </w:p>
        </w:tc>
        <w:tc>
          <w:tcPr>
            <w:tcW w:type="dxa" w:w="468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BRELA registration, TIN, business licence, bank/payment channels, user terms, privacy policy, seller agreement, prohibited products list, complaint process.</w:t>
            </w:r>
          </w:p>
        </w:tc>
      </w:tr>
      <w:tr>
        <w:tc>
          <w:tcPr>
            <w:tcW w:type="dxa" w:w="468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First 3 Months</w:t>
            </w:r>
          </w:p>
        </w:tc>
        <w:tc>
          <w:tcPr>
            <w:tcW w:type="dxa" w:w="468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Paid promotion agreement, ambassador agreement, invoice/receipt system, PDPC registration, refund/dispute workflow, trademark application.</w:t>
            </w:r>
          </w:p>
        </w:tc>
      </w:tr>
      <w:tr>
        <w:tc>
          <w:tcPr>
            <w:tcW w:type="dxa" w:w="468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Before Full Checkout</w:t>
            </w:r>
          </w:p>
        </w:tc>
        <w:tc>
          <w:tcPr>
            <w:tcW w:type="dxa" w:w="468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Payment gateway / aggregator agreement, seller settlement terms, refund process, tax treatment review, VAT monitoring (TZS 200M threshold), EFD/VFD setup, customer support system, transaction records.</w:t>
            </w:r>
          </w:p>
        </w:tc>
      </w:tr>
      <w:tr>
        <w:tc>
          <w:tcPr>
            <w:tcW w:type="dxa" w:w="4680"/>
            <w:tcBorders>
              <w:top w:val="single" w:color="E4E9E2" w:sz="4"/>
              <w:left w:val="single" w:color="E4E9E2" w:sz="4"/>
              <w:bottom w:val="single" w:color="E4E9E2" w:sz="4"/>
              <w:right w:val="single" w:color="E4E9E2" w:sz="4"/>
            </w:tcBorders>
            <w:shd w:fill="F7FBF6" w:val="clear"/>
            <w:tcMar>
              <w:top w:type="dxa" w:w="100"/>
              <w:left w:type="dxa" w:w="140"/>
              <w:bottom w:type="dxa" w:w="100"/>
              <w:right w:type="dxa" w:w="140"/>
            </w:tcMar>
          </w:tcPr>
          <w:p>
            <w:pPr>
              <w:spacing w:after="80" w:before="80"/>
            </w:pPr>
            <w:r>
              <w:rPr>
                <w:rFonts w:ascii="Arial" w:cs="Arial" w:eastAsia="Arial" w:hAnsi="Arial"/>
              </w:rPr>
              <w:t xml:space="preserve">Before Scale</w:t>
            </w:r>
          </w:p>
        </w:tc>
        <w:tc>
          <w:tcPr>
            <w:tcW w:type="dxa" w:w="4680"/>
            <w:tcBorders>
              <w:top w:val="single" w:color="E4E9E2" w:sz="4"/>
              <w:left w:val="single" w:color="E4E9E2" w:sz="4"/>
              <w:bottom w:val="single" w:color="E4E9E2" w:sz="4"/>
              <w:right w:val="single" w:color="E4E9E2" w:sz="4"/>
            </w:tcBorders>
            <w:tcMar>
              <w:top w:type="dxa" w:w="100"/>
              <w:left w:type="dxa" w:w="140"/>
              <w:bottom w:type="dxa" w:w="100"/>
              <w:right w:type="dxa" w:w="140"/>
            </w:tcMar>
          </w:tcPr>
          <w:p>
            <w:pPr>
              <w:spacing w:after="80" w:before="80"/>
            </w:pPr>
            <w:r>
              <w:rPr>
                <w:rFonts w:ascii="Arial" w:cs="Arial" w:eastAsia="Arial" w:hAnsi="Arial"/>
              </w:rPr>
              <w:t xml:space="preserve">Compliance audits, supplier due diligence, delivery partner contracts, insurance review, employee handbook, investor-ready legal file, ARIPO trade mark consideration.</w:t>
            </w:r>
          </w:p>
        </w:tc>
      </w:tr>
    </w:tbl>
    <w:p>
      <w:pPr>
        <w:pStyle w:val="Heading1"/>
        <w:spacing w:after="200" w:before="360"/>
      </w:pPr>
      <w:r>
        <w:rPr>
          <w:rFonts w:ascii="Arial" w:cs="Arial" w:eastAsia="Arial" w:hAnsi="Arial"/>
          <w:b/>
          <w:bCs/>
          <w:color w:val="1E8A39"/>
          <w:sz w:val="36"/>
          <w:szCs w:val="36"/>
        </w:rPr>
        <w:t xml:space="preserve">19. First Legal Checklist</w:t>
      </w:r>
    </w:p>
    <w:p>
      <w:pPr>
        <w:pStyle w:val="ListParagraph"/>
        <w:numPr>
          <w:ilvl w:val="0"/>
          <w:numId w:val="2"/>
        </w:numPr>
        <w:spacing w:after="40" w:before="40"/>
      </w:pPr>
      <w:r>
        <w:rPr>
          <w:rFonts w:ascii="Arial" w:cs="Arial" w:eastAsia="Arial" w:hAnsi="Arial"/>
        </w:rPr>
        <w:t xml:space="preserve">Register company with BRELA.</w:t>
      </w:r>
    </w:p>
    <w:p>
      <w:pPr>
        <w:pStyle w:val="ListParagraph"/>
        <w:numPr>
          <w:ilvl w:val="0"/>
          <w:numId w:val="2"/>
        </w:numPr>
        <w:spacing w:after="40" w:before="40"/>
      </w:pPr>
      <w:r>
        <w:rPr>
          <w:rFonts w:ascii="Arial" w:cs="Arial" w:eastAsia="Arial" w:hAnsi="Arial"/>
        </w:rPr>
        <w:t xml:space="preserve">Obtain TIN from TRA.</w:t>
      </w:r>
    </w:p>
    <w:p>
      <w:pPr>
        <w:pStyle w:val="ListParagraph"/>
        <w:numPr>
          <w:ilvl w:val="0"/>
          <w:numId w:val="2"/>
        </w:numPr>
        <w:spacing w:after="40" w:before="40"/>
      </w:pPr>
      <w:r>
        <w:rPr>
          <w:rFonts w:ascii="Arial" w:cs="Arial" w:eastAsia="Arial" w:hAnsi="Arial"/>
        </w:rPr>
        <w:t xml:space="preserve">Obtain relevant business licence.</w:t>
      </w:r>
    </w:p>
    <w:p>
      <w:pPr>
        <w:pStyle w:val="ListParagraph"/>
        <w:numPr>
          <w:ilvl w:val="0"/>
          <w:numId w:val="2"/>
        </w:numPr>
        <w:spacing w:after="40" w:before="40"/>
      </w:pPr>
      <w:r>
        <w:rPr>
          <w:rFonts w:ascii="Arial" w:cs="Arial" w:eastAsia="Arial" w:hAnsi="Arial"/>
        </w:rPr>
        <w:t xml:space="preserve">Open business bank account and mobile money merchant accounts.</w:t>
      </w:r>
    </w:p>
    <w:p>
      <w:pPr>
        <w:pStyle w:val="ListParagraph"/>
        <w:numPr>
          <w:ilvl w:val="0"/>
          <w:numId w:val="2"/>
        </w:numPr>
        <w:spacing w:after="40" w:before="40"/>
      </w:pPr>
      <w:r>
        <w:rPr>
          <w:rFonts w:ascii="Arial" w:cs="Arial" w:eastAsia="Arial" w:hAnsi="Arial"/>
        </w:rPr>
        <w:t xml:space="preserve">Create Terms and Conditions.</w:t>
      </w:r>
    </w:p>
    <w:p>
      <w:pPr>
        <w:pStyle w:val="ListParagraph"/>
        <w:numPr>
          <w:ilvl w:val="0"/>
          <w:numId w:val="2"/>
        </w:numPr>
        <w:spacing w:after="40" w:before="40"/>
      </w:pPr>
      <w:r>
        <w:rPr>
          <w:rFonts w:ascii="Arial" w:cs="Arial" w:eastAsia="Arial" w:hAnsi="Arial"/>
        </w:rPr>
        <w:t xml:space="preserve">Create Privacy Policy.</w:t>
      </w:r>
    </w:p>
    <w:p>
      <w:pPr>
        <w:pStyle w:val="ListParagraph"/>
        <w:numPr>
          <w:ilvl w:val="0"/>
          <w:numId w:val="2"/>
        </w:numPr>
        <w:spacing w:after="40" w:before="40"/>
      </w:pPr>
      <w:r>
        <w:rPr>
          <w:rFonts w:ascii="Arial" w:cs="Arial" w:eastAsia="Arial" w:hAnsi="Arial"/>
        </w:rPr>
        <w:t xml:space="preserve">Create Seller Agreement.</w:t>
      </w:r>
    </w:p>
    <w:p>
      <w:pPr>
        <w:pStyle w:val="ListParagraph"/>
        <w:numPr>
          <w:ilvl w:val="0"/>
          <w:numId w:val="2"/>
        </w:numPr>
        <w:spacing w:after="40" w:before="40"/>
      </w:pPr>
      <w:r>
        <w:rPr>
          <w:rFonts w:ascii="Arial" w:cs="Arial" w:eastAsia="Arial" w:hAnsi="Arial"/>
        </w:rPr>
        <w:t xml:space="preserve">Create Paid Promotion Terms.</w:t>
      </w:r>
    </w:p>
    <w:p>
      <w:pPr>
        <w:pStyle w:val="ListParagraph"/>
        <w:numPr>
          <w:ilvl w:val="0"/>
          <w:numId w:val="2"/>
        </w:numPr>
        <w:spacing w:after="40" w:before="40"/>
      </w:pPr>
      <w:r>
        <w:rPr>
          <w:rFonts w:ascii="Arial" w:cs="Arial" w:eastAsia="Arial" w:hAnsi="Arial"/>
        </w:rPr>
        <w:t xml:space="preserve">Create Refund and Complaint Policy.</w:t>
      </w:r>
    </w:p>
    <w:p>
      <w:pPr>
        <w:pStyle w:val="ListParagraph"/>
        <w:numPr>
          <w:ilvl w:val="0"/>
          <w:numId w:val="2"/>
        </w:numPr>
        <w:spacing w:after="40" w:before="40"/>
      </w:pPr>
      <w:r>
        <w:rPr>
          <w:rFonts w:ascii="Arial" w:cs="Arial" w:eastAsia="Arial" w:hAnsi="Arial"/>
        </w:rPr>
        <w:t xml:space="preserve">Create Prohibited Products Policy.</w:t>
      </w:r>
    </w:p>
    <w:p>
      <w:pPr>
        <w:pStyle w:val="ListParagraph"/>
        <w:numPr>
          <w:ilvl w:val="0"/>
          <w:numId w:val="2"/>
        </w:numPr>
        <w:spacing w:after="40" w:before="40"/>
      </w:pPr>
      <w:r>
        <w:rPr>
          <w:rFonts w:ascii="Arial" w:cs="Arial" w:eastAsia="Arial" w:hAnsi="Arial"/>
        </w:rPr>
        <w:t xml:space="preserve">Create Ambassador Agreement (with WHT clause).</w:t>
      </w:r>
    </w:p>
    <w:p>
      <w:pPr>
        <w:pStyle w:val="ListParagraph"/>
        <w:numPr>
          <w:ilvl w:val="0"/>
          <w:numId w:val="2"/>
        </w:numPr>
        <w:spacing w:after="40" w:before="40"/>
      </w:pPr>
      <w:r>
        <w:rPr>
          <w:rFonts w:ascii="Arial" w:cs="Arial" w:eastAsia="Arial" w:hAnsi="Arial"/>
        </w:rPr>
        <w:t xml:space="preserve">Create seller verification checklist.</w:t>
      </w:r>
    </w:p>
    <w:p>
      <w:pPr>
        <w:pStyle w:val="ListParagraph"/>
        <w:numPr>
          <w:ilvl w:val="0"/>
          <w:numId w:val="2"/>
        </w:numPr>
        <w:spacing w:after="40" w:before="40"/>
      </w:pPr>
      <w:r>
        <w:rPr>
          <w:rFonts w:ascii="Arial" w:cs="Arial" w:eastAsia="Arial" w:hAnsi="Arial"/>
        </w:rPr>
        <w:t xml:space="preserve">File trademark with BRELA.</w:t>
      </w:r>
    </w:p>
    <w:p>
      <w:pPr>
        <w:pStyle w:val="ListParagraph"/>
        <w:numPr>
          <w:ilvl w:val="0"/>
          <w:numId w:val="2"/>
        </w:numPr>
        <w:spacing w:after="40" w:before="40"/>
      </w:pPr>
      <w:r>
        <w:rPr>
          <w:rFonts w:ascii="Arial" w:cs="Arial" w:eastAsia="Arial" w:hAnsi="Arial"/>
        </w:rPr>
        <w:t xml:space="preserve">Track monthly turnover against the TZS 200M VAT threshold.</w:t>
      </w:r>
    </w:p>
    <w:p>
      <w:pPr>
        <w:pStyle w:val="ListParagraph"/>
        <w:numPr>
          <w:ilvl w:val="0"/>
          <w:numId w:val="2"/>
        </w:numPr>
        <w:spacing w:after="40" w:before="40"/>
      </w:pPr>
      <w:r>
        <w:rPr>
          <w:rFonts w:ascii="Arial" w:cs="Arial" w:eastAsia="Arial" w:hAnsi="Arial"/>
        </w:rPr>
        <w:t xml:space="preserve">Register with PDPC as data controller.</w:t>
      </w:r>
    </w:p>
    <w:p>
      <w:pPr>
        <w:pStyle w:val="Heading1"/>
        <w:spacing w:after="200" w:before="360"/>
      </w:pPr>
      <w:r>
        <w:rPr>
          <w:rFonts w:ascii="Arial" w:cs="Arial" w:eastAsia="Arial" w:hAnsi="Arial"/>
          <w:b/>
          <w:bCs/>
          <w:color w:val="1E8A39"/>
          <w:sz w:val="36"/>
          <w:szCs w:val="36"/>
        </w:rPr>
        <w:t xml:space="preserve">20. Key Regulators (Tanzania)</w:t>
      </w:r>
    </w:p>
    <w:p>
      <w:pPr>
        <w:pStyle w:val="ListParagraph"/>
        <w:numPr>
          <w:ilvl w:val="0"/>
          <w:numId w:val="3"/>
        </w:numPr>
        <w:spacing w:after="40" w:before="40"/>
      </w:pPr>
      <w:r>
        <w:rPr>
          <w:rFonts w:ascii="Arial" w:cs="Arial" w:eastAsia="Arial" w:hAnsi="Arial"/>
        </w:rPr>
        <w:t xml:space="preserve">BRELA — company and trademark registration.</w:t>
      </w:r>
    </w:p>
    <w:p>
      <w:pPr>
        <w:pStyle w:val="ListParagraph"/>
        <w:numPr>
          <w:ilvl w:val="0"/>
          <w:numId w:val="3"/>
        </w:numPr>
        <w:spacing w:after="40" w:before="40"/>
      </w:pPr>
      <w:r>
        <w:rPr>
          <w:rFonts w:ascii="Arial" w:cs="Arial" w:eastAsia="Arial" w:hAnsi="Arial"/>
        </w:rPr>
        <w:t xml:space="preserve">TRA — tax registration, income tax, VAT, invoicing, PAYE, WHT, EFD/VFD.</w:t>
      </w:r>
    </w:p>
    <w:p>
      <w:pPr>
        <w:pStyle w:val="ListParagraph"/>
        <w:numPr>
          <w:ilvl w:val="0"/>
          <w:numId w:val="3"/>
        </w:numPr>
        <w:spacing w:after="40" w:before="40"/>
      </w:pPr>
      <w:r>
        <w:rPr>
          <w:rFonts w:ascii="Arial" w:cs="Arial" w:eastAsia="Arial" w:hAnsi="Arial"/>
        </w:rPr>
        <w:t xml:space="preserve">PDPC — personal data protection registration and standards.</w:t>
      </w:r>
    </w:p>
    <w:p>
      <w:pPr>
        <w:pStyle w:val="ListParagraph"/>
        <w:numPr>
          <w:ilvl w:val="0"/>
          <w:numId w:val="3"/>
        </w:numPr>
        <w:spacing w:after="40" w:before="40"/>
      </w:pPr>
      <w:r>
        <w:rPr>
          <w:rFonts w:ascii="Arial" w:cs="Arial" w:eastAsia="Arial" w:hAnsi="Arial"/>
        </w:rPr>
        <w:t xml:space="preserve">TCRA — communications and content service licensing.</w:t>
      </w:r>
    </w:p>
    <w:p>
      <w:pPr>
        <w:pStyle w:val="ListParagraph"/>
        <w:numPr>
          <w:ilvl w:val="0"/>
          <w:numId w:val="3"/>
        </w:numPr>
        <w:spacing w:after="40" w:before="40"/>
      </w:pPr>
      <w:r>
        <w:rPr>
          <w:rFonts w:ascii="Arial" w:cs="Arial" w:eastAsia="Arial" w:hAnsi="Arial"/>
        </w:rPr>
        <w:t xml:space="preserve">TMDA — medicines, cosmetics, supplements, medical devices.</w:t>
      </w:r>
    </w:p>
    <w:p>
      <w:pPr>
        <w:pStyle w:val="ListParagraph"/>
        <w:numPr>
          <w:ilvl w:val="0"/>
          <w:numId w:val="3"/>
        </w:numPr>
        <w:spacing w:after="40" w:before="40"/>
      </w:pPr>
      <w:r>
        <w:rPr>
          <w:rFonts w:ascii="Arial" w:cs="Arial" w:eastAsia="Arial" w:hAnsi="Arial"/>
        </w:rPr>
        <w:t xml:space="preserve">TBS — product standards (food, electronics, imports).</w:t>
      </w:r>
    </w:p>
    <w:p>
      <w:pPr>
        <w:pStyle w:val="ListParagraph"/>
        <w:numPr>
          <w:ilvl w:val="0"/>
          <w:numId w:val="3"/>
        </w:numPr>
        <w:spacing w:after="40" w:before="40"/>
      </w:pPr>
      <w:r>
        <w:rPr>
          <w:rFonts w:ascii="Arial" w:cs="Arial" w:eastAsia="Arial" w:hAnsi="Arial"/>
        </w:rPr>
        <w:t xml:space="preserve">FCC — fair competition and consumer protection.</w:t>
      </w:r>
    </w:p>
    <w:p>
      <w:pPr>
        <w:pStyle w:val="ListParagraph"/>
        <w:numPr>
          <w:ilvl w:val="0"/>
          <w:numId w:val="3"/>
        </w:numPr>
        <w:spacing w:after="40" w:before="40"/>
      </w:pPr>
      <w:r>
        <w:rPr>
          <w:rFonts w:ascii="Arial" w:cs="Arial" w:eastAsia="Arial" w:hAnsi="Arial"/>
        </w:rPr>
        <w:t xml:space="preserve">FCT — Fair Competition Tribunal (appeals).</w:t>
      </w:r>
    </w:p>
    <w:p>
      <w:pPr>
        <w:pStyle w:val="ListParagraph"/>
        <w:numPr>
          <w:ilvl w:val="0"/>
          <w:numId w:val="3"/>
        </w:numPr>
        <w:spacing w:after="40" w:before="40"/>
      </w:pPr>
      <w:r>
        <w:rPr>
          <w:rFonts w:ascii="Arial" w:cs="Arial" w:eastAsia="Arial" w:hAnsi="Arial"/>
        </w:rPr>
        <w:t xml:space="preserve">NSSF — social security (private sector).</w:t>
      </w:r>
    </w:p>
    <w:p>
      <w:pPr>
        <w:pStyle w:val="ListParagraph"/>
        <w:numPr>
          <w:ilvl w:val="0"/>
          <w:numId w:val="3"/>
        </w:numPr>
        <w:spacing w:after="40" w:before="40"/>
      </w:pPr>
      <w:r>
        <w:rPr>
          <w:rFonts w:ascii="Arial" w:cs="Arial" w:eastAsia="Arial" w:hAnsi="Arial"/>
        </w:rPr>
        <w:t xml:space="preserve">WCF — workers compensation.</w:t>
      </w:r>
    </w:p>
    <w:p>
      <w:pPr>
        <w:pStyle w:val="ListParagraph"/>
        <w:numPr>
          <w:ilvl w:val="0"/>
          <w:numId w:val="3"/>
        </w:numPr>
        <w:spacing w:after="40" w:before="40"/>
      </w:pPr>
      <w:r>
        <w:rPr>
          <w:rFonts w:ascii="Arial" w:cs="Arial" w:eastAsia="Arial" w:hAnsi="Arial"/>
        </w:rPr>
        <w:t xml:space="preserve">BoT — banking and mobile money supervision (indirect).</w:t>
      </w:r>
    </w:p>
    <w:p>
      <w:pPr>
        <w:pStyle w:val="ListParagraph"/>
        <w:numPr>
          <w:ilvl w:val="0"/>
          <w:numId w:val="3"/>
        </w:numPr>
        <w:spacing w:after="40" w:before="40"/>
      </w:pPr>
      <w:r>
        <w:rPr>
          <w:rFonts w:ascii="Arial" w:cs="Arial" w:eastAsia="Arial" w:hAnsi="Arial"/>
        </w:rPr>
        <w:t xml:space="preserve">Local Government Authorities — local licensing and service levy.</w:t>
      </w:r>
    </w:p>
    <w:p>
      <w:pPr>
        <w:pStyle w:val="Heading1"/>
        <w:spacing w:after="200" w:before="360"/>
      </w:pPr>
      <w:r>
        <w:rPr>
          <w:rFonts w:ascii="Arial" w:cs="Arial" w:eastAsia="Arial" w:hAnsi="Arial"/>
          <w:b/>
          <w:bCs/>
          <w:color w:val="1E8A39"/>
          <w:sz w:val="36"/>
          <w:szCs w:val="36"/>
        </w:rPr>
        <w:t xml:space="preserve">21. Closing Recommendation</w:t>
      </w:r>
    </w:p>
    <w:p>
      <w:pPr>
        <w:spacing w:after="80" w:before="80"/>
      </w:pPr>
      <w:r>
        <w:rPr>
          <w:rFonts w:ascii="Arial" w:cs="Arial" w:eastAsia="Arial" w:hAnsi="Arial"/>
        </w:rPr>
        <w:t xml:space="preserve">For Tanzania, the safest and most practical starting position is for Pamoja+ to operate as a verified listing and promotional marketplace first. Connect customers to sellers, support seller visibility, publish verified deals, and earn from promotional services rather than immediately holding customer funds or controlling full transactions.</w:t>
      </w:r>
    </w:p>
    <w:p>
      <w:pPr>
        <w:spacing w:after="80" w:before="80"/>
      </w:pPr>
      <w:r>
        <w:rPr>
          <w:rFonts w:ascii="Arial" w:cs="Arial" w:eastAsia="Arial" w:hAnsi="Arial"/>
          <w:b/>
          <w:bCs/>
        </w:rPr>
        <w:t xml:space="preserve">Best launch position: </w:t>
      </w:r>
      <w:r>
        <w:rPr>
          <w:rFonts w:ascii="Arial" w:cs="Arial" w:eastAsia="Arial" w:hAnsi="Arial"/>
        </w:rPr>
        <w:t xml:space="preserve">Start with low-risk marketplace visibility. Build trust through verification and content quality. Move into checkout, delivery, and commission-based transactions only after legal, payment, tax, and operational systems are ready.</w:t>
      </w:r>
    </w:p>
    <w:p>
      <w:pPr>
        <w:spacing w:after="80" w:before="80"/>
      </w:pPr>
      <w:r>
        <w:rPr>
          <w:rFonts w:ascii="Arial" w:cs="Arial" w:eastAsia="Arial" w:hAnsi="Arial"/>
          <w:b/>
          <w:bCs/>
          <w:color w:val="1E8A39"/>
        </w:rPr>
        <w:t xml:space="preserve">Pamoja+ — Grow Together. Shop Smarter.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Pamoja+ — Version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Un-named</cp:lastModifiedBy>
  <cp:revision>1</cp:revision>
  <dcterms:created xsi:type="dcterms:W3CDTF">2026-05-21T11:01:28.517Z</dcterms:created>
  <dcterms:modified xsi:type="dcterms:W3CDTF">2026-05-21T11:01:28.517Z</dcterms:modified>
</cp:coreProperties>
</file>

<file path=docProps/custom.xml><?xml version="1.0" encoding="utf-8"?>
<Properties xmlns="http://schemas.openxmlformats.org/officeDocument/2006/custom-properties" xmlns:vt="http://schemas.openxmlformats.org/officeDocument/2006/docPropsVTypes"/>
</file>